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3A26" w14:textId="77777777" w:rsidR="007C150A" w:rsidRPr="00E47322" w:rsidRDefault="007C150A" w:rsidP="007C150A">
      <w:pPr>
        <w:spacing w:before="160" w:after="60"/>
      </w:pPr>
      <w:r w:rsidRPr="00E47322">
        <w:rPr>
          <w:b/>
          <w:bCs/>
        </w:rPr>
        <w:t>1. Context</w:t>
      </w:r>
    </w:p>
    <w:p w14:paraId="605EAC82" w14:textId="6075B401" w:rsidR="00E47322" w:rsidRPr="00E47322" w:rsidRDefault="00E47322" w:rsidP="007C150A">
      <w:pPr>
        <w:spacing w:before="160" w:after="60"/>
      </w:pPr>
      <w:proofErr w:type="spellStart"/>
      <w:r w:rsidRPr="00E47322">
        <w:t>Sentriq</w:t>
      </w:r>
      <w:proofErr w:type="spellEnd"/>
      <w:r w:rsidRPr="00E47322">
        <w:t xml:space="preserve"> is a prototype jurisdiction-aware transaction monitoring tool built for pure-play private wealth managers operating across multiple booking centres. It was designed around Julius Baer, a CHF 460B AUM private bank with operations in Singapore, Hong Kong, and the US, whose HNWI client base involving BVI </w:t>
      </w:r>
      <w:proofErr w:type="spellStart"/>
      <w:r w:rsidRPr="00E47322">
        <w:t>holdcos</w:t>
      </w:r>
      <w:proofErr w:type="spellEnd"/>
      <w:r w:rsidRPr="00E47322">
        <w:t xml:space="preserve">, Cayman funds, and family trusts makes standard off-the-shelf TM tools inadequate. The tool addresses three specific gaps: fixed thresholds </w:t>
      </w:r>
      <w:proofErr w:type="spellStart"/>
      <w:r w:rsidRPr="00E47322">
        <w:t>miscalibrated</w:t>
      </w:r>
      <w:proofErr w:type="spellEnd"/>
      <w:r w:rsidRPr="00E47322">
        <w:t xml:space="preserve"> across jurisdictions, the absence of native jurisdiction-switching logic in incumbent platforms, and the inability of account-level monitoring to detect layering across complex client structures.</w:t>
      </w:r>
    </w:p>
    <w:p w14:paraId="16DAC8A7" w14:textId="6250599A" w:rsidR="00E47322" w:rsidRPr="00E47322" w:rsidRDefault="007C150A" w:rsidP="007C150A">
      <w:pPr>
        <w:spacing w:before="160" w:after="60"/>
        <w:rPr>
          <w:b/>
          <w:bCs/>
        </w:rPr>
      </w:pPr>
      <w:r w:rsidRPr="00E47322">
        <w:rPr>
          <w:b/>
          <w:bCs/>
        </w:rPr>
        <w:t>2. Design Choices</w:t>
      </w:r>
    </w:p>
    <w:p w14:paraId="69F1DE85" w14:textId="77777777" w:rsidR="00E47322" w:rsidRPr="00E47322" w:rsidRDefault="00E47322" w:rsidP="00E47322">
      <w:pPr>
        <w:spacing w:before="100" w:after="40"/>
      </w:pPr>
      <w:r w:rsidRPr="00E47322">
        <w:rPr>
          <w:b/>
          <w:bCs/>
        </w:rPr>
        <w:t>A. Jurisdiction Configuration Layer — Separation of Rules from Logic</w:t>
      </w:r>
    </w:p>
    <w:p w14:paraId="7EF27725" w14:textId="77777777" w:rsidR="00E47322" w:rsidRPr="00E47322" w:rsidRDefault="00E47322" w:rsidP="00E47322">
      <w:pPr>
        <w:spacing w:before="50" w:after="50"/>
      </w:pPr>
      <w:r w:rsidRPr="00E47322">
        <w:t>All regulatory parameters are stored in a versioned configuration object rather than hardcoded into rule logic. This was a deliberate architectural choice: when MAS updates Notice 626 or FinCEN amends the CDD Rule, only the config changes, not the engine. Switching from US to SG mode simultaneously changes six parameters: alert basis (threshold vs risk-score), PEP scope (foreign only vs foreign and domestic), beneficial ownership threshold (flat 25% vs risk-based 10% for high-risk clients), STR narrative requirement, reporting body, and filing deadline. Without this separation, each regulatory update would require an IT change request and carry regulatory risk during the gap period.</w:t>
      </w:r>
    </w:p>
    <w:p w14:paraId="36D1B6AF" w14:textId="77777777" w:rsidR="00E47322" w:rsidRPr="00E47322" w:rsidRDefault="00E47322" w:rsidP="00E47322">
      <w:pPr>
        <w:spacing w:before="50" w:after="50"/>
      </w:pPr>
    </w:p>
    <w:p w14:paraId="265A3550" w14:textId="77777777" w:rsidR="00E47322" w:rsidRPr="00E47322" w:rsidRDefault="00E47322" w:rsidP="00E47322">
      <w:pPr>
        <w:spacing w:before="100" w:after="40"/>
      </w:pPr>
      <w:r w:rsidRPr="00E47322">
        <w:rPr>
          <w:b/>
          <w:bCs/>
        </w:rPr>
        <w:t>B. Two-Layer Scoring: Rules Plus Anomaly Detection</w:t>
      </w:r>
    </w:p>
    <w:p w14:paraId="6DBBFA74" w14:textId="77777777" w:rsidR="00E47322" w:rsidRPr="00E47322" w:rsidRDefault="00E47322" w:rsidP="00E47322">
      <w:pPr>
        <w:spacing w:before="50" w:after="50"/>
      </w:pPr>
      <w:r w:rsidRPr="00E47322">
        <w:t>Rule-based engines catch known typologies but miss patterns that have no predefined rule. The choice to add Isolation Forest anomaly detection (weighted at 40% of the combined score) was driven by a specific scenario: early fund redemption at an 8% loss after 45 days. No rule flags this. It looks like a failed investment. But it is statistically anomalous relative to the client population, and no rational HNWI investor accepts that loss unless the purpose is integration of proceeds. The ML layer catches it; rules alone would not.</w:t>
      </w:r>
    </w:p>
    <w:p w14:paraId="5F841D6A" w14:textId="77777777" w:rsidR="00E47322" w:rsidRPr="00E47322" w:rsidRDefault="00E47322" w:rsidP="00E47322">
      <w:pPr>
        <w:spacing w:before="50" w:after="50"/>
      </w:pPr>
    </w:p>
    <w:p w14:paraId="6A694D49" w14:textId="77777777" w:rsidR="00E47322" w:rsidRPr="00E47322" w:rsidRDefault="00E47322" w:rsidP="00E47322">
      <w:pPr>
        <w:spacing w:before="50" w:after="50"/>
      </w:pPr>
      <w:r w:rsidRPr="00E47322">
        <w:t xml:space="preserve">SHAP values were included to explain which features drove each anomaly score. This was not decorative: MAS Notice 626 requires STR filings to contain a coherent risk narrative explaining </w:t>
      </w:r>
      <w:r w:rsidRPr="00E47322">
        <w:rPr>
          <w:i/>
          <w:iCs/>
        </w:rPr>
        <w:t>why</w:t>
      </w:r>
      <w:r w:rsidRPr="00E47322">
        <w:t xml:space="preserve"> a transaction is suspicious, not just that it was flagged. SHAP provides the feature-level attribution that directly supports that narrative, reducing the burden on the compliance analyst.</w:t>
      </w:r>
    </w:p>
    <w:p w14:paraId="64C6EB4B" w14:textId="77777777" w:rsidR="00E47322" w:rsidRPr="00E47322" w:rsidRDefault="00E47322" w:rsidP="00E47322">
      <w:pPr>
        <w:spacing w:before="50" w:after="50"/>
      </w:pPr>
    </w:p>
    <w:p w14:paraId="3E3D8D2A" w14:textId="3F8A45DB" w:rsidR="00E47322" w:rsidRPr="00E47322" w:rsidRDefault="00E47322" w:rsidP="00E47322">
      <w:pPr>
        <w:spacing w:before="100" w:after="40"/>
      </w:pPr>
      <w:r w:rsidRPr="00E47322">
        <w:rPr>
          <w:b/>
          <w:bCs/>
        </w:rPr>
        <w:t xml:space="preserve">C. Inter-Entity Transfer Rule </w:t>
      </w:r>
    </w:p>
    <w:p w14:paraId="5A5D53D5" w14:textId="77777777" w:rsidR="00E47322" w:rsidRPr="00E47322" w:rsidRDefault="00E47322" w:rsidP="00E47322">
      <w:pPr>
        <w:spacing w:before="50" w:after="50"/>
      </w:pPr>
      <w:r w:rsidRPr="00E47322">
        <w:t xml:space="preserve">Rule 6 flags transfers between accounts sharing a beneficial owner where no commercial rationale is documented. Neither FinCEN nor MAS Notice 626 mandates this check. It was included because layering through BVI </w:t>
      </w:r>
      <w:proofErr w:type="spellStart"/>
      <w:r w:rsidRPr="00E47322">
        <w:t>holdcos</w:t>
      </w:r>
      <w:proofErr w:type="spellEnd"/>
      <w:r w:rsidRPr="00E47322">
        <w:t xml:space="preserve"> and family trusts is the primary AML typology at private banks and is entirely invisible to account-level monitoring. This is the design choice that most directly answers whether the tool measures genuine risk or documents compliance: it was included specifically because it improves detection, not because any regulator requires it.</w:t>
      </w:r>
    </w:p>
    <w:p w14:paraId="4965E879" w14:textId="77777777" w:rsidR="00E47322" w:rsidRPr="00E47322" w:rsidRDefault="00E47322" w:rsidP="00E47322">
      <w:pPr>
        <w:spacing w:before="50" w:after="50"/>
      </w:pPr>
    </w:p>
    <w:p w14:paraId="6594387B" w14:textId="77777777" w:rsidR="00E47322" w:rsidRPr="00E47322" w:rsidRDefault="00E47322" w:rsidP="00E47322">
      <w:pPr>
        <w:spacing w:before="100" w:after="40"/>
      </w:pPr>
      <w:r w:rsidRPr="00E47322">
        <w:rPr>
          <w:b/>
          <w:bCs/>
        </w:rPr>
        <w:t>D. Combined Score Weighting: 60% Rules, 40% Anomaly</w:t>
      </w:r>
    </w:p>
    <w:p w14:paraId="0247AE50" w14:textId="56DE5A70" w:rsidR="00E47322" w:rsidRPr="00E47322" w:rsidRDefault="00E47322" w:rsidP="00E47322">
      <w:pPr>
        <w:spacing w:before="50" w:after="50"/>
      </w:pPr>
      <w:r w:rsidRPr="00E47322">
        <w:t xml:space="preserve">The 60/40 weighting reflects a deliberate balance. Rule-based scores carry more weight because they are directly traceable to specific regulatory obligations and defensible to regulators. Anomaly scores carry less weight because Isolation Forest was trained on synthetic data and its outputs are statistical rather than </w:t>
      </w:r>
      <w:r w:rsidRPr="00E47322">
        <w:t>rule derived</w:t>
      </w:r>
      <w:r w:rsidRPr="00E47322">
        <w:t>. In a production environment with real transaction history, this weighting would be recalibrated after model validation. Alert tiers were set at RED above 70 and AMBER above 40 to reflect conservative thresholds appropriate for a prototype.</w:t>
      </w:r>
    </w:p>
    <w:p w14:paraId="0C50410E" w14:textId="77777777" w:rsidR="007C150A" w:rsidRPr="00E47322" w:rsidRDefault="007C150A" w:rsidP="007C150A">
      <w:pPr>
        <w:spacing w:before="50" w:after="50"/>
      </w:pPr>
    </w:p>
    <w:p w14:paraId="5442B7F1" w14:textId="77777777" w:rsidR="00303651" w:rsidRPr="00E47322" w:rsidRDefault="00303651" w:rsidP="007C150A"/>
    <w:sectPr w:rsidR="00303651" w:rsidRPr="00E4732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8A70" w14:textId="77777777" w:rsidR="00574737" w:rsidRDefault="00574737" w:rsidP="00E47322">
      <w:r>
        <w:separator/>
      </w:r>
    </w:p>
  </w:endnote>
  <w:endnote w:type="continuationSeparator" w:id="0">
    <w:p w14:paraId="4D71C16B" w14:textId="77777777" w:rsidR="00574737" w:rsidRDefault="00574737" w:rsidP="00E47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D7B9" w14:textId="64632346" w:rsidR="00E47322" w:rsidRDefault="00E47322">
    <w:pPr>
      <w:pStyle w:val="Footer"/>
    </w:pPr>
    <w:r>
      <w:t>Pua Sin Yee G2508087C</w:t>
    </w:r>
  </w:p>
  <w:p w14:paraId="3A78A918" w14:textId="77777777" w:rsidR="00E47322" w:rsidRDefault="00E47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D1BB7" w14:textId="77777777" w:rsidR="00574737" w:rsidRDefault="00574737" w:rsidP="00E47322">
      <w:r>
        <w:separator/>
      </w:r>
    </w:p>
  </w:footnote>
  <w:footnote w:type="continuationSeparator" w:id="0">
    <w:p w14:paraId="241103F7" w14:textId="77777777" w:rsidR="00574737" w:rsidRDefault="00574737" w:rsidP="00E47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BDE2" w14:textId="737C0962" w:rsidR="00E47322" w:rsidRDefault="00E47322">
    <w:pPr>
      <w:pStyle w:val="Header"/>
    </w:pPr>
    <w:r>
      <w:t>Assignment 3: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57A7"/>
    <w:multiLevelType w:val="hybridMultilevel"/>
    <w:tmpl w:val="CC7C657C"/>
    <w:lvl w:ilvl="0" w:tplc="BAB68BA8">
      <w:start w:val="1"/>
      <w:numFmt w:val="bullet"/>
      <w:lvlText w:val="•"/>
      <w:lvlJc w:val="left"/>
      <w:pPr>
        <w:ind w:left="540" w:hanging="260"/>
      </w:pPr>
    </w:lvl>
    <w:lvl w:ilvl="1" w:tplc="3A04F8F4">
      <w:numFmt w:val="decimal"/>
      <w:lvlText w:val=""/>
      <w:lvlJc w:val="left"/>
    </w:lvl>
    <w:lvl w:ilvl="2" w:tplc="3DE04626">
      <w:numFmt w:val="decimal"/>
      <w:lvlText w:val=""/>
      <w:lvlJc w:val="left"/>
    </w:lvl>
    <w:lvl w:ilvl="3" w:tplc="985A52A0">
      <w:numFmt w:val="decimal"/>
      <w:lvlText w:val=""/>
      <w:lvlJc w:val="left"/>
    </w:lvl>
    <w:lvl w:ilvl="4" w:tplc="3884A186">
      <w:numFmt w:val="decimal"/>
      <w:lvlText w:val=""/>
      <w:lvlJc w:val="left"/>
    </w:lvl>
    <w:lvl w:ilvl="5" w:tplc="35708EE6">
      <w:numFmt w:val="decimal"/>
      <w:lvlText w:val=""/>
      <w:lvlJc w:val="left"/>
    </w:lvl>
    <w:lvl w:ilvl="6" w:tplc="AE20ADCC">
      <w:numFmt w:val="decimal"/>
      <w:lvlText w:val=""/>
      <w:lvlJc w:val="left"/>
    </w:lvl>
    <w:lvl w:ilvl="7" w:tplc="11CC243C">
      <w:numFmt w:val="decimal"/>
      <w:lvlText w:val=""/>
      <w:lvlJc w:val="left"/>
    </w:lvl>
    <w:lvl w:ilvl="8" w:tplc="63A2983E">
      <w:numFmt w:val="decimal"/>
      <w:lvlText w:val=""/>
      <w:lvlJc w:val="left"/>
    </w:lvl>
  </w:abstractNum>
  <w:abstractNum w:abstractNumId="1" w15:restartNumberingAfterBreak="0">
    <w:nsid w:val="16A44153"/>
    <w:multiLevelType w:val="hybridMultilevel"/>
    <w:tmpl w:val="C2D0592A"/>
    <w:lvl w:ilvl="0" w:tplc="0674DABC">
      <w:start w:val="1"/>
      <w:numFmt w:val="bullet"/>
      <w:lvlText w:val="•"/>
      <w:lvlJc w:val="left"/>
      <w:pPr>
        <w:ind w:left="440" w:hanging="220"/>
      </w:pPr>
    </w:lvl>
    <w:lvl w:ilvl="1" w:tplc="EE828178">
      <w:numFmt w:val="decimal"/>
      <w:lvlText w:val=""/>
      <w:lvlJc w:val="left"/>
    </w:lvl>
    <w:lvl w:ilvl="2" w:tplc="5EDC7C5C">
      <w:numFmt w:val="decimal"/>
      <w:lvlText w:val=""/>
      <w:lvlJc w:val="left"/>
    </w:lvl>
    <w:lvl w:ilvl="3" w:tplc="5994FF4C">
      <w:numFmt w:val="decimal"/>
      <w:lvlText w:val=""/>
      <w:lvlJc w:val="left"/>
    </w:lvl>
    <w:lvl w:ilvl="4" w:tplc="91CE0CCC">
      <w:numFmt w:val="decimal"/>
      <w:lvlText w:val=""/>
      <w:lvlJc w:val="left"/>
    </w:lvl>
    <w:lvl w:ilvl="5" w:tplc="552A9DC4">
      <w:numFmt w:val="decimal"/>
      <w:lvlText w:val=""/>
      <w:lvlJc w:val="left"/>
    </w:lvl>
    <w:lvl w:ilvl="6" w:tplc="1658AC7E">
      <w:numFmt w:val="decimal"/>
      <w:lvlText w:val=""/>
      <w:lvlJc w:val="left"/>
    </w:lvl>
    <w:lvl w:ilvl="7" w:tplc="EF346084">
      <w:numFmt w:val="decimal"/>
      <w:lvlText w:val=""/>
      <w:lvlJc w:val="left"/>
    </w:lvl>
    <w:lvl w:ilvl="8" w:tplc="FFEA537C">
      <w:numFmt w:val="decimal"/>
      <w:lvlText w:val=""/>
      <w:lvlJc w:val="left"/>
    </w:lvl>
  </w:abstractNum>
  <w:abstractNum w:abstractNumId="2" w15:restartNumberingAfterBreak="0">
    <w:nsid w:val="342B090D"/>
    <w:multiLevelType w:val="hybridMultilevel"/>
    <w:tmpl w:val="ADB6A158"/>
    <w:lvl w:ilvl="0" w:tplc="4B6CC452">
      <w:start w:val="1"/>
      <w:numFmt w:val="bullet"/>
      <w:lvlText w:val="•"/>
      <w:lvlJc w:val="left"/>
      <w:pPr>
        <w:ind w:left="440" w:hanging="220"/>
      </w:pPr>
    </w:lvl>
    <w:lvl w:ilvl="1" w:tplc="32623952">
      <w:numFmt w:val="decimal"/>
      <w:lvlText w:val=""/>
      <w:lvlJc w:val="left"/>
    </w:lvl>
    <w:lvl w:ilvl="2" w:tplc="6B784AD8">
      <w:numFmt w:val="decimal"/>
      <w:lvlText w:val=""/>
      <w:lvlJc w:val="left"/>
    </w:lvl>
    <w:lvl w:ilvl="3" w:tplc="B9CE97F8">
      <w:numFmt w:val="decimal"/>
      <w:lvlText w:val=""/>
      <w:lvlJc w:val="left"/>
    </w:lvl>
    <w:lvl w:ilvl="4" w:tplc="8D08DDE4">
      <w:numFmt w:val="decimal"/>
      <w:lvlText w:val=""/>
      <w:lvlJc w:val="left"/>
    </w:lvl>
    <w:lvl w:ilvl="5" w:tplc="10B67626">
      <w:numFmt w:val="decimal"/>
      <w:lvlText w:val=""/>
      <w:lvlJc w:val="left"/>
    </w:lvl>
    <w:lvl w:ilvl="6" w:tplc="1A5A61E2">
      <w:numFmt w:val="decimal"/>
      <w:lvlText w:val=""/>
      <w:lvlJc w:val="left"/>
    </w:lvl>
    <w:lvl w:ilvl="7" w:tplc="A412EB34">
      <w:numFmt w:val="decimal"/>
      <w:lvlText w:val=""/>
      <w:lvlJc w:val="left"/>
    </w:lvl>
    <w:lvl w:ilvl="8" w:tplc="C8F60590">
      <w:numFmt w:val="decimal"/>
      <w:lvlText w:val=""/>
      <w:lvlJc w:val="left"/>
    </w:lvl>
  </w:abstractNum>
  <w:abstractNum w:abstractNumId="3" w15:restartNumberingAfterBreak="0">
    <w:nsid w:val="729E5AD4"/>
    <w:multiLevelType w:val="hybridMultilevel"/>
    <w:tmpl w:val="69E02A42"/>
    <w:lvl w:ilvl="0" w:tplc="9698DB40">
      <w:start w:val="1"/>
      <w:numFmt w:val="bullet"/>
      <w:lvlText w:val="•"/>
      <w:lvlJc w:val="left"/>
      <w:pPr>
        <w:ind w:left="540" w:hanging="260"/>
      </w:pPr>
    </w:lvl>
    <w:lvl w:ilvl="1" w:tplc="A90E154C">
      <w:numFmt w:val="decimal"/>
      <w:lvlText w:val=""/>
      <w:lvlJc w:val="left"/>
    </w:lvl>
    <w:lvl w:ilvl="2" w:tplc="693EEE10">
      <w:numFmt w:val="decimal"/>
      <w:lvlText w:val=""/>
      <w:lvlJc w:val="left"/>
    </w:lvl>
    <w:lvl w:ilvl="3" w:tplc="64C8AE7E">
      <w:numFmt w:val="decimal"/>
      <w:lvlText w:val=""/>
      <w:lvlJc w:val="left"/>
    </w:lvl>
    <w:lvl w:ilvl="4" w:tplc="90BE4AD4">
      <w:numFmt w:val="decimal"/>
      <w:lvlText w:val=""/>
      <w:lvlJc w:val="left"/>
    </w:lvl>
    <w:lvl w:ilvl="5" w:tplc="15F6C300">
      <w:numFmt w:val="decimal"/>
      <w:lvlText w:val=""/>
      <w:lvlJc w:val="left"/>
    </w:lvl>
    <w:lvl w:ilvl="6" w:tplc="724ADC34">
      <w:numFmt w:val="decimal"/>
      <w:lvlText w:val=""/>
      <w:lvlJc w:val="left"/>
    </w:lvl>
    <w:lvl w:ilvl="7" w:tplc="77C8BE10">
      <w:numFmt w:val="decimal"/>
      <w:lvlText w:val=""/>
      <w:lvlJc w:val="left"/>
    </w:lvl>
    <w:lvl w:ilvl="8" w:tplc="047666D0">
      <w:numFmt w:val="decimal"/>
      <w:lvlText w:val=""/>
      <w:lvlJc w:val="left"/>
    </w:lvl>
  </w:abstractNum>
  <w:abstractNum w:abstractNumId="4" w15:restartNumberingAfterBreak="0">
    <w:nsid w:val="750B0884"/>
    <w:multiLevelType w:val="hybridMultilevel"/>
    <w:tmpl w:val="BE0C6D12"/>
    <w:lvl w:ilvl="0" w:tplc="F3081CE4">
      <w:start w:val="1"/>
      <w:numFmt w:val="decimal"/>
      <w:lvlText w:val="%1."/>
      <w:lvlJc w:val="left"/>
      <w:pPr>
        <w:ind w:left="360" w:hanging="360"/>
      </w:pPr>
      <w:rPr>
        <w:rFonts w:hint="default"/>
        <w:color w:val="2E75B6"/>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79626641"/>
    <w:multiLevelType w:val="multilevel"/>
    <w:tmpl w:val="2B3853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FC0310F"/>
    <w:multiLevelType w:val="multilevel"/>
    <w:tmpl w:val="D9FC39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0150630">
    <w:abstractNumId w:val="3"/>
    <w:lvlOverride w:ilvl="0">
      <w:startOverride w:val="1"/>
    </w:lvlOverride>
  </w:num>
  <w:num w:numId="2" w16cid:durableId="627711335">
    <w:abstractNumId w:val="1"/>
    <w:lvlOverride w:ilvl="0">
      <w:startOverride w:val="1"/>
    </w:lvlOverride>
  </w:num>
  <w:num w:numId="3" w16cid:durableId="1637249968">
    <w:abstractNumId w:val="4"/>
  </w:num>
  <w:num w:numId="4" w16cid:durableId="547642340">
    <w:abstractNumId w:val="6"/>
  </w:num>
  <w:num w:numId="5" w16cid:durableId="1173448390">
    <w:abstractNumId w:val="5"/>
  </w:num>
  <w:num w:numId="6" w16cid:durableId="1507018839">
    <w:abstractNumId w:val="0"/>
    <w:lvlOverride w:ilvl="0">
      <w:startOverride w:val="1"/>
    </w:lvlOverride>
  </w:num>
  <w:num w:numId="7" w16cid:durableId="8861420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9B"/>
    <w:rsid w:val="001E5B9C"/>
    <w:rsid w:val="00232DD3"/>
    <w:rsid w:val="00303651"/>
    <w:rsid w:val="00574737"/>
    <w:rsid w:val="007C150A"/>
    <w:rsid w:val="00A8039B"/>
    <w:rsid w:val="00C82BED"/>
    <w:rsid w:val="00E4732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A149"/>
  <w15:chartTrackingRefBased/>
  <w15:docId w15:val="{B888A6EF-2C3F-41B1-BB85-61EB1F9B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39B"/>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A80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3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3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3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3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39B"/>
    <w:rPr>
      <w:rFonts w:eastAsiaTheme="majorEastAsia" w:cstheme="majorBidi"/>
      <w:color w:val="272727" w:themeColor="text1" w:themeTint="D8"/>
    </w:rPr>
  </w:style>
  <w:style w:type="paragraph" w:styleId="Title">
    <w:name w:val="Title"/>
    <w:basedOn w:val="Normal"/>
    <w:next w:val="Normal"/>
    <w:link w:val="TitleChar"/>
    <w:uiPriority w:val="10"/>
    <w:qFormat/>
    <w:rsid w:val="00A803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39B"/>
    <w:pPr>
      <w:spacing w:before="160"/>
      <w:jc w:val="center"/>
    </w:pPr>
    <w:rPr>
      <w:i/>
      <w:iCs/>
      <w:color w:val="404040" w:themeColor="text1" w:themeTint="BF"/>
    </w:rPr>
  </w:style>
  <w:style w:type="character" w:customStyle="1" w:styleId="QuoteChar">
    <w:name w:val="Quote Char"/>
    <w:basedOn w:val="DefaultParagraphFont"/>
    <w:link w:val="Quote"/>
    <w:uiPriority w:val="29"/>
    <w:rsid w:val="00A8039B"/>
    <w:rPr>
      <w:i/>
      <w:iCs/>
      <w:color w:val="404040" w:themeColor="text1" w:themeTint="BF"/>
    </w:rPr>
  </w:style>
  <w:style w:type="paragraph" w:styleId="ListParagraph">
    <w:name w:val="List Paragraph"/>
    <w:basedOn w:val="Normal"/>
    <w:qFormat/>
    <w:rsid w:val="00A8039B"/>
    <w:pPr>
      <w:ind w:left="720"/>
      <w:contextualSpacing/>
    </w:pPr>
  </w:style>
  <w:style w:type="character" w:styleId="IntenseEmphasis">
    <w:name w:val="Intense Emphasis"/>
    <w:basedOn w:val="DefaultParagraphFont"/>
    <w:uiPriority w:val="21"/>
    <w:qFormat/>
    <w:rsid w:val="00A8039B"/>
    <w:rPr>
      <w:i/>
      <w:iCs/>
      <w:color w:val="0F4761" w:themeColor="accent1" w:themeShade="BF"/>
    </w:rPr>
  </w:style>
  <w:style w:type="paragraph" w:styleId="IntenseQuote">
    <w:name w:val="Intense Quote"/>
    <w:basedOn w:val="Normal"/>
    <w:next w:val="Normal"/>
    <w:link w:val="IntenseQuoteChar"/>
    <w:uiPriority w:val="30"/>
    <w:qFormat/>
    <w:rsid w:val="00A80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39B"/>
    <w:rPr>
      <w:i/>
      <w:iCs/>
      <w:color w:val="0F4761" w:themeColor="accent1" w:themeShade="BF"/>
    </w:rPr>
  </w:style>
  <w:style w:type="character" w:styleId="IntenseReference">
    <w:name w:val="Intense Reference"/>
    <w:basedOn w:val="DefaultParagraphFont"/>
    <w:uiPriority w:val="32"/>
    <w:qFormat/>
    <w:rsid w:val="00A8039B"/>
    <w:rPr>
      <w:b/>
      <w:bCs/>
      <w:smallCaps/>
      <w:color w:val="0F4761" w:themeColor="accent1" w:themeShade="BF"/>
      <w:spacing w:val="5"/>
    </w:rPr>
  </w:style>
  <w:style w:type="paragraph" w:styleId="Header">
    <w:name w:val="header"/>
    <w:basedOn w:val="Normal"/>
    <w:link w:val="HeaderChar"/>
    <w:uiPriority w:val="99"/>
    <w:unhideWhenUsed/>
    <w:rsid w:val="00E47322"/>
    <w:pPr>
      <w:tabs>
        <w:tab w:val="center" w:pos="4513"/>
        <w:tab w:val="right" w:pos="9026"/>
      </w:tabs>
    </w:pPr>
  </w:style>
  <w:style w:type="character" w:customStyle="1" w:styleId="HeaderChar">
    <w:name w:val="Header Char"/>
    <w:basedOn w:val="DefaultParagraphFont"/>
    <w:link w:val="Header"/>
    <w:uiPriority w:val="99"/>
    <w:rsid w:val="00E47322"/>
    <w:rPr>
      <w:rFonts w:ascii="Arial" w:eastAsia="Arial" w:hAnsi="Arial" w:cs="Arial"/>
      <w:kern w:val="0"/>
      <w:sz w:val="20"/>
      <w:szCs w:val="20"/>
      <w14:ligatures w14:val="none"/>
    </w:rPr>
  </w:style>
  <w:style w:type="paragraph" w:styleId="Footer">
    <w:name w:val="footer"/>
    <w:basedOn w:val="Normal"/>
    <w:link w:val="FooterChar"/>
    <w:uiPriority w:val="99"/>
    <w:unhideWhenUsed/>
    <w:rsid w:val="00E47322"/>
    <w:pPr>
      <w:tabs>
        <w:tab w:val="center" w:pos="4513"/>
        <w:tab w:val="right" w:pos="9026"/>
      </w:tabs>
    </w:pPr>
  </w:style>
  <w:style w:type="character" w:customStyle="1" w:styleId="FooterChar">
    <w:name w:val="Footer Char"/>
    <w:basedOn w:val="DefaultParagraphFont"/>
    <w:link w:val="Footer"/>
    <w:uiPriority w:val="99"/>
    <w:rsid w:val="00E47322"/>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#PUA SIN YEE#</dc:creator>
  <cp:keywords/>
  <dc:description/>
  <cp:lastModifiedBy>#PUA SIN YEE#</cp:lastModifiedBy>
  <cp:revision>1</cp:revision>
  <dcterms:created xsi:type="dcterms:W3CDTF">2026-05-16T14:40:00Z</dcterms:created>
  <dcterms:modified xsi:type="dcterms:W3CDTF">2026-05-16T15:13:00Z</dcterms:modified>
</cp:coreProperties>
</file>