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41" w:rsidRPr="00AE14B4" w:rsidRDefault="00AE14B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Diplomado:</w:t>
      </w:r>
      <w:bookmarkStart w:id="0" w:name="_GoBack"/>
      <w:bookmarkEnd w:id="0"/>
      <w:r>
        <w:rPr>
          <w:rFonts w:asciiTheme="majorHAnsi" w:hAnsiTheme="majorHAnsi"/>
          <w:b/>
        </w:rPr>
        <w:t xml:space="preserve"> </w:t>
      </w:r>
      <w:r w:rsidRPr="00AE14B4">
        <w:rPr>
          <w:rFonts w:asciiTheme="majorHAnsi" w:hAnsiTheme="majorHAnsi"/>
          <w:b/>
        </w:rPr>
        <w:t>Finanzas para no financieros</w:t>
      </w:r>
    </w:p>
    <w:p w:rsidR="00AE14B4" w:rsidRDefault="00AE14B4" w:rsidP="00AE14B4">
      <w:pPr>
        <w:widowControl w:val="0"/>
        <w:autoSpaceDE w:val="0"/>
        <w:autoSpaceDN w:val="0"/>
        <w:adjustRightInd w:val="0"/>
        <w:ind w:left="300"/>
        <w:rPr>
          <w:rFonts w:ascii="Verdana" w:hAnsi="Verdana" w:cs="Verdana"/>
          <w:b/>
          <w:bCs/>
          <w:color w:val="262626"/>
          <w:sz w:val="34"/>
          <w:szCs w:val="34"/>
          <w:lang w:val="es-ES"/>
        </w:rPr>
      </w:pPr>
    </w:p>
    <w:p w:rsidR="00AE14B4" w:rsidRPr="00AE14B4" w:rsidRDefault="00AE14B4" w:rsidP="00AE14B4">
      <w:pPr>
        <w:widowControl w:val="0"/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b/>
          <w:bCs/>
          <w:color w:val="424242"/>
          <w:lang w:val="es-ES"/>
        </w:rPr>
        <w:t>Dirigido a:</w:t>
      </w:r>
      <w:r w:rsidRPr="00AE14B4">
        <w:rPr>
          <w:rFonts w:asciiTheme="majorHAnsi" w:hAnsiTheme="majorHAnsi" w:cs="Verdana"/>
          <w:color w:val="424242"/>
          <w:lang w:val="es-ES"/>
        </w:rPr>
        <w:t> Todos aquellos profesionistas</w:t>
      </w:r>
      <w:r>
        <w:rPr>
          <w:rFonts w:asciiTheme="majorHAnsi" w:hAnsiTheme="majorHAnsi" w:cs="Verdana"/>
          <w:color w:val="424242"/>
          <w:lang w:val="es-ES"/>
        </w:rPr>
        <w:t xml:space="preserve"> cuya actividad no se encuentre </w:t>
      </w:r>
      <w:r w:rsidRPr="00AE14B4">
        <w:rPr>
          <w:rFonts w:asciiTheme="majorHAnsi" w:hAnsiTheme="majorHAnsi" w:cs="Verdana"/>
          <w:color w:val="424242"/>
          <w:lang w:val="es-ES"/>
        </w:rPr>
        <w:t>directamente relacionada con las áreas económico-financieras que deseen profundizar en el conocimiento de estos temas.</w:t>
      </w:r>
    </w:p>
    <w:p w:rsidR="00AE14B4" w:rsidRPr="00AE14B4" w:rsidRDefault="00AE14B4" w:rsidP="00AE14B4">
      <w:pPr>
        <w:widowControl w:val="0"/>
        <w:tabs>
          <w:tab w:val="left" w:pos="8789"/>
        </w:tabs>
        <w:autoSpaceDE w:val="0"/>
        <w:autoSpaceDN w:val="0"/>
        <w:adjustRightInd w:val="0"/>
        <w:ind w:left="200" w:right="600"/>
        <w:jc w:val="both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tabs>
          <w:tab w:val="left" w:pos="8789"/>
        </w:tabs>
        <w:autoSpaceDE w:val="0"/>
        <w:autoSpaceDN w:val="0"/>
        <w:adjustRightInd w:val="0"/>
        <w:ind w:left="200" w:right="600" w:hanging="200"/>
        <w:jc w:val="both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b/>
          <w:bCs/>
          <w:color w:val="424242"/>
          <w:lang w:val="es-ES"/>
        </w:rPr>
        <w:t>Características del programa: </w:t>
      </w:r>
      <w:r w:rsidRPr="00AE14B4">
        <w:rPr>
          <w:rFonts w:asciiTheme="majorHAnsi" w:hAnsiTheme="majorHAnsi" w:cs="Verdana"/>
          <w:color w:val="424242"/>
          <w:lang w:val="es-ES"/>
        </w:rPr>
        <w:t xml:space="preserve">Seis módulos, en 144 </w:t>
      </w:r>
      <w:proofErr w:type="spellStart"/>
      <w:r w:rsidRPr="00AE14B4">
        <w:rPr>
          <w:rFonts w:asciiTheme="majorHAnsi" w:hAnsiTheme="majorHAnsi" w:cs="Verdana"/>
          <w:color w:val="424242"/>
          <w:lang w:val="es-ES"/>
        </w:rPr>
        <w:t>hrs</w:t>
      </w:r>
      <w:proofErr w:type="spellEnd"/>
      <w:r w:rsidRPr="00AE14B4">
        <w:rPr>
          <w:rFonts w:asciiTheme="majorHAnsi" w:hAnsiTheme="majorHAnsi" w:cs="Verdana"/>
          <w:color w:val="424242"/>
          <w:lang w:val="es-ES"/>
        </w:rPr>
        <w:t>. (6 meses)</w:t>
      </w:r>
    </w:p>
    <w:p w:rsidR="00AE14B4" w:rsidRPr="00AE14B4" w:rsidRDefault="00AE14B4" w:rsidP="00AE14B4">
      <w:pPr>
        <w:widowControl w:val="0"/>
        <w:tabs>
          <w:tab w:val="left" w:pos="8789"/>
        </w:tabs>
        <w:autoSpaceDE w:val="0"/>
        <w:autoSpaceDN w:val="0"/>
        <w:adjustRightInd w:val="0"/>
        <w:ind w:left="200" w:right="600"/>
        <w:jc w:val="both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tabs>
          <w:tab w:val="left" w:pos="8789"/>
        </w:tabs>
        <w:autoSpaceDE w:val="0"/>
        <w:autoSpaceDN w:val="0"/>
        <w:adjustRightInd w:val="0"/>
        <w:ind w:left="200" w:right="600" w:hanging="200"/>
        <w:jc w:val="both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b/>
          <w:bCs/>
          <w:color w:val="424242"/>
          <w:lang w:val="es-ES"/>
        </w:rPr>
        <w:t>Reconocimiento Académico: </w:t>
      </w:r>
      <w:r w:rsidRPr="00AE14B4">
        <w:rPr>
          <w:rFonts w:asciiTheme="majorHAnsi" w:hAnsiTheme="majorHAnsi" w:cs="Verdana"/>
          <w:color w:val="424242"/>
          <w:lang w:val="es-ES"/>
        </w:rPr>
        <w:t>Diploma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rPr>
          <w:rFonts w:asciiTheme="majorHAnsi" w:hAnsiTheme="majorHAnsi" w:cs="Verdana"/>
          <w:color w:val="424242"/>
          <w:lang w:val="es-ES"/>
        </w:rPr>
      </w:pP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</w:p>
    <w:p w:rsidR="00AE14B4" w:rsidRDefault="00AE14B4" w:rsidP="00AE14B4">
      <w:pPr>
        <w:widowControl w:val="0"/>
        <w:autoSpaceDE w:val="0"/>
        <w:autoSpaceDN w:val="0"/>
        <w:adjustRightInd w:val="0"/>
        <w:ind w:left="300"/>
        <w:rPr>
          <w:rFonts w:ascii="Verdana" w:hAnsi="Verdana" w:cs="Verdana"/>
          <w:b/>
          <w:bCs/>
          <w:color w:val="262626"/>
          <w:sz w:val="34"/>
          <w:szCs w:val="34"/>
          <w:lang w:val="es-ES"/>
        </w:rPr>
      </w:pPr>
      <w:r>
        <w:rPr>
          <w:rFonts w:ascii="Verdana" w:hAnsi="Verdana" w:cs="Verdana"/>
          <w:b/>
          <w:bCs/>
          <w:color w:val="262626"/>
          <w:sz w:val="34"/>
          <w:szCs w:val="34"/>
          <w:lang w:val="es-ES"/>
        </w:rPr>
        <w:t> 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bCs/>
          <w:color w:val="262626"/>
          <w:lang w:val="es-ES"/>
        </w:rPr>
      </w:pPr>
      <w:r w:rsidRPr="00AE14B4">
        <w:rPr>
          <w:rFonts w:asciiTheme="majorHAnsi" w:hAnsiTheme="majorHAnsi" w:cs="Verdana"/>
          <w:b/>
          <w:bCs/>
          <w:color w:val="262626"/>
          <w:lang w:val="es-ES"/>
        </w:rPr>
        <w:t>Objetivos del curso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Introducir al participante al estudio de las fin</w:t>
      </w:r>
      <w:r>
        <w:rPr>
          <w:rFonts w:asciiTheme="majorHAnsi" w:hAnsiTheme="majorHAnsi" w:cs="Verdana"/>
          <w:color w:val="424242"/>
          <w:lang w:val="es-ES"/>
        </w:rPr>
        <w:t xml:space="preserve">anzas y la economía mediante la </w:t>
      </w:r>
      <w:r w:rsidRPr="00AE14B4">
        <w:rPr>
          <w:rFonts w:asciiTheme="majorHAnsi" w:hAnsiTheme="majorHAnsi" w:cs="Verdana"/>
          <w:color w:val="424242"/>
          <w:lang w:val="es-ES"/>
        </w:rPr>
        <w:t>transmisión de los conocimientos fundamentales que le permitan contar con una comprensión integral de estas áreas. Adicionalmente se buscará trasmitir al participante conocimientos y herramientas analíticas que le permitan interactuar en forma más eficiente con las áreas financieras, así como desarrollar y evaluar planes y modelos de negocios relativos a su área de especialización.</w:t>
      </w:r>
    </w:p>
    <w:p w:rsidR="00AE14B4" w:rsidRPr="00AE14B4" w:rsidRDefault="00AE14B4" w:rsidP="00AE14B4">
      <w:pPr>
        <w:widowControl w:val="0"/>
        <w:tabs>
          <w:tab w:val="left" w:pos="8789"/>
        </w:tabs>
        <w:autoSpaceDE w:val="0"/>
        <w:autoSpaceDN w:val="0"/>
        <w:adjustRightInd w:val="0"/>
        <w:ind w:left="300"/>
        <w:jc w:val="both"/>
        <w:rPr>
          <w:rFonts w:asciiTheme="majorHAnsi" w:hAnsiTheme="majorHAnsi" w:cs="Verdana"/>
          <w:b/>
          <w:bCs/>
          <w:color w:val="262626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bCs/>
          <w:color w:val="262626"/>
          <w:lang w:val="es-ES"/>
        </w:rPr>
      </w:pPr>
      <w:r w:rsidRPr="00AE14B4">
        <w:rPr>
          <w:rFonts w:asciiTheme="majorHAnsi" w:hAnsiTheme="majorHAnsi" w:cs="Verdana"/>
          <w:b/>
          <w:bCs/>
          <w:color w:val="262626"/>
          <w:lang w:val="es-ES"/>
        </w:rPr>
        <w:t>Estructura del curso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El programa está estructurado en los siguientes temas: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Módulo 1: Microeconomía y macroeconomía (24 horas)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 xml:space="preserve">Módulo 2: Contabilidad para no contadores (24 horas) 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 xml:space="preserve">Módulo 3: Matemáticas financieras (24 horas) 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 xml:space="preserve">Módulo 4: Análisis financiero (24 horas) </w:t>
      </w:r>
    </w:p>
    <w:p w:rsid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 xml:space="preserve">Módulo 5: Finanzas corporativas (24 horas) 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Módulo 6: Evaluación de proyectos de inversión (24 horas)</w:t>
      </w:r>
    </w:p>
    <w:p w:rsidR="00AE14B4" w:rsidRPr="00AE14B4" w:rsidRDefault="00AE14B4" w:rsidP="00AE14B4">
      <w:pPr>
        <w:rPr>
          <w:rFonts w:asciiTheme="majorHAnsi" w:hAnsiTheme="majorHAnsi" w:cs="Verdana"/>
          <w:color w:val="424242"/>
          <w:lang w:val="es-ES"/>
        </w:rPr>
      </w:pPr>
    </w:p>
    <w:p w:rsidR="00AE14B4" w:rsidRDefault="00AE14B4" w:rsidP="00AE14B4">
      <w:pPr>
        <w:widowControl w:val="0"/>
        <w:autoSpaceDE w:val="0"/>
        <w:autoSpaceDN w:val="0"/>
        <w:adjustRightInd w:val="0"/>
        <w:ind w:right="600"/>
        <w:rPr>
          <w:rFonts w:asciiTheme="majorHAnsi" w:hAnsiTheme="majorHAnsi" w:cs="Verdana"/>
          <w:color w:val="424242"/>
          <w:lang w:val="es-ES"/>
        </w:rPr>
      </w:pP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b/>
          <w:bCs/>
          <w:color w:val="262626"/>
          <w:lang w:val="es-ES"/>
        </w:rPr>
        <w:t>Calendario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Los cursos se impartirán los siguientes días: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A partir del 6 de marzo de 2013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Lunes, de 19:00 a 22:00</w:t>
      </w:r>
    </w:p>
    <w:p w:rsidR="00AE14B4" w:rsidRPr="00AE14B4" w:rsidRDefault="00AE14B4" w:rsidP="00AE14B4">
      <w:pPr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Miércoles, de 19:00 a 22:00</w:t>
      </w:r>
    </w:p>
    <w:p w:rsidR="00AE14B4" w:rsidRDefault="00AE14B4" w:rsidP="00AE14B4">
      <w:pPr>
        <w:widowControl w:val="0"/>
        <w:autoSpaceDE w:val="0"/>
        <w:autoSpaceDN w:val="0"/>
        <w:adjustRightInd w:val="0"/>
        <w:ind w:left="300"/>
        <w:rPr>
          <w:rFonts w:asciiTheme="majorHAnsi" w:hAnsiTheme="majorHAnsi" w:cs="Verdana"/>
          <w:b/>
          <w:bCs/>
          <w:color w:val="262626"/>
          <w:lang w:val="es-ES"/>
        </w:rPr>
      </w:pPr>
    </w:p>
    <w:p w:rsidR="00AE14B4" w:rsidRDefault="00AE14B4" w:rsidP="00AE14B4">
      <w:pPr>
        <w:widowControl w:val="0"/>
        <w:autoSpaceDE w:val="0"/>
        <w:autoSpaceDN w:val="0"/>
        <w:adjustRightInd w:val="0"/>
        <w:ind w:left="300"/>
        <w:rPr>
          <w:rFonts w:asciiTheme="majorHAnsi" w:hAnsiTheme="majorHAnsi" w:cs="Verdana"/>
          <w:b/>
          <w:bCs/>
          <w:color w:val="262626"/>
          <w:lang w:val="es-ES"/>
        </w:rPr>
      </w:pPr>
    </w:p>
    <w:p w:rsidR="00AE14B4" w:rsidRDefault="00AE14B4" w:rsidP="00AE14B4">
      <w:pPr>
        <w:widowControl w:val="0"/>
        <w:autoSpaceDE w:val="0"/>
        <w:autoSpaceDN w:val="0"/>
        <w:adjustRightInd w:val="0"/>
        <w:ind w:left="300"/>
        <w:rPr>
          <w:rFonts w:asciiTheme="majorHAnsi" w:hAnsiTheme="majorHAnsi" w:cs="Verdana"/>
          <w:b/>
          <w:bCs/>
          <w:color w:val="262626"/>
          <w:lang w:val="es-ES"/>
        </w:rPr>
      </w:pPr>
    </w:p>
    <w:p w:rsidR="00AE14B4" w:rsidRPr="00AE14B4" w:rsidRDefault="00AE14B4" w:rsidP="00AE14B4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bCs/>
          <w:color w:val="262626"/>
          <w:lang w:val="es-ES"/>
        </w:rPr>
      </w:pPr>
      <w:r w:rsidRPr="00AE14B4">
        <w:rPr>
          <w:rFonts w:asciiTheme="majorHAnsi" w:hAnsiTheme="majorHAnsi" w:cs="Verdana"/>
          <w:b/>
          <w:bCs/>
          <w:color w:val="262626"/>
          <w:lang w:val="es-ES"/>
        </w:rPr>
        <w:lastRenderedPageBreak/>
        <w:t>Costo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b/>
          <w:bCs/>
          <w:color w:val="424242"/>
          <w:lang w:val="es-ES"/>
        </w:rPr>
        <w:t>$39,438.00 + IVA</w:t>
      </w:r>
      <w:r w:rsidRPr="00AE14B4">
        <w:rPr>
          <w:rFonts w:asciiTheme="majorHAnsi" w:hAnsiTheme="majorHAnsi" w:cs="Verdana"/>
          <w:color w:val="424242"/>
          <w:lang w:val="es-ES"/>
        </w:rPr>
        <w:t xml:space="preserve"> *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Default="00AE14B4" w:rsidP="00AE14B4">
      <w:pPr>
        <w:widowControl w:val="0"/>
        <w:autoSpaceDE w:val="0"/>
        <w:autoSpaceDN w:val="0"/>
        <w:adjustRightInd w:val="0"/>
        <w:ind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Descuentos: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right="600"/>
        <w:rPr>
          <w:rFonts w:asciiTheme="majorHAnsi" w:hAnsiTheme="majorHAnsi" w:cs="Verdana"/>
          <w:color w:val="424242"/>
          <w:lang w:val="es-ES"/>
        </w:rPr>
      </w:pP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20% egresados de la Universidad Anáhuac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10% si se inscriben tres personas de la misma empresa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3% si se paga con cheque</w:t>
      </w:r>
    </w:p>
    <w:p w:rsidR="00AE14B4" w:rsidRPr="00AE14B4" w:rsidRDefault="00AE14B4" w:rsidP="00AE14B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b/>
          <w:bCs/>
          <w:color w:val="424242"/>
          <w:lang w:val="es-ES"/>
        </w:rPr>
        <w:t>$4,000.00 de inscripción</w:t>
      </w:r>
      <w:r w:rsidRPr="00AE14B4">
        <w:rPr>
          <w:rFonts w:asciiTheme="majorHAnsi" w:hAnsiTheme="majorHAnsi" w:cs="Verdana"/>
          <w:color w:val="424242"/>
          <w:lang w:val="es-ES"/>
        </w:rPr>
        <w:t xml:space="preserve"> si la realiza antes del </w:t>
      </w:r>
      <w:r w:rsidRPr="00AE14B4">
        <w:rPr>
          <w:rFonts w:asciiTheme="majorHAnsi" w:hAnsiTheme="majorHAnsi" w:cs="Verdana"/>
          <w:b/>
          <w:bCs/>
          <w:color w:val="424242"/>
          <w:lang w:val="es-ES"/>
        </w:rPr>
        <w:t>15 de enero</w:t>
      </w:r>
    </w:p>
    <w:p w:rsidR="00AE14B4" w:rsidRPr="00AE14B4" w:rsidRDefault="00AE14B4" w:rsidP="00AE14B4">
      <w:pPr>
        <w:widowControl w:val="0"/>
        <w:autoSpaceDE w:val="0"/>
        <w:autoSpaceDN w:val="0"/>
        <w:adjustRightInd w:val="0"/>
        <w:ind w:left="200" w:right="60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 </w:t>
      </w:r>
    </w:p>
    <w:p w:rsidR="00AE14B4" w:rsidRPr="00AE14B4" w:rsidRDefault="00AE14B4" w:rsidP="00AE14B4">
      <w:pPr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color w:val="424242"/>
          <w:lang w:val="es-ES"/>
        </w:rPr>
        <w:t>*Inscripción no incluida ($4,000.00). Precio por módulo: $6,573.00 + IVA</w:t>
      </w:r>
    </w:p>
    <w:p w:rsidR="00AE14B4" w:rsidRPr="00AE14B4" w:rsidRDefault="00AE14B4" w:rsidP="00AE14B4">
      <w:pPr>
        <w:rPr>
          <w:rFonts w:asciiTheme="majorHAnsi" w:hAnsiTheme="majorHAnsi" w:cs="Verdana"/>
          <w:color w:val="424242"/>
          <w:lang w:val="es-ES"/>
        </w:rPr>
      </w:pPr>
    </w:p>
    <w:p w:rsidR="00AE14B4" w:rsidRDefault="00AE14B4" w:rsidP="00AE14B4">
      <w:pPr>
        <w:widowControl w:val="0"/>
        <w:autoSpaceDE w:val="0"/>
        <w:autoSpaceDN w:val="0"/>
        <w:adjustRightInd w:val="0"/>
        <w:ind w:left="200"/>
        <w:rPr>
          <w:rFonts w:asciiTheme="majorHAnsi" w:hAnsiTheme="majorHAnsi" w:cs="Verdana"/>
          <w:color w:val="424242"/>
          <w:lang w:val="es-ES"/>
        </w:rPr>
      </w:pPr>
    </w:p>
    <w:p w:rsidR="00AE14B4" w:rsidRPr="00AE14B4" w:rsidRDefault="00AE14B4" w:rsidP="00AE14B4">
      <w:pPr>
        <w:widowControl w:val="0"/>
        <w:autoSpaceDE w:val="0"/>
        <w:autoSpaceDN w:val="0"/>
        <w:adjustRightInd w:val="0"/>
        <w:rPr>
          <w:rFonts w:asciiTheme="majorHAnsi" w:hAnsiTheme="majorHAnsi" w:cs="Verdana"/>
          <w:b/>
          <w:bCs/>
          <w:color w:val="262626"/>
          <w:lang w:val="es-ES"/>
        </w:rPr>
      </w:pPr>
      <w:r w:rsidRPr="00AE14B4">
        <w:rPr>
          <w:rFonts w:asciiTheme="majorHAnsi" w:hAnsiTheme="majorHAnsi" w:cs="Verdana"/>
          <w:b/>
          <w:bCs/>
          <w:color w:val="262626"/>
          <w:lang w:val="es-ES"/>
        </w:rPr>
        <w:t xml:space="preserve">Contacto: </w:t>
      </w:r>
    </w:p>
    <w:p w:rsidR="00AE14B4" w:rsidRDefault="00AE14B4" w:rsidP="00AE14B4">
      <w:pPr>
        <w:widowControl w:val="0"/>
        <w:autoSpaceDE w:val="0"/>
        <w:autoSpaceDN w:val="0"/>
        <w:adjustRightInd w:val="0"/>
        <w:ind w:left="200"/>
        <w:rPr>
          <w:rFonts w:asciiTheme="majorHAnsi" w:hAnsiTheme="majorHAnsi" w:cs="Verdana"/>
          <w:b/>
          <w:bCs/>
          <w:color w:val="424242"/>
          <w:lang w:val="es-ES"/>
        </w:rPr>
      </w:pPr>
    </w:p>
    <w:p w:rsidR="00AE14B4" w:rsidRPr="00AE14B4" w:rsidRDefault="00AE14B4" w:rsidP="00AE14B4">
      <w:pPr>
        <w:widowControl w:val="0"/>
        <w:autoSpaceDE w:val="0"/>
        <w:autoSpaceDN w:val="0"/>
        <w:adjustRightInd w:val="0"/>
        <w:rPr>
          <w:rFonts w:asciiTheme="majorHAnsi" w:hAnsiTheme="majorHAnsi" w:cs="Verdana"/>
          <w:color w:val="424242"/>
          <w:lang w:val="es-ES"/>
        </w:rPr>
      </w:pPr>
      <w:r w:rsidRPr="00AE14B4">
        <w:rPr>
          <w:rFonts w:asciiTheme="majorHAnsi" w:hAnsiTheme="majorHAnsi" w:cs="Verdana"/>
          <w:b/>
          <w:bCs/>
          <w:color w:val="424242"/>
          <w:lang w:val="es-ES"/>
        </w:rPr>
        <w:t>Mtra. Guillermina Maciel</w:t>
      </w:r>
      <w:r w:rsidRPr="00AE14B4">
        <w:rPr>
          <w:rFonts w:asciiTheme="majorHAnsi" w:hAnsiTheme="majorHAnsi" w:cs="Verdana"/>
          <w:color w:val="424242"/>
          <w:lang w:val="es-ES"/>
        </w:rPr>
        <w:t> Instituto de Desarrollo Empresarial Anáhuac Av. Universidad Anáhuac 46</w:t>
      </w:r>
    </w:p>
    <w:p w:rsidR="00AE14B4" w:rsidRPr="00AE14B4" w:rsidRDefault="00AE14B4" w:rsidP="00AE14B4">
      <w:pPr>
        <w:rPr>
          <w:rFonts w:asciiTheme="majorHAnsi" w:hAnsiTheme="majorHAnsi"/>
        </w:rPr>
      </w:pPr>
      <w:r w:rsidRPr="00AE14B4">
        <w:rPr>
          <w:rFonts w:asciiTheme="majorHAnsi" w:hAnsiTheme="majorHAnsi" w:cs="Verdana"/>
          <w:color w:val="424242"/>
          <w:lang w:val="es-ES"/>
        </w:rPr>
        <w:t>Col. Lomas Anáhuac, Huixquilucan, Edo. de México, C.P. 52786  Edificio de Posgrado, P.B.</w:t>
      </w:r>
    </w:p>
    <w:sectPr w:rsidR="00AE14B4" w:rsidRPr="00AE14B4" w:rsidSect="00252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B4"/>
    <w:rsid w:val="0025274D"/>
    <w:rsid w:val="00AE14B4"/>
    <w:rsid w:val="00D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67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1567</Characters>
  <Application>Microsoft Macintosh Word</Application>
  <DocSecurity>0</DocSecurity>
  <Lines>13</Lines>
  <Paragraphs>3</Paragraphs>
  <ScaleCrop>false</ScaleCrop>
  <Company>Red de Universidade Anáhuac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Ninemi Alba Ortega</dc:creator>
  <cp:keywords/>
  <dc:description/>
  <cp:lastModifiedBy>Ninemi Alba Ortega</cp:lastModifiedBy>
  <cp:revision>1</cp:revision>
  <dcterms:created xsi:type="dcterms:W3CDTF">2013-05-09T17:14:00Z</dcterms:created>
  <dcterms:modified xsi:type="dcterms:W3CDTF">2013-05-09T17:19:00Z</dcterms:modified>
</cp:coreProperties>
</file>