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FA" w:rsidRPr="005C4B56" w:rsidRDefault="009611B8" w:rsidP="005C4B56">
      <w:pPr>
        <w:jc w:val="center"/>
        <w:rPr>
          <w:rFonts w:ascii="Candara" w:hAnsi="Candara"/>
          <w:b/>
          <w:sz w:val="32"/>
        </w:rPr>
      </w:pPr>
      <w:r w:rsidRPr="005C4B56">
        <w:rPr>
          <w:rFonts w:ascii="Candara" w:hAnsi="Candara"/>
          <w:b/>
          <w:sz w:val="32"/>
        </w:rPr>
        <w:t>Mercadotecnia de Posgrado y Extensión Universitaria.</w:t>
      </w:r>
    </w:p>
    <w:p w:rsidR="009611B8" w:rsidRPr="005C4B56" w:rsidRDefault="009611B8" w:rsidP="005C4B56">
      <w:pPr>
        <w:jc w:val="center"/>
        <w:rPr>
          <w:rFonts w:ascii="Candara" w:hAnsi="Candara"/>
          <w:sz w:val="32"/>
        </w:rPr>
      </w:pPr>
      <w:r w:rsidRPr="005C4B56">
        <w:rPr>
          <w:rFonts w:ascii="Candara" w:hAnsi="Candara"/>
          <w:sz w:val="32"/>
        </w:rPr>
        <w:t>Informe de cierre.</w:t>
      </w:r>
    </w:p>
    <w:p w:rsidR="009611B8" w:rsidRPr="005C4B56" w:rsidRDefault="009611B8" w:rsidP="005C4B56">
      <w:pPr>
        <w:jc w:val="center"/>
        <w:rPr>
          <w:rFonts w:ascii="Candara" w:hAnsi="Candara"/>
          <w:sz w:val="24"/>
        </w:rPr>
      </w:pPr>
      <w:r w:rsidRPr="005C4B56">
        <w:rPr>
          <w:rFonts w:ascii="Candara" w:hAnsi="Candara"/>
          <w:sz w:val="24"/>
        </w:rPr>
        <w:t>20 de diciembre, 2017.</w:t>
      </w:r>
    </w:p>
    <w:p w:rsidR="005C4B56" w:rsidRDefault="005C4B56">
      <w:pPr>
        <w:rPr>
          <w:rFonts w:ascii="Candara" w:hAnsi="Candara"/>
        </w:rPr>
      </w:pPr>
    </w:p>
    <w:p w:rsidR="009611B8" w:rsidRDefault="009611B8">
      <w:pPr>
        <w:rPr>
          <w:rFonts w:ascii="Candara" w:hAnsi="Candara"/>
        </w:rPr>
      </w:pPr>
      <w:r w:rsidRPr="005C4B56">
        <w:rPr>
          <w:rFonts w:ascii="Candara" w:hAnsi="Candara"/>
        </w:rPr>
        <w:t xml:space="preserve">El departamento </w:t>
      </w:r>
      <w:r w:rsidR="005E463F" w:rsidRPr="005C4B56">
        <w:rPr>
          <w:rFonts w:ascii="Candara" w:hAnsi="Candara"/>
        </w:rPr>
        <w:t>de Mercadotecnia logró el</w:t>
      </w:r>
      <w:r w:rsidR="007F5B67" w:rsidRPr="005C4B56">
        <w:rPr>
          <w:rFonts w:ascii="Candara" w:hAnsi="Candara"/>
        </w:rPr>
        <w:t xml:space="preserve"> </w:t>
      </w:r>
      <w:r w:rsidR="00901A8A" w:rsidRPr="005C4B56">
        <w:rPr>
          <w:rFonts w:ascii="Candara" w:hAnsi="Candara"/>
        </w:rPr>
        <w:t>cumplimiento del 80</w:t>
      </w:r>
      <w:r w:rsidR="007F5B67" w:rsidRPr="005C4B56">
        <w:rPr>
          <w:rFonts w:ascii="Candara" w:hAnsi="Candara"/>
        </w:rPr>
        <w:t>% de la meta de alumnos de extensión y del 72% de la meta de</w:t>
      </w:r>
      <w:r w:rsidR="00901A8A" w:rsidRPr="005C4B56">
        <w:rPr>
          <w:rFonts w:ascii="Candara" w:hAnsi="Candara"/>
        </w:rPr>
        <w:t xml:space="preserve"> alumnos de posgrado, según el plan </w:t>
      </w:r>
      <w:r w:rsidR="0031679B">
        <w:rPr>
          <w:rFonts w:ascii="Candara" w:hAnsi="Candara"/>
        </w:rPr>
        <w:t>operativo</w:t>
      </w:r>
      <w:r w:rsidR="00901A8A" w:rsidRPr="005C4B56">
        <w:rPr>
          <w:rFonts w:ascii="Candara" w:hAnsi="Candara"/>
        </w:rPr>
        <w:t xml:space="preserve"> presentado en 2</w:t>
      </w:r>
      <w:r w:rsidR="005C4B56" w:rsidRPr="005C4B56">
        <w:rPr>
          <w:rFonts w:ascii="Candara" w:hAnsi="Candara"/>
        </w:rPr>
        <w:t>016. No obstante, se presenta los</w:t>
      </w:r>
      <w:r w:rsidR="00901A8A" w:rsidRPr="005C4B56">
        <w:rPr>
          <w:rFonts w:ascii="Candara" w:hAnsi="Candara"/>
        </w:rPr>
        <w:t xml:space="preserve"> siguiente</w:t>
      </w:r>
      <w:r w:rsidR="005C4B56" w:rsidRPr="005C4B56">
        <w:rPr>
          <w:rFonts w:ascii="Candara" w:hAnsi="Candara"/>
        </w:rPr>
        <w:t>s</w:t>
      </w:r>
      <w:r w:rsidR="00901A8A" w:rsidRPr="005C4B56">
        <w:rPr>
          <w:rFonts w:ascii="Candara" w:hAnsi="Candara"/>
        </w:rPr>
        <w:t xml:space="preserve"> cuadro</w:t>
      </w:r>
      <w:r w:rsidR="005C4B56" w:rsidRPr="005C4B56">
        <w:rPr>
          <w:rFonts w:ascii="Candara" w:hAnsi="Candara"/>
        </w:rPr>
        <w:t xml:space="preserve">s con el fin de comparar </w:t>
      </w:r>
      <w:r w:rsidR="00B828CA">
        <w:rPr>
          <w:rFonts w:ascii="Candara" w:hAnsi="Candara"/>
        </w:rPr>
        <w:t xml:space="preserve">los años </w:t>
      </w:r>
      <w:r w:rsidR="005C4B56" w:rsidRPr="005C4B56">
        <w:rPr>
          <w:rFonts w:ascii="Candara" w:hAnsi="Candara"/>
        </w:rPr>
        <w:t>2016 y 2017 así como el crecimiento proyectado en 2017 y el crecimiento real.</w:t>
      </w:r>
    </w:p>
    <w:p w:rsidR="00B828CA" w:rsidRPr="005C4B56" w:rsidRDefault="00B828CA">
      <w:pPr>
        <w:rPr>
          <w:rFonts w:ascii="Candara" w:hAnsi="Candara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2"/>
        <w:gridCol w:w="1054"/>
        <w:gridCol w:w="864"/>
        <w:gridCol w:w="1054"/>
        <w:gridCol w:w="864"/>
        <w:gridCol w:w="1054"/>
        <w:gridCol w:w="864"/>
      </w:tblGrid>
      <w:tr w:rsidR="005C4B56" w:rsidRPr="005C4B56" w:rsidTr="00901A8A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A8A" w:rsidRPr="00901A8A" w:rsidRDefault="00901A8A" w:rsidP="00901A8A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20"/>
                <w:lang w:eastAsia="es-MX"/>
              </w:rPr>
              <w:t>2016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20"/>
                <w:lang w:eastAsia="es-MX"/>
              </w:rPr>
              <w:t>2017 PROYECTADO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20"/>
                <w:lang w:eastAsia="es-MX"/>
              </w:rPr>
              <w:t>2017 REAL</w:t>
            </w:r>
          </w:p>
        </w:tc>
      </w:tr>
      <w:tr w:rsidR="008F31F2" w:rsidRPr="005C4B56" w:rsidTr="008F31F2">
        <w:trPr>
          <w:trHeight w:val="3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A8A" w:rsidRPr="00901A8A" w:rsidRDefault="00901A8A" w:rsidP="00901A8A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  <w:t>PROGRAMAS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  <w:t>ALUMNOS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  <w:t>PROGRAMAS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  <w:t>ALUMNOS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  <w:t>PROGRAMAS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</w:pPr>
            <w:r w:rsidRPr="00901A8A">
              <w:rPr>
                <w:rFonts w:ascii="Candara" w:eastAsia="Times New Roman" w:hAnsi="Candara" w:cs="Arial"/>
                <w:b/>
                <w:bCs/>
                <w:sz w:val="16"/>
                <w:szCs w:val="18"/>
                <w:lang w:eastAsia="es-MX"/>
              </w:rPr>
              <w:t>ALUMNOS</w:t>
            </w:r>
          </w:p>
        </w:tc>
      </w:tr>
      <w:tr w:rsidR="00901A8A" w:rsidRPr="005C4B56" w:rsidTr="00901A8A">
        <w:trPr>
          <w:trHeight w:val="649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Extensión- diplomados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297</w:t>
            </w:r>
          </w:p>
        </w:tc>
      </w:tr>
      <w:tr w:rsidR="00901A8A" w:rsidRPr="005C4B56" w:rsidTr="00901A8A">
        <w:trPr>
          <w:trHeight w:val="64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Extensión- cursos cortos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131</w:t>
            </w:r>
          </w:p>
        </w:tc>
      </w:tr>
      <w:tr w:rsidR="00901A8A" w:rsidRPr="005C4B56" w:rsidTr="00901A8A">
        <w:trPr>
          <w:trHeight w:val="64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Extensión-  Playa del Carmen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125</w:t>
            </w:r>
          </w:p>
        </w:tc>
      </w:tr>
      <w:tr w:rsidR="00901A8A" w:rsidRPr="005C4B56" w:rsidTr="00901A8A">
        <w:trPr>
          <w:trHeight w:val="64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Extensión-  Cozumel y Chetumal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65</w:t>
            </w:r>
          </w:p>
        </w:tc>
      </w:tr>
      <w:tr w:rsidR="00901A8A" w:rsidRPr="005C4B56" w:rsidTr="00901A8A">
        <w:trPr>
          <w:trHeight w:val="64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Extensión-  in company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38</w:t>
            </w:r>
          </w:p>
        </w:tc>
      </w:tr>
      <w:tr w:rsidR="005C4B56" w:rsidRPr="005C4B56" w:rsidTr="00901A8A">
        <w:trPr>
          <w:trHeight w:val="64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Extensión - cursos de idiomas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24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 </w:t>
            </w:r>
          </w:p>
        </w:tc>
      </w:tr>
      <w:tr w:rsidR="00901A8A" w:rsidRPr="005C4B56" w:rsidTr="00901A8A">
        <w:trPr>
          <w:trHeight w:val="64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Extensión-  -Le Cordon Bleu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145</w:t>
            </w:r>
          </w:p>
        </w:tc>
      </w:tr>
      <w:tr w:rsidR="008F31F2" w:rsidRPr="005C4B56" w:rsidTr="00901A8A">
        <w:trPr>
          <w:trHeight w:val="64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901A8A" w:rsidRPr="00901A8A" w:rsidRDefault="00901A8A" w:rsidP="00901A8A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lang w:eastAsia="es-MX"/>
              </w:rPr>
            </w:pPr>
            <w:r w:rsidRPr="00901A8A">
              <w:rPr>
                <w:rFonts w:ascii="Candara" w:eastAsia="Times New Roman" w:hAnsi="Candara" w:cs="Arial"/>
                <w:sz w:val="20"/>
                <w:lang w:eastAsia="es-MX"/>
              </w:rPr>
              <w:t>801</w:t>
            </w:r>
          </w:p>
        </w:tc>
      </w:tr>
    </w:tbl>
    <w:p w:rsidR="00901A8A" w:rsidRPr="005C4B56" w:rsidRDefault="00901A8A">
      <w:pPr>
        <w:rPr>
          <w:rFonts w:ascii="Candara" w:hAnsi="Candara"/>
        </w:rPr>
      </w:pPr>
    </w:p>
    <w:tbl>
      <w:tblPr>
        <w:tblW w:w="493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0"/>
        <w:gridCol w:w="1131"/>
        <w:gridCol w:w="914"/>
        <w:gridCol w:w="1132"/>
        <w:gridCol w:w="914"/>
        <w:gridCol w:w="1132"/>
        <w:gridCol w:w="1006"/>
      </w:tblGrid>
      <w:tr w:rsidR="005C4B56" w:rsidRPr="005C4B56" w:rsidTr="008F31F2">
        <w:trPr>
          <w:trHeight w:val="304"/>
        </w:trPr>
        <w:tc>
          <w:tcPr>
            <w:tcW w:w="1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B56" w:rsidRPr="005C4B56" w:rsidRDefault="005C4B56" w:rsidP="005C4B56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5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20"/>
                <w:szCs w:val="20"/>
                <w:lang w:eastAsia="es-MX"/>
              </w:rPr>
              <w:t>2016</w:t>
            </w:r>
          </w:p>
        </w:tc>
        <w:tc>
          <w:tcPr>
            <w:tcW w:w="11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20"/>
                <w:szCs w:val="20"/>
                <w:lang w:eastAsia="es-MX"/>
              </w:rPr>
              <w:t>2017 PROYECTADO</w:t>
            </w:r>
          </w:p>
        </w:tc>
        <w:tc>
          <w:tcPr>
            <w:tcW w:w="12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C99"/>
            <w:noWrap/>
            <w:vAlign w:val="bottom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20"/>
                <w:szCs w:val="20"/>
                <w:lang w:eastAsia="es-MX"/>
              </w:rPr>
              <w:t>2017 REAL</w:t>
            </w:r>
          </w:p>
        </w:tc>
      </w:tr>
      <w:tr w:rsidR="008F31F2" w:rsidRPr="005C4B56" w:rsidTr="008F31F2">
        <w:trPr>
          <w:trHeight w:val="252"/>
        </w:trPr>
        <w:tc>
          <w:tcPr>
            <w:tcW w:w="14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4B56" w:rsidRPr="005C4B56" w:rsidRDefault="005C4B56" w:rsidP="005C4B56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  <w:t>PROGRAMAS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  <w:t>ALUMNOS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  <w:t>PROGRAMAS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  <w:t>ALUMNOS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  <w:t>PROGRAMAS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b/>
                <w:bCs/>
                <w:sz w:val="16"/>
                <w:szCs w:val="20"/>
                <w:lang w:eastAsia="es-MX"/>
              </w:rPr>
              <w:t>ALUMNOS</w:t>
            </w:r>
          </w:p>
        </w:tc>
      </w:tr>
      <w:tr w:rsidR="008F31F2" w:rsidRPr="005C4B56" w:rsidTr="008F31F2">
        <w:trPr>
          <w:trHeight w:val="500"/>
        </w:trPr>
        <w:tc>
          <w:tcPr>
            <w:tcW w:w="1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  <w:t>Maestrías (Nuevas aperturas)</w:t>
            </w:r>
          </w:p>
        </w:tc>
        <w:tc>
          <w:tcPr>
            <w:tcW w:w="63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  <w:t>108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B56" w:rsidRPr="005C4B56" w:rsidRDefault="005C4B56" w:rsidP="005C4B56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</w:pPr>
            <w:r w:rsidRPr="005C4B56">
              <w:rPr>
                <w:rFonts w:ascii="Candara" w:eastAsia="Times New Roman" w:hAnsi="Candara" w:cs="Arial"/>
                <w:sz w:val="20"/>
                <w:szCs w:val="20"/>
                <w:lang w:eastAsia="es-MX"/>
              </w:rPr>
              <w:t>78</w:t>
            </w:r>
          </w:p>
        </w:tc>
      </w:tr>
    </w:tbl>
    <w:p w:rsidR="007F5B67" w:rsidRDefault="007F5B67">
      <w:pPr>
        <w:rPr>
          <w:rFonts w:ascii="Candara" w:hAnsi="Candara"/>
        </w:rPr>
      </w:pPr>
    </w:p>
    <w:p w:rsidR="008F31F2" w:rsidRPr="008F31F2" w:rsidRDefault="008F31F2">
      <w:pPr>
        <w:rPr>
          <w:rFonts w:ascii="Candara" w:hAnsi="Candara"/>
        </w:rPr>
      </w:pPr>
    </w:p>
    <w:p w:rsidR="005C4B56" w:rsidRPr="008F31F2" w:rsidRDefault="005C4B56" w:rsidP="002C31F9">
      <w:pPr>
        <w:jc w:val="both"/>
        <w:rPr>
          <w:rFonts w:ascii="Candara" w:hAnsi="Candara"/>
        </w:rPr>
      </w:pPr>
      <w:r w:rsidRPr="008F31F2">
        <w:rPr>
          <w:rFonts w:ascii="Candara" w:hAnsi="Candara"/>
        </w:rPr>
        <w:lastRenderedPageBreak/>
        <w:t xml:space="preserve">Al terminar este </w:t>
      </w:r>
      <w:r w:rsidR="0031679B">
        <w:rPr>
          <w:rFonts w:ascii="Candara" w:hAnsi="Candara"/>
        </w:rPr>
        <w:t>ciclo</w:t>
      </w:r>
      <w:r w:rsidRPr="008F31F2">
        <w:rPr>
          <w:rFonts w:ascii="Candara" w:hAnsi="Candara"/>
        </w:rPr>
        <w:t xml:space="preserve">, y después de analizar las evidencias presentadas en el POA y los cuadros anteriores se concluye lo siguiente: </w:t>
      </w:r>
    </w:p>
    <w:p w:rsidR="005C4B56" w:rsidRPr="008F31F2" w:rsidRDefault="005C4B56" w:rsidP="002C31F9">
      <w:pPr>
        <w:jc w:val="both"/>
        <w:rPr>
          <w:rFonts w:ascii="Candara" w:hAnsi="Candara"/>
        </w:rPr>
      </w:pPr>
    </w:p>
    <w:p w:rsidR="008F31F2" w:rsidRDefault="005C4B56" w:rsidP="002C31F9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C31F9">
        <w:rPr>
          <w:rFonts w:ascii="Candara" w:hAnsi="Candara"/>
        </w:rPr>
        <w:t xml:space="preserve">Si bien no hubo un crecimiento en el número de programas y número de alumnos </w:t>
      </w:r>
      <w:r w:rsidR="008F31F2" w:rsidRPr="002C31F9">
        <w:rPr>
          <w:rFonts w:ascii="Candara" w:hAnsi="Candara"/>
        </w:rPr>
        <w:t>de Extensión Universitaria, sí hubo un crecimiento significativo en el número de maestrías (nuevas aperturas) y nuevos alumnos de maestría en este año; ya que en 2016 solamente abrimos un programa.</w:t>
      </w:r>
    </w:p>
    <w:p w:rsidR="002C31F9" w:rsidRPr="002C31F9" w:rsidRDefault="002C31F9" w:rsidP="002C31F9">
      <w:pPr>
        <w:pStyle w:val="Prrafodelista"/>
        <w:ind w:left="360"/>
        <w:jc w:val="both"/>
        <w:rPr>
          <w:rFonts w:ascii="Candara" w:hAnsi="Candara"/>
        </w:rPr>
      </w:pPr>
    </w:p>
    <w:p w:rsidR="008F31F2" w:rsidRDefault="002C31F9" w:rsidP="002C31F9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El</w:t>
      </w:r>
      <w:r w:rsidR="008F31F2" w:rsidRPr="002C31F9">
        <w:rPr>
          <w:rFonts w:ascii="Candara" w:hAnsi="Candara"/>
        </w:rPr>
        <w:t xml:space="preserve"> crecimiento de programas de posgrado se logró con el mismo número de asesores</w:t>
      </w:r>
      <w:r w:rsidR="00A2525F">
        <w:rPr>
          <w:rFonts w:ascii="Candara" w:hAnsi="Candara"/>
        </w:rPr>
        <w:t xml:space="preserve"> que en 2016</w:t>
      </w:r>
      <w:r w:rsidR="008F31F2" w:rsidRPr="002C31F9">
        <w:rPr>
          <w:rFonts w:ascii="Candara" w:hAnsi="Candara"/>
        </w:rPr>
        <w:t>.</w:t>
      </w:r>
    </w:p>
    <w:p w:rsidR="002C31F9" w:rsidRPr="002C31F9" w:rsidRDefault="002C31F9" w:rsidP="002C31F9">
      <w:pPr>
        <w:pStyle w:val="Prrafodelista"/>
        <w:rPr>
          <w:rFonts w:ascii="Candara" w:hAnsi="Candara"/>
        </w:rPr>
      </w:pPr>
    </w:p>
    <w:p w:rsidR="008F31F2" w:rsidRDefault="008F31F2" w:rsidP="002C31F9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C31F9">
        <w:rPr>
          <w:rFonts w:ascii="Candara" w:hAnsi="Candara"/>
        </w:rPr>
        <w:t>La asesora de los programas de Le Cordon Bleu inició colaborando en la universidad a partir de febrero, 2017 y su primera apertura fue en marzo del mismo año. A pesar de ello, logró abrir el mismo número de programas que en 2016, aunque con menos alumnos.</w:t>
      </w:r>
    </w:p>
    <w:p w:rsidR="002C31F9" w:rsidRPr="002C31F9" w:rsidRDefault="002C31F9" w:rsidP="002C31F9">
      <w:pPr>
        <w:pStyle w:val="Prrafodelista"/>
        <w:ind w:left="360"/>
        <w:jc w:val="both"/>
        <w:rPr>
          <w:rFonts w:ascii="Candara" w:hAnsi="Candara"/>
        </w:rPr>
      </w:pPr>
    </w:p>
    <w:p w:rsidR="002C31F9" w:rsidRDefault="002C31F9" w:rsidP="002C31F9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C31F9">
        <w:rPr>
          <w:rFonts w:ascii="Candara" w:hAnsi="Candara"/>
        </w:rPr>
        <w:t>Aunque el crecimiento  de diplomados y cursos en Cancún así como de los diplomados y cursos de Playa del Carmen no fue como el proyectado en 2017</w:t>
      </w:r>
      <w:r>
        <w:rPr>
          <w:rFonts w:ascii="Candara" w:hAnsi="Candara"/>
        </w:rPr>
        <w:t>; sí</w:t>
      </w:r>
      <w:r w:rsidRPr="002C31F9">
        <w:rPr>
          <w:rFonts w:ascii="Candara" w:hAnsi="Candara"/>
        </w:rPr>
        <w:t xml:space="preserve"> hubo un crecimiento en comparación </w:t>
      </w:r>
      <w:r>
        <w:rPr>
          <w:rFonts w:ascii="Candara" w:hAnsi="Candara"/>
        </w:rPr>
        <w:t>del 2016.</w:t>
      </w:r>
    </w:p>
    <w:p w:rsidR="002C31F9" w:rsidRPr="002C31F9" w:rsidRDefault="002C31F9" w:rsidP="002C31F9">
      <w:pPr>
        <w:pStyle w:val="Prrafodelista"/>
        <w:rPr>
          <w:rFonts w:ascii="Candara" w:hAnsi="Candara"/>
        </w:rPr>
      </w:pPr>
    </w:p>
    <w:p w:rsidR="007831B8" w:rsidRDefault="007831B8" w:rsidP="002C31F9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La capacitación en ventas que recibió cada asesor fue mayor en 2017 que en 2016, año en el cual solamente se impartió un curso. Este añ</w:t>
      </w:r>
      <w:r w:rsidR="004B60BA">
        <w:rPr>
          <w:rFonts w:ascii="Candara" w:hAnsi="Candara"/>
        </w:rPr>
        <w:t>o cada asesor cursó al menos tres</w:t>
      </w:r>
      <w:r>
        <w:rPr>
          <w:rFonts w:ascii="Candara" w:hAnsi="Candara"/>
        </w:rPr>
        <w:t xml:space="preserve"> programas</w:t>
      </w:r>
      <w:r w:rsidR="004B60BA">
        <w:rPr>
          <w:rFonts w:ascii="Candara" w:hAnsi="Candara"/>
        </w:rPr>
        <w:t xml:space="preserve"> de capacitación según calendario y necesidades personales.</w:t>
      </w:r>
    </w:p>
    <w:p w:rsidR="004B60BA" w:rsidRPr="004B60BA" w:rsidRDefault="004B60BA" w:rsidP="004B60BA">
      <w:pPr>
        <w:pStyle w:val="Prrafodelista"/>
        <w:rPr>
          <w:rFonts w:ascii="Candara" w:hAnsi="Candara"/>
        </w:rPr>
      </w:pPr>
    </w:p>
    <w:p w:rsidR="004B60BA" w:rsidRDefault="004B60BA" w:rsidP="002C31F9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Se logró dar seguimiento al plan de medios el cual resulta fundamental en el plan de publicidad. Las campañas de pago por click en Google y Facebook así como la producción y publicación de videos promocional para los programas de maestría y algunos diplomados fueron fundamentales.</w:t>
      </w:r>
    </w:p>
    <w:p w:rsidR="004B60BA" w:rsidRPr="004B60BA" w:rsidRDefault="004B60BA" w:rsidP="004B60BA">
      <w:pPr>
        <w:pStyle w:val="Prrafodelista"/>
        <w:rPr>
          <w:rFonts w:ascii="Candara" w:hAnsi="Candara"/>
        </w:rPr>
      </w:pPr>
    </w:p>
    <w:p w:rsidR="004B60BA" w:rsidRDefault="00905B2C" w:rsidP="002C31F9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>
        <w:rPr>
          <w:rFonts w:ascii="Candara" w:hAnsi="Candara"/>
        </w:rPr>
        <w:t>Se realizaron 33</w:t>
      </w:r>
      <w:r w:rsidR="004B60BA">
        <w:rPr>
          <w:rFonts w:ascii="Candara" w:hAnsi="Candara"/>
        </w:rPr>
        <w:t xml:space="preserve"> eventos de prospección entre conferencias y clases muestra </w:t>
      </w:r>
      <w:r>
        <w:rPr>
          <w:rFonts w:ascii="Candara" w:hAnsi="Candara"/>
        </w:rPr>
        <w:t>durante todo el año logrando el registro de 2303 personas interesadas de las cuales asiste un 50% por evento.</w:t>
      </w:r>
    </w:p>
    <w:p w:rsidR="002C31F9" w:rsidRPr="002C31F9" w:rsidRDefault="002C31F9" w:rsidP="002C31F9">
      <w:pPr>
        <w:pStyle w:val="Prrafodelista"/>
        <w:rPr>
          <w:rFonts w:ascii="Candara" w:hAnsi="Candara"/>
        </w:rPr>
      </w:pPr>
    </w:p>
    <w:p w:rsidR="00905B2C" w:rsidRDefault="00905B2C" w:rsidP="00905B2C">
      <w:pPr>
        <w:pStyle w:val="Prrafodelista"/>
        <w:numPr>
          <w:ilvl w:val="0"/>
          <w:numId w:val="1"/>
        </w:numPr>
        <w:jc w:val="both"/>
        <w:rPr>
          <w:rFonts w:ascii="Candara" w:hAnsi="Candara"/>
        </w:rPr>
      </w:pPr>
      <w:r w:rsidRPr="002C31F9">
        <w:rPr>
          <w:rFonts w:ascii="Candara" w:hAnsi="Candara"/>
        </w:rPr>
        <w:t>El crecimiento total de este año fue posible gracias a un gran trabajo en equipo entre las tres asesoras de Cancún y las tres asesoras foráneas a pesar de que desde enero a septiembre contuvimos las constantes quejas de alumnos de maestrías y extensión</w:t>
      </w:r>
      <w:r>
        <w:rPr>
          <w:rFonts w:ascii="Candara" w:hAnsi="Candara"/>
        </w:rPr>
        <w:t>.</w:t>
      </w:r>
    </w:p>
    <w:p w:rsidR="002C31F9" w:rsidRDefault="002C31F9" w:rsidP="002C31F9">
      <w:pPr>
        <w:pStyle w:val="Prrafodelista"/>
        <w:ind w:left="360"/>
        <w:jc w:val="both"/>
        <w:rPr>
          <w:rFonts w:ascii="Candara" w:hAnsi="Candara"/>
        </w:rPr>
      </w:pPr>
    </w:p>
    <w:p w:rsidR="00A2525F" w:rsidRDefault="00A2525F" w:rsidP="002C31F9">
      <w:pPr>
        <w:pStyle w:val="Prrafodelista"/>
        <w:ind w:left="360"/>
        <w:jc w:val="both"/>
        <w:rPr>
          <w:rFonts w:ascii="Candara" w:hAnsi="Candara"/>
        </w:rPr>
      </w:pPr>
    </w:p>
    <w:p w:rsidR="00A2525F" w:rsidRPr="002C31F9" w:rsidRDefault="00A2525F" w:rsidP="002C31F9">
      <w:pPr>
        <w:pStyle w:val="Prrafodelista"/>
        <w:ind w:left="360"/>
        <w:jc w:val="both"/>
        <w:rPr>
          <w:rFonts w:ascii="Candara" w:hAnsi="Candara"/>
        </w:rPr>
      </w:pPr>
    </w:p>
    <w:p w:rsidR="008F31F2" w:rsidRDefault="00905B2C" w:rsidP="002C31F9">
      <w:pPr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>Al hacer esta reflexión también se señalan los a</w:t>
      </w:r>
      <w:r w:rsidR="008F31F2">
        <w:rPr>
          <w:rFonts w:ascii="Candara" w:hAnsi="Candara"/>
        </w:rPr>
        <w:t>spectos que han obstaculizado el logro de los resultados</w:t>
      </w:r>
      <w:r>
        <w:rPr>
          <w:rFonts w:ascii="Candara" w:hAnsi="Candara"/>
        </w:rPr>
        <w:t xml:space="preserve"> al 100%</w:t>
      </w:r>
      <w:r w:rsidR="008F31F2">
        <w:rPr>
          <w:rFonts w:ascii="Candara" w:hAnsi="Candara"/>
        </w:rPr>
        <w:t>.</w:t>
      </w:r>
    </w:p>
    <w:p w:rsidR="00905B2C" w:rsidRDefault="00905B2C" w:rsidP="00A2525F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 w:rsidRPr="00A2525F">
        <w:rPr>
          <w:rFonts w:ascii="Candara" w:hAnsi="Candara"/>
        </w:rPr>
        <w:t xml:space="preserve">Al finalizar 2017 los coordinadores y directores de las Escuelas han trabajado en conjunto con el departamento de Mercadotecnia de Posgrado y Extensión. Sin embargo el año </w:t>
      </w:r>
      <w:r w:rsidR="006D2B6D">
        <w:rPr>
          <w:rFonts w:ascii="Candara" w:hAnsi="Candara"/>
        </w:rPr>
        <w:t xml:space="preserve">no </w:t>
      </w:r>
      <w:bookmarkStart w:id="0" w:name="_GoBack"/>
      <w:bookmarkEnd w:id="0"/>
      <w:r w:rsidRPr="00A2525F">
        <w:rPr>
          <w:rFonts w:ascii="Candara" w:hAnsi="Candara"/>
        </w:rPr>
        <w:t>inició así y aún se está trabajando en consolidar tanto la relación de equipo como la comunicación y estrategias a seguir de acuerdo a un mismo objetivo. De aquí surge también la importancia de dar seguimiento a las Escuelas para la generación de nuevos temarios de programas de extensión y así cubrir con la demanda tan variada y cambiante de nuestro mercado meta.</w:t>
      </w:r>
    </w:p>
    <w:p w:rsidR="00A2525F" w:rsidRPr="00A2525F" w:rsidRDefault="00A2525F" w:rsidP="00A2525F">
      <w:pPr>
        <w:pStyle w:val="Prrafodelista"/>
        <w:ind w:left="360"/>
        <w:jc w:val="both"/>
        <w:rPr>
          <w:rFonts w:ascii="Candara" w:hAnsi="Candara"/>
        </w:rPr>
      </w:pPr>
    </w:p>
    <w:p w:rsidR="00A2525F" w:rsidRDefault="00A2525F" w:rsidP="00A2525F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 w:rsidRPr="00A2525F">
        <w:rPr>
          <w:rFonts w:ascii="Candara" w:hAnsi="Candara"/>
        </w:rPr>
        <w:t>La efectividad en el cumplimiento de la meta de alumnos inscritos a cada programa de extensión y posgrado depende de muchos factores pero principalmente de la necesidad del mercado, para lo cual se requiere siempre un estudio de mercado o al menos un sondeo que permita la justificación de la apertura de las nuevas maestrías y de algunos diplomados.</w:t>
      </w:r>
    </w:p>
    <w:p w:rsidR="00A2525F" w:rsidRPr="00A2525F" w:rsidRDefault="00A2525F" w:rsidP="00A2525F">
      <w:pPr>
        <w:pStyle w:val="Prrafodelista"/>
        <w:rPr>
          <w:rFonts w:ascii="Candara" w:hAnsi="Candara"/>
        </w:rPr>
      </w:pPr>
    </w:p>
    <w:p w:rsidR="00A2525F" w:rsidRDefault="00A2525F" w:rsidP="00A2525F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Para lograr un crecimiento significativo en el número de alumnos y de programas de extensión y de posgrado es indispensable que crezca también el número de asesores (</w:t>
      </w:r>
      <w:r w:rsidR="00330205">
        <w:rPr>
          <w:rFonts w:ascii="Candara" w:hAnsi="Candara"/>
        </w:rPr>
        <w:t>al menos uno más</w:t>
      </w:r>
      <w:r>
        <w:rPr>
          <w:rFonts w:ascii="Candara" w:hAnsi="Candara"/>
        </w:rPr>
        <w:t>) y que cuenten cada vez con más herramientas de venta (en el producto, precio, distribución y plaza) a través de la capacitación enfocada al cierre de ventas. También se requiere que estos asesores se vean motivados por un nuevo si</w:t>
      </w:r>
      <w:r w:rsidR="00330205">
        <w:rPr>
          <w:rFonts w:ascii="Candara" w:hAnsi="Candara"/>
        </w:rPr>
        <w:t>stema de comisiones y que trabajen cada vez más en el seguimiento de su calendario de trabajo que ahora contiene incluso las tareas más sencillas de prospección y cierre, fechas límite; etc.</w:t>
      </w:r>
    </w:p>
    <w:p w:rsidR="00330205" w:rsidRPr="00330205" w:rsidRDefault="00330205" w:rsidP="00330205">
      <w:pPr>
        <w:pStyle w:val="Prrafodelista"/>
        <w:rPr>
          <w:rFonts w:ascii="Candara" w:hAnsi="Candara"/>
        </w:rPr>
      </w:pPr>
    </w:p>
    <w:p w:rsidR="00A2525F" w:rsidRDefault="00330205" w:rsidP="00A2525F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 w:rsidRPr="00330205">
        <w:rPr>
          <w:rFonts w:ascii="Candara" w:hAnsi="Candara"/>
        </w:rPr>
        <w:t>Trabajar cada vez más en la elaboración de propuestas que ofrezcan a nuestro mercado meta mayores beneficios en precio, mejores temarios académicos, y en general una mejor experiencia de capacitación en nuestra universidad.</w:t>
      </w:r>
    </w:p>
    <w:p w:rsidR="00330205" w:rsidRPr="00330205" w:rsidRDefault="00330205" w:rsidP="00330205">
      <w:pPr>
        <w:pStyle w:val="Prrafodelista"/>
        <w:rPr>
          <w:rFonts w:ascii="Candara" w:hAnsi="Candara"/>
        </w:rPr>
      </w:pPr>
    </w:p>
    <w:p w:rsidR="00081BAA" w:rsidRPr="00A2525F" w:rsidRDefault="00905B2C" w:rsidP="00A2525F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 w:rsidRPr="00A2525F">
        <w:rPr>
          <w:rFonts w:ascii="Candara" w:hAnsi="Candara"/>
        </w:rPr>
        <w:t xml:space="preserve">El enfoque hacia el cumplimiento de las metas se ha transformado positivamente desde el cambio a la estructura actual de la coordinación operativa de los posgrados y diplomados.  Durante varios meses el equipo completo del departamento de mercadotecnia se </w:t>
      </w:r>
      <w:r w:rsidR="00081BAA" w:rsidRPr="00A2525F">
        <w:rPr>
          <w:rFonts w:ascii="Candara" w:hAnsi="Candara"/>
        </w:rPr>
        <w:t>enfocó también a la resolución de problemas académicos, operativos, de logística y administrativos para apoyar y satisfacer a alumnos, maestros y coordinadores de todos los programas.</w:t>
      </w:r>
    </w:p>
    <w:p w:rsidR="00905B2C" w:rsidRDefault="00905B2C" w:rsidP="002C31F9">
      <w:pPr>
        <w:jc w:val="both"/>
        <w:rPr>
          <w:rFonts w:ascii="Candara" w:hAnsi="Candara"/>
        </w:rPr>
      </w:pPr>
      <w:r w:rsidRPr="002C31F9">
        <w:rPr>
          <w:rFonts w:ascii="Candara" w:hAnsi="Candara"/>
        </w:rPr>
        <w:t xml:space="preserve"> </w:t>
      </w:r>
    </w:p>
    <w:p w:rsidR="00905B2C" w:rsidRDefault="00905B2C" w:rsidP="002C31F9">
      <w:pPr>
        <w:jc w:val="both"/>
        <w:rPr>
          <w:rFonts w:ascii="Candara" w:hAnsi="Candara"/>
        </w:rPr>
      </w:pPr>
    </w:p>
    <w:p w:rsidR="002C31F9" w:rsidRPr="008F31F2" w:rsidRDefault="002C31F9" w:rsidP="002C31F9">
      <w:pPr>
        <w:jc w:val="both"/>
        <w:rPr>
          <w:rFonts w:ascii="Candara" w:hAnsi="Candara"/>
        </w:rPr>
      </w:pPr>
    </w:p>
    <w:sectPr w:rsidR="002C31F9" w:rsidRPr="008F3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33BD"/>
    <w:multiLevelType w:val="hybridMultilevel"/>
    <w:tmpl w:val="5106AC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455D2E"/>
    <w:multiLevelType w:val="hybridMultilevel"/>
    <w:tmpl w:val="13E810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81"/>
    <w:rsid w:val="00081BAA"/>
    <w:rsid w:val="002C31F9"/>
    <w:rsid w:val="0031679B"/>
    <w:rsid w:val="00330205"/>
    <w:rsid w:val="00356D81"/>
    <w:rsid w:val="004820FA"/>
    <w:rsid w:val="004B60BA"/>
    <w:rsid w:val="005C4B56"/>
    <w:rsid w:val="005E463F"/>
    <w:rsid w:val="006D2B6D"/>
    <w:rsid w:val="007831B8"/>
    <w:rsid w:val="007F5B67"/>
    <w:rsid w:val="008F31F2"/>
    <w:rsid w:val="00901A8A"/>
    <w:rsid w:val="00905B2C"/>
    <w:rsid w:val="009611B8"/>
    <w:rsid w:val="00A2525F"/>
    <w:rsid w:val="00B8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del Rosario Sansores Serralta</dc:creator>
  <cp:keywords/>
  <dc:description/>
  <cp:lastModifiedBy>Eugenia del Rosario Sansores Serralta</cp:lastModifiedBy>
  <cp:revision>5</cp:revision>
  <dcterms:created xsi:type="dcterms:W3CDTF">2017-12-20T18:34:00Z</dcterms:created>
  <dcterms:modified xsi:type="dcterms:W3CDTF">2017-12-21T00:47:00Z</dcterms:modified>
</cp:coreProperties>
</file>