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4765850"/>
        <w:docPartObj>
          <w:docPartGallery w:val="Cover Pages"/>
          <w:docPartUnique/>
        </w:docPartObj>
      </w:sdtPr>
      <w:sdtEndPr>
        <w:rPr>
          <w:rFonts w:ascii="Arial" w:eastAsiaTheme="minorEastAsia" w:hAnsi="Arial" w:cs="Arial"/>
          <w:b/>
          <w:caps w:val="0"/>
        </w:rPr>
      </w:sdtEndPr>
      <w:sdtContent>
        <w:tbl>
          <w:tblPr>
            <w:tblW w:w="5000" w:type="pct"/>
            <w:jc w:val="center"/>
            <w:tblLook w:val="04A0" w:firstRow="1" w:lastRow="0" w:firstColumn="1" w:lastColumn="0" w:noHBand="0" w:noVBand="1"/>
          </w:tblPr>
          <w:tblGrid>
            <w:gridCol w:w="9054"/>
          </w:tblGrid>
          <w:tr w:rsidR="008029AF" w14:paraId="409EA320" w14:textId="77777777">
            <w:trPr>
              <w:trHeight w:val="2880"/>
              <w:jc w:val="center"/>
            </w:trPr>
            <w:sdt>
              <w:sdtPr>
                <w:rPr>
                  <w:rFonts w:asciiTheme="majorHAnsi" w:eastAsiaTheme="majorEastAsia" w:hAnsiTheme="majorHAnsi" w:cstheme="majorBidi"/>
                  <w:caps/>
                </w:rPr>
                <w:alias w:val="Compañía"/>
                <w:id w:val="15524243"/>
                <w:placeholder>
                  <w:docPart w:val="1F090BED148F4F308BF8FA23E7FF2C31"/>
                </w:placeholder>
                <w:dataBinding w:prefixMappings="xmlns:ns0='http://schemas.openxmlformats.org/officeDocument/2006/extended-properties'" w:xpath="/ns0:Properties[1]/ns0:Company[1]" w:storeItemID="{6668398D-A668-4E3E-A5EB-62B293D839F1}"/>
                <w:text/>
              </w:sdtPr>
              <w:sdtContent>
                <w:tc>
                  <w:tcPr>
                    <w:tcW w:w="5000" w:type="pct"/>
                  </w:tcPr>
                  <w:p w14:paraId="2B38E464" w14:textId="2626A4AB" w:rsidR="008029AF" w:rsidRDefault="008029AF" w:rsidP="008029A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anáhuac</w:t>
                    </w:r>
                  </w:p>
                </w:tc>
              </w:sdtContent>
            </w:sdt>
          </w:tr>
          <w:tr w:rsidR="008029AF" w14:paraId="054405EB" w14:textId="77777777">
            <w:trPr>
              <w:trHeight w:val="1440"/>
              <w:jc w:val="center"/>
            </w:trPr>
            <w:sdt>
              <w:sdtPr>
                <w:rPr>
                  <w:rFonts w:ascii="SimSun" w:hAnsi="SimSun"/>
                  <w:b/>
                  <w:sz w:val="36"/>
                  <w:lang w:eastAsia="es-MX"/>
                </w:rPr>
                <w:alias w:val="Título"/>
                <w:id w:val="15524250"/>
                <w:placeholder>
                  <w:docPart w:val="CE1F4C2F16F9444F8B494CA4ACF2C5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0E4D174" w14:textId="4378D61C" w:rsidR="008029AF" w:rsidRPr="00B31FDC" w:rsidRDefault="0095662F">
                    <w:pPr>
                      <w:pStyle w:val="Sinespaciado"/>
                      <w:jc w:val="center"/>
                      <w:rPr>
                        <w:rFonts w:asciiTheme="majorHAnsi" w:eastAsiaTheme="majorEastAsia" w:hAnsiTheme="majorHAnsi" w:cstheme="majorBidi"/>
                        <w:b/>
                        <w:sz w:val="36"/>
                        <w:szCs w:val="80"/>
                      </w:rPr>
                    </w:pPr>
                    <w:r w:rsidRPr="00B31FDC">
                      <w:rPr>
                        <w:rFonts w:ascii="SimSun" w:hAnsi="SimSun"/>
                        <w:b/>
                        <w:sz w:val="36"/>
                        <w:lang w:eastAsia="es-MX"/>
                      </w:rPr>
                      <w:t>El Desarrollo de la Industria del Petróleo no convencional en EE.UU.</w:t>
                    </w:r>
                  </w:p>
                </w:tc>
              </w:sdtContent>
            </w:sdt>
            <w:bookmarkStart w:id="0" w:name="_GoBack"/>
            <w:bookmarkEnd w:id="0"/>
          </w:tr>
          <w:tr w:rsidR="008029AF" w14:paraId="2C25741F" w14:textId="77777777">
            <w:trPr>
              <w:trHeight w:val="720"/>
              <w:jc w:val="center"/>
            </w:trPr>
            <w:tc>
              <w:tcPr>
                <w:tcW w:w="5000" w:type="pct"/>
                <w:tcBorders>
                  <w:top w:val="single" w:sz="4" w:space="0" w:color="4F81BD" w:themeColor="accent1"/>
                </w:tcBorders>
                <w:vAlign w:val="center"/>
              </w:tcPr>
              <w:p w14:paraId="1DA3B362" w14:textId="536D4268" w:rsidR="008029AF" w:rsidRDefault="008029AF">
                <w:pPr>
                  <w:pStyle w:val="Sinespaciado"/>
                  <w:jc w:val="center"/>
                  <w:rPr>
                    <w:rFonts w:asciiTheme="majorHAnsi" w:eastAsiaTheme="majorEastAsia" w:hAnsiTheme="majorHAnsi" w:cstheme="majorBidi"/>
                    <w:sz w:val="44"/>
                    <w:szCs w:val="44"/>
                  </w:rPr>
                </w:pPr>
              </w:p>
            </w:tc>
          </w:tr>
          <w:tr w:rsidR="008029AF" w14:paraId="604D07ED" w14:textId="77777777">
            <w:trPr>
              <w:trHeight w:val="360"/>
              <w:jc w:val="center"/>
            </w:trPr>
            <w:tc>
              <w:tcPr>
                <w:tcW w:w="5000" w:type="pct"/>
                <w:vAlign w:val="center"/>
              </w:tcPr>
              <w:p w14:paraId="33E4819C" w14:textId="77777777" w:rsidR="008029AF" w:rsidRDefault="008029AF" w:rsidP="0095662F">
                <w:pPr>
                  <w:pStyle w:val="Sinespaciado"/>
                </w:pPr>
              </w:p>
            </w:tc>
          </w:tr>
          <w:tr w:rsidR="008029AF" w14:paraId="5D3EB078" w14:textId="77777777">
            <w:trPr>
              <w:trHeight w:val="360"/>
              <w:jc w:val="center"/>
            </w:trPr>
            <w:sdt>
              <w:sdtPr>
                <w:rPr>
                  <w:b/>
                  <w:bCs/>
                  <w:sz w:val="24"/>
                </w:rPr>
                <w:alias w:val="Autor"/>
                <w:id w:val="15524260"/>
                <w:placeholder>
                  <w:docPart w:val="561B2F0C5BB44FB982577B522BCF14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635E92A" w14:textId="4D603AA8" w:rsidR="008029AF" w:rsidRPr="0095662F" w:rsidRDefault="008029AF" w:rsidP="008029AF">
                    <w:pPr>
                      <w:pStyle w:val="Sinespaciado"/>
                      <w:jc w:val="center"/>
                      <w:rPr>
                        <w:b/>
                        <w:bCs/>
                        <w:sz w:val="24"/>
                      </w:rPr>
                    </w:pPr>
                    <w:r w:rsidRPr="0095662F">
                      <w:rPr>
                        <w:b/>
                        <w:bCs/>
                        <w:sz w:val="24"/>
                      </w:rPr>
                      <w:t>María Fernanda Flores</w:t>
                    </w:r>
                  </w:p>
                </w:tc>
              </w:sdtContent>
            </w:sdt>
          </w:tr>
          <w:tr w:rsidR="008029AF" w14:paraId="5AEB38E5" w14:textId="77777777">
            <w:trPr>
              <w:trHeight w:val="360"/>
              <w:jc w:val="center"/>
            </w:trPr>
            <w:sdt>
              <w:sdtPr>
                <w:rPr>
                  <w:b/>
                  <w:bCs/>
                </w:rPr>
                <w:alias w:val="Fecha"/>
                <w:id w:val="516659546"/>
                <w:placeholder>
                  <w:docPart w:val="47E40500FF084184905AE6CA6BF53F36"/>
                </w:placeholder>
                <w:dataBinding w:prefixMappings="xmlns:ns0='http://schemas.microsoft.com/office/2006/coverPageProps'" w:xpath="/ns0:CoverPageProperties[1]/ns0:PublishDate[1]" w:storeItemID="{55AF091B-3C7A-41E3-B477-F2FDAA23CFDA}"/>
                <w:date w:fullDate="2017-12-04T00:00:00Z">
                  <w:dateFormat w:val="dd/MM/yyyy"/>
                  <w:lid w:val="es-ES"/>
                  <w:storeMappedDataAs w:val="dateTime"/>
                  <w:calendar w:val="gregorian"/>
                </w:date>
              </w:sdtPr>
              <w:sdtContent>
                <w:tc>
                  <w:tcPr>
                    <w:tcW w:w="5000" w:type="pct"/>
                    <w:vAlign w:val="center"/>
                  </w:tcPr>
                  <w:p w14:paraId="4904DEFC" w14:textId="26E4C445" w:rsidR="008029AF" w:rsidRDefault="008029AF">
                    <w:pPr>
                      <w:pStyle w:val="Sinespaciado"/>
                      <w:jc w:val="center"/>
                      <w:rPr>
                        <w:b/>
                        <w:bCs/>
                      </w:rPr>
                    </w:pPr>
                    <w:r>
                      <w:rPr>
                        <w:b/>
                        <w:bCs/>
                        <w:lang w:val="es-ES"/>
                      </w:rPr>
                      <w:t>04/12/2017</w:t>
                    </w:r>
                  </w:p>
                </w:tc>
              </w:sdtContent>
            </w:sdt>
          </w:tr>
        </w:tbl>
        <w:p w14:paraId="0CF290BF" w14:textId="77777777" w:rsidR="008029AF" w:rsidRDefault="008029AF"/>
        <w:p w14:paraId="3441E6F9" w14:textId="77777777" w:rsidR="0095662F" w:rsidRDefault="0095662F" w:rsidP="0095662F">
          <w:r>
            <w:t xml:space="preserve">Titular de la asignatura: Almendra </w:t>
          </w:r>
          <w:proofErr w:type="spellStart"/>
          <w:r>
            <w:t>Ortíz</w:t>
          </w:r>
          <w:proofErr w:type="spellEnd"/>
        </w:p>
        <w:p w14:paraId="50A7A3E9" w14:textId="13AE4DE0" w:rsidR="008029AF" w:rsidRDefault="008029AF">
          <w:r>
            <w:t>Asesor: Santiago Fernández Sordo</w:t>
          </w:r>
        </w:p>
        <w:p w14:paraId="71542882" w14:textId="712A18D0" w:rsidR="008029AF" w:rsidRDefault="008029AF">
          <w:r>
            <w:t>Sinodal:</w:t>
          </w:r>
          <w:r w:rsidR="0095662F">
            <w:t xml:space="preserve"> Adolfo Arreola</w:t>
          </w:r>
        </w:p>
        <w:tbl>
          <w:tblPr>
            <w:tblpPr w:leftFromText="187" w:rightFromText="187" w:horzAnchor="margin" w:tblpXSpec="center" w:tblpYSpec="bottom"/>
            <w:tblW w:w="5000" w:type="pct"/>
            <w:tblLook w:val="04A0" w:firstRow="1" w:lastRow="0" w:firstColumn="1" w:lastColumn="0" w:noHBand="0" w:noVBand="1"/>
          </w:tblPr>
          <w:tblGrid>
            <w:gridCol w:w="9054"/>
          </w:tblGrid>
          <w:tr w:rsidR="008029AF" w14:paraId="486D5FDD" w14:textId="77777777">
            <w:tc>
              <w:tcPr>
                <w:tcW w:w="5000" w:type="pct"/>
              </w:tcPr>
              <w:p w14:paraId="4A480825" w14:textId="677D5443" w:rsidR="008029AF" w:rsidRDefault="008029AF">
                <w:pPr>
                  <w:pStyle w:val="Sinespaciado"/>
                </w:pPr>
              </w:p>
            </w:tc>
          </w:tr>
        </w:tbl>
        <w:p w14:paraId="270374C2" w14:textId="7706E423" w:rsidR="008029AF" w:rsidRDefault="0095662F">
          <w:r>
            <w:rPr>
              <w:noProof/>
            </w:rPr>
            <w:drawing>
              <wp:anchor distT="0" distB="0" distL="114300" distR="114300" simplePos="0" relativeHeight="251666432" behindDoc="0" locked="0" layoutInCell="1" allowOverlap="1" wp14:anchorId="218F3D86" wp14:editId="592B7B1F">
                <wp:simplePos x="0" y="0"/>
                <wp:positionH relativeFrom="column">
                  <wp:posOffset>2082165</wp:posOffset>
                </wp:positionH>
                <wp:positionV relativeFrom="paragraph">
                  <wp:posOffset>-4817745</wp:posOffset>
                </wp:positionV>
                <wp:extent cx="1466850" cy="1466850"/>
                <wp:effectExtent l="0" t="0" r="0" b="0"/>
                <wp:wrapNone/>
                <wp:docPr id="2" name="Imagen 2" descr="Resultado de imagen para anah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nahua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6F10A" w14:textId="218B0B22" w:rsidR="008029AF" w:rsidRDefault="008029AF">
          <w:pPr>
            <w:rPr>
              <w:rFonts w:ascii="Arial" w:hAnsi="Arial" w:cs="Arial"/>
              <w:b/>
            </w:rPr>
          </w:pPr>
          <w:r>
            <w:rPr>
              <w:rFonts w:ascii="Arial" w:hAnsi="Arial" w:cs="Arial"/>
              <w:b/>
            </w:rPr>
            <w:br w:type="page"/>
          </w:r>
        </w:p>
      </w:sdtContent>
    </w:sdt>
    <w:sdt>
      <w:sdtPr>
        <w:rPr>
          <w:lang w:val="es-ES"/>
        </w:rPr>
        <w:id w:val="-1506120579"/>
        <w:docPartObj>
          <w:docPartGallery w:val="Table of Contents"/>
          <w:docPartUnique/>
        </w:docPartObj>
      </w:sdtPr>
      <w:sdtEndPr>
        <w:rPr>
          <w:rFonts w:asciiTheme="minorHAnsi" w:eastAsiaTheme="minorEastAsia" w:hAnsiTheme="minorHAnsi" w:cstheme="minorBidi"/>
          <w:color w:val="auto"/>
          <w:sz w:val="22"/>
          <w:szCs w:val="22"/>
        </w:rPr>
      </w:sdtEndPr>
      <w:sdtContent>
        <w:p w14:paraId="6B27E406" w14:textId="4CF0F617" w:rsidR="00DF27F9" w:rsidRDefault="00DF27F9">
          <w:pPr>
            <w:pStyle w:val="TtulodeTDC"/>
          </w:pPr>
          <w:r w:rsidRPr="00B31FDC">
            <w:rPr>
              <w:color w:val="000000" w:themeColor="text1"/>
              <w:lang w:val="es-ES"/>
            </w:rPr>
            <w:t>Contenido</w:t>
          </w:r>
        </w:p>
        <w:p w14:paraId="19A8DD99" w14:textId="77777777" w:rsidR="00B31FDC" w:rsidRDefault="00DF27F9">
          <w:pPr>
            <w:pStyle w:val="TDC1"/>
            <w:tabs>
              <w:tab w:val="right" w:leader="dot" w:pos="8828"/>
            </w:tabs>
            <w:rPr>
              <w:noProof/>
            </w:rPr>
          </w:pPr>
          <w:r>
            <w:fldChar w:fldCharType="begin"/>
          </w:r>
          <w:r>
            <w:instrText xml:space="preserve"> TOC \o "1-3" \h \z \u </w:instrText>
          </w:r>
          <w:r>
            <w:fldChar w:fldCharType="separate"/>
          </w:r>
          <w:hyperlink w:anchor="_Toc499918283" w:history="1">
            <w:r w:rsidR="00B31FDC" w:rsidRPr="00E903FE">
              <w:rPr>
                <w:rStyle w:val="Hipervnculo"/>
                <w:noProof/>
              </w:rPr>
              <w:t>Planteamiento del problema</w:t>
            </w:r>
            <w:r w:rsidR="00B31FDC">
              <w:rPr>
                <w:noProof/>
                <w:webHidden/>
              </w:rPr>
              <w:tab/>
            </w:r>
            <w:r w:rsidR="00B31FDC">
              <w:rPr>
                <w:noProof/>
                <w:webHidden/>
              </w:rPr>
              <w:fldChar w:fldCharType="begin"/>
            </w:r>
            <w:r w:rsidR="00B31FDC">
              <w:rPr>
                <w:noProof/>
                <w:webHidden/>
              </w:rPr>
              <w:instrText xml:space="preserve"> PAGEREF _Toc499918283 \h </w:instrText>
            </w:r>
            <w:r w:rsidR="00B31FDC">
              <w:rPr>
                <w:noProof/>
                <w:webHidden/>
              </w:rPr>
            </w:r>
            <w:r w:rsidR="00B31FDC">
              <w:rPr>
                <w:noProof/>
                <w:webHidden/>
              </w:rPr>
              <w:fldChar w:fldCharType="separate"/>
            </w:r>
            <w:r w:rsidR="00B31FDC">
              <w:rPr>
                <w:noProof/>
                <w:webHidden/>
              </w:rPr>
              <w:t>3</w:t>
            </w:r>
            <w:r w:rsidR="00B31FDC">
              <w:rPr>
                <w:noProof/>
                <w:webHidden/>
              </w:rPr>
              <w:fldChar w:fldCharType="end"/>
            </w:r>
          </w:hyperlink>
        </w:p>
        <w:p w14:paraId="7E49E8EE" w14:textId="77777777" w:rsidR="00B31FDC" w:rsidRDefault="00B31FDC">
          <w:pPr>
            <w:pStyle w:val="TDC2"/>
            <w:tabs>
              <w:tab w:val="right" w:leader="dot" w:pos="8828"/>
            </w:tabs>
            <w:rPr>
              <w:noProof/>
            </w:rPr>
          </w:pPr>
          <w:hyperlink w:anchor="_Toc499918284" w:history="1">
            <w:r w:rsidRPr="00E903FE">
              <w:rPr>
                <w:rStyle w:val="Hipervnculo"/>
                <w:noProof/>
              </w:rPr>
              <w:t>Legislación para promover el desarrollo de la industria: Seguridad Nacional</w:t>
            </w:r>
            <w:r>
              <w:rPr>
                <w:noProof/>
                <w:webHidden/>
              </w:rPr>
              <w:tab/>
            </w:r>
            <w:r>
              <w:rPr>
                <w:noProof/>
                <w:webHidden/>
              </w:rPr>
              <w:fldChar w:fldCharType="begin"/>
            </w:r>
            <w:r>
              <w:rPr>
                <w:noProof/>
                <w:webHidden/>
              </w:rPr>
              <w:instrText xml:space="preserve"> PAGEREF _Toc499918284 \h </w:instrText>
            </w:r>
            <w:r>
              <w:rPr>
                <w:noProof/>
                <w:webHidden/>
              </w:rPr>
            </w:r>
            <w:r>
              <w:rPr>
                <w:noProof/>
                <w:webHidden/>
              </w:rPr>
              <w:fldChar w:fldCharType="separate"/>
            </w:r>
            <w:r>
              <w:rPr>
                <w:noProof/>
                <w:webHidden/>
              </w:rPr>
              <w:t>4</w:t>
            </w:r>
            <w:r>
              <w:rPr>
                <w:noProof/>
                <w:webHidden/>
              </w:rPr>
              <w:fldChar w:fldCharType="end"/>
            </w:r>
          </w:hyperlink>
        </w:p>
        <w:p w14:paraId="7479F50F" w14:textId="77777777" w:rsidR="00B31FDC" w:rsidRDefault="00B31FDC">
          <w:pPr>
            <w:pStyle w:val="TDC2"/>
            <w:tabs>
              <w:tab w:val="right" w:leader="dot" w:pos="8828"/>
            </w:tabs>
            <w:rPr>
              <w:noProof/>
            </w:rPr>
          </w:pPr>
          <w:hyperlink w:anchor="_Toc499918285" w:history="1">
            <w:r w:rsidRPr="00E903FE">
              <w:rPr>
                <w:rStyle w:val="Hipervnculo"/>
                <w:noProof/>
              </w:rPr>
              <w:t xml:space="preserve">Interés comercial en la industria de </w:t>
            </w:r>
            <w:r w:rsidRPr="00E903FE">
              <w:rPr>
                <w:rStyle w:val="Hipervnculo"/>
                <w:i/>
                <w:noProof/>
              </w:rPr>
              <w:t>shale</w:t>
            </w:r>
            <w:r w:rsidRPr="00E903FE">
              <w:rPr>
                <w:rStyle w:val="Hipervnculo"/>
                <w:noProof/>
              </w:rPr>
              <w:t>: Incentivada por el gobierno</w:t>
            </w:r>
            <w:r>
              <w:rPr>
                <w:noProof/>
                <w:webHidden/>
              </w:rPr>
              <w:tab/>
            </w:r>
            <w:r>
              <w:rPr>
                <w:noProof/>
                <w:webHidden/>
              </w:rPr>
              <w:fldChar w:fldCharType="begin"/>
            </w:r>
            <w:r>
              <w:rPr>
                <w:noProof/>
                <w:webHidden/>
              </w:rPr>
              <w:instrText xml:space="preserve"> PAGEREF _Toc499918285 \h </w:instrText>
            </w:r>
            <w:r>
              <w:rPr>
                <w:noProof/>
                <w:webHidden/>
              </w:rPr>
            </w:r>
            <w:r>
              <w:rPr>
                <w:noProof/>
                <w:webHidden/>
              </w:rPr>
              <w:fldChar w:fldCharType="separate"/>
            </w:r>
            <w:r>
              <w:rPr>
                <w:noProof/>
                <w:webHidden/>
              </w:rPr>
              <w:t>5</w:t>
            </w:r>
            <w:r>
              <w:rPr>
                <w:noProof/>
                <w:webHidden/>
              </w:rPr>
              <w:fldChar w:fldCharType="end"/>
            </w:r>
          </w:hyperlink>
        </w:p>
        <w:p w14:paraId="05BB315F" w14:textId="77777777" w:rsidR="00B31FDC" w:rsidRDefault="00B31FDC">
          <w:pPr>
            <w:pStyle w:val="TDC2"/>
            <w:tabs>
              <w:tab w:val="right" w:leader="dot" w:pos="8828"/>
            </w:tabs>
            <w:rPr>
              <w:noProof/>
            </w:rPr>
          </w:pPr>
          <w:hyperlink w:anchor="_Toc499918286" w:history="1">
            <w:r w:rsidRPr="00E903FE">
              <w:rPr>
                <w:rStyle w:val="Hipervnculo"/>
                <w:noProof/>
              </w:rPr>
              <w:t>Mercado petrolero liberalizado</w:t>
            </w:r>
            <w:r>
              <w:rPr>
                <w:noProof/>
                <w:webHidden/>
              </w:rPr>
              <w:tab/>
            </w:r>
            <w:r>
              <w:rPr>
                <w:noProof/>
                <w:webHidden/>
              </w:rPr>
              <w:fldChar w:fldCharType="begin"/>
            </w:r>
            <w:r>
              <w:rPr>
                <w:noProof/>
                <w:webHidden/>
              </w:rPr>
              <w:instrText xml:space="preserve"> PAGEREF _Toc499918286 \h </w:instrText>
            </w:r>
            <w:r>
              <w:rPr>
                <w:noProof/>
                <w:webHidden/>
              </w:rPr>
            </w:r>
            <w:r>
              <w:rPr>
                <w:noProof/>
                <w:webHidden/>
              </w:rPr>
              <w:fldChar w:fldCharType="separate"/>
            </w:r>
            <w:r>
              <w:rPr>
                <w:noProof/>
                <w:webHidden/>
              </w:rPr>
              <w:t>6</w:t>
            </w:r>
            <w:r>
              <w:rPr>
                <w:noProof/>
                <w:webHidden/>
              </w:rPr>
              <w:fldChar w:fldCharType="end"/>
            </w:r>
          </w:hyperlink>
        </w:p>
        <w:p w14:paraId="7961B2CB" w14:textId="77777777" w:rsidR="00B31FDC" w:rsidRDefault="00B31FDC">
          <w:pPr>
            <w:pStyle w:val="TDC2"/>
            <w:tabs>
              <w:tab w:val="right" w:leader="dot" w:pos="8828"/>
            </w:tabs>
            <w:rPr>
              <w:noProof/>
            </w:rPr>
          </w:pPr>
          <w:hyperlink w:anchor="_Toc499918287" w:history="1">
            <w:r w:rsidRPr="00E903FE">
              <w:rPr>
                <w:rStyle w:val="Hipervnculo"/>
                <w:noProof/>
              </w:rPr>
              <w:t xml:space="preserve">Precios del petróleo y el </w:t>
            </w:r>
            <w:r w:rsidRPr="00E903FE">
              <w:rPr>
                <w:rStyle w:val="Hipervnculo"/>
                <w:i/>
                <w:noProof/>
              </w:rPr>
              <w:t>shale oil</w:t>
            </w:r>
            <w:r>
              <w:rPr>
                <w:noProof/>
                <w:webHidden/>
              </w:rPr>
              <w:tab/>
            </w:r>
            <w:r>
              <w:rPr>
                <w:noProof/>
                <w:webHidden/>
              </w:rPr>
              <w:fldChar w:fldCharType="begin"/>
            </w:r>
            <w:r>
              <w:rPr>
                <w:noProof/>
                <w:webHidden/>
              </w:rPr>
              <w:instrText xml:space="preserve"> PAGEREF _Toc499918287 \h </w:instrText>
            </w:r>
            <w:r>
              <w:rPr>
                <w:noProof/>
                <w:webHidden/>
              </w:rPr>
            </w:r>
            <w:r>
              <w:rPr>
                <w:noProof/>
                <w:webHidden/>
              </w:rPr>
              <w:fldChar w:fldCharType="separate"/>
            </w:r>
            <w:r>
              <w:rPr>
                <w:noProof/>
                <w:webHidden/>
              </w:rPr>
              <w:t>7</w:t>
            </w:r>
            <w:r>
              <w:rPr>
                <w:noProof/>
                <w:webHidden/>
              </w:rPr>
              <w:fldChar w:fldCharType="end"/>
            </w:r>
          </w:hyperlink>
        </w:p>
        <w:p w14:paraId="3415192C" w14:textId="77777777" w:rsidR="00B31FDC" w:rsidRDefault="00B31FDC">
          <w:pPr>
            <w:pStyle w:val="TDC1"/>
            <w:tabs>
              <w:tab w:val="right" w:leader="dot" w:pos="8828"/>
            </w:tabs>
            <w:rPr>
              <w:noProof/>
            </w:rPr>
          </w:pPr>
          <w:hyperlink w:anchor="_Toc499918288" w:history="1">
            <w:r w:rsidRPr="00E903FE">
              <w:rPr>
                <w:rStyle w:val="Hipervnculo"/>
                <w:noProof/>
              </w:rPr>
              <w:t>Marco Teórico</w:t>
            </w:r>
            <w:r>
              <w:rPr>
                <w:noProof/>
                <w:webHidden/>
              </w:rPr>
              <w:tab/>
            </w:r>
            <w:r>
              <w:rPr>
                <w:noProof/>
                <w:webHidden/>
              </w:rPr>
              <w:fldChar w:fldCharType="begin"/>
            </w:r>
            <w:r>
              <w:rPr>
                <w:noProof/>
                <w:webHidden/>
              </w:rPr>
              <w:instrText xml:space="preserve"> PAGEREF _Toc499918288 \h </w:instrText>
            </w:r>
            <w:r>
              <w:rPr>
                <w:noProof/>
                <w:webHidden/>
              </w:rPr>
            </w:r>
            <w:r>
              <w:rPr>
                <w:noProof/>
                <w:webHidden/>
              </w:rPr>
              <w:fldChar w:fldCharType="separate"/>
            </w:r>
            <w:r>
              <w:rPr>
                <w:noProof/>
                <w:webHidden/>
              </w:rPr>
              <w:t>9</w:t>
            </w:r>
            <w:r>
              <w:rPr>
                <w:noProof/>
                <w:webHidden/>
              </w:rPr>
              <w:fldChar w:fldCharType="end"/>
            </w:r>
          </w:hyperlink>
        </w:p>
        <w:p w14:paraId="2873778A" w14:textId="77777777" w:rsidR="00B31FDC" w:rsidRDefault="00B31FDC">
          <w:pPr>
            <w:pStyle w:val="TDC2"/>
            <w:tabs>
              <w:tab w:val="right" w:leader="dot" w:pos="8828"/>
            </w:tabs>
            <w:rPr>
              <w:noProof/>
            </w:rPr>
          </w:pPr>
          <w:hyperlink w:anchor="_Toc499918289" w:history="1">
            <w:r w:rsidRPr="00E903FE">
              <w:rPr>
                <w:rStyle w:val="Hipervnculo"/>
                <w:noProof/>
              </w:rPr>
              <w:t>Neorrealismo</w:t>
            </w:r>
            <w:r>
              <w:rPr>
                <w:noProof/>
                <w:webHidden/>
              </w:rPr>
              <w:tab/>
            </w:r>
            <w:r>
              <w:rPr>
                <w:noProof/>
                <w:webHidden/>
              </w:rPr>
              <w:fldChar w:fldCharType="begin"/>
            </w:r>
            <w:r>
              <w:rPr>
                <w:noProof/>
                <w:webHidden/>
              </w:rPr>
              <w:instrText xml:space="preserve"> PAGEREF _Toc499918289 \h </w:instrText>
            </w:r>
            <w:r>
              <w:rPr>
                <w:noProof/>
                <w:webHidden/>
              </w:rPr>
            </w:r>
            <w:r>
              <w:rPr>
                <w:noProof/>
                <w:webHidden/>
              </w:rPr>
              <w:fldChar w:fldCharType="separate"/>
            </w:r>
            <w:r>
              <w:rPr>
                <w:noProof/>
                <w:webHidden/>
              </w:rPr>
              <w:t>9</w:t>
            </w:r>
            <w:r>
              <w:rPr>
                <w:noProof/>
                <w:webHidden/>
              </w:rPr>
              <w:fldChar w:fldCharType="end"/>
            </w:r>
          </w:hyperlink>
        </w:p>
        <w:p w14:paraId="70BDB8B4" w14:textId="77777777" w:rsidR="00B31FDC" w:rsidRDefault="00B31FDC">
          <w:pPr>
            <w:pStyle w:val="TDC2"/>
            <w:tabs>
              <w:tab w:val="right" w:leader="dot" w:pos="8828"/>
            </w:tabs>
            <w:rPr>
              <w:noProof/>
            </w:rPr>
          </w:pPr>
          <w:hyperlink w:anchor="_Toc499918290" w:history="1">
            <w:r w:rsidRPr="00E903FE">
              <w:rPr>
                <w:rStyle w:val="Hipervnculo"/>
                <w:noProof/>
              </w:rPr>
              <w:t>Estructura</w:t>
            </w:r>
            <w:r>
              <w:rPr>
                <w:noProof/>
                <w:webHidden/>
              </w:rPr>
              <w:tab/>
            </w:r>
            <w:r>
              <w:rPr>
                <w:noProof/>
                <w:webHidden/>
              </w:rPr>
              <w:fldChar w:fldCharType="begin"/>
            </w:r>
            <w:r>
              <w:rPr>
                <w:noProof/>
                <w:webHidden/>
              </w:rPr>
              <w:instrText xml:space="preserve"> PAGEREF _Toc499918290 \h </w:instrText>
            </w:r>
            <w:r>
              <w:rPr>
                <w:noProof/>
                <w:webHidden/>
              </w:rPr>
            </w:r>
            <w:r>
              <w:rPr>
                <w:noProof/>
                <w:webHidden/>
              </w:rPr>
              <w:fldChar w:fldCharType="separate"/>
            </w:r>
            <w:r>
              <w:rPr>
                <w:noProof/>
                <w:webHidden/>
              </w:rPr>
              <w:t>10</w:t>
            </w:r>
            <w:r>
              <w:rPr>
                <w:noProof/>
                <w:webHidden/>
              </w:rPr>
              <w:fldChar w:fldCharType="end"/>
            </w:r>
          </w:hyperlink>
        </w:p>
        <w:p w14:paraId="3963CDD9" w14:textId="77777777" w:rsidR="00B31FDC" w:rsidRDefault="00B31FDC">
          <w:pPr>
            <w:pStyle w:val="TDC2"/>
            <w:tabs>
              <w:tab w:val="right" w:leader="dot" w:pos="8828"/>
            </w:tabs>
            <w:rPr>
              <w:noProof/>
            </w:rPr>
          </w:pPr>
          <w:hyperlink w:anchor="_Toc499918291" w:history="1">
            <w:r w:rsidRPr="00E903FE">
              <w:rPr>
                <w:rStyle w:val="Hipervnculo"/>
                <w:noProof/>
              </w:rPr>
              <w:t>Anarquía</w:t>
            </w:r>
            <w:r>
              <w:rPr>
                <w:noProof/>
                <w:webHidden/>
              </w:rPr>
              <w:tab/>
            </w:r>
            <w:r>
              <w:rPr>
                <w:noProof/>
                <w:webHidden/>
              </w:rPr>
              <w:fldChar w:fldCharType="begin"/>
            </w:r>
            <w:r>
              <w:rPr>
                <w:noProof/>
                <w:webHidden/>
              </w:rPr>
              <w:instrText xml:space="preserve"> PAGEREF _Toc499918291 \h </w:instrText>
            </w:r>
            <w:r>
              <w:rPr>
                <w:noProof/>
                <w:webHidden/>
              </w:rPr>
            </w:r>
            <w:r>
              <w:rPr>
                <w:noProof/>
                <w:webHidden/>
              </w:rPr>
              <w:fldChar w:fldCharType="separate"/>
            </w:r>
            <w:r>
              <w:rPr>
                <w:noProof/>
                <w:webHidden/>
              </w:rPr>
              <w:t>11</w:t>
            </w:r>
            <w:r>
              <w:rPr>
                <w:noProof/>
                <w:webHidden/>
              </w:rPr>
              <w:fldChar w:fldCharType="end"/>
            </w:r>
          </w:hyperlink>
        </w:p>
        <w:p w14:paraId="44DCCC6F" w14:textId="77777777" w:rsidR="00B31FDC" w:rsidRDefault="00B31FDC">
          <w:pPr>
            <w:pStyle w:val="TDC2"/>
            <w:tabs>
              <w:tab w:val="right" w:leader="dot" w:pos="8828"/>
            </w:tabs>
            <w:rPr>
              <w:noProof/>
            </w:rPr>
          </w:pPr>
          <w:hyperlink w:anchor="_Toc499918292" w:history="1">
            <w:r w:rsidRPr="00E903FE">
              <w:rPr>
                <w:rStyle w:val="Hipervnculo"/>
                <w:noProof/>
              </w:rPr>
              <w:t>Poder</w:t>
            </w:r>
            <w:r>
              <w:rPr>
                <w:noProof/>
                <w:webHidden/>
              </w:rPr>
              <w:tab/>
            </w:r>
            <w:r>
              <w:rPr>
                <w:noProof/>
                <w:webHidden/>
              </w:rPr>
              <w:fldChar w:fldCharType="begin"/>
            </w:r>
            <w:r>
              <w:rPr>
                <w:noProof/>
                <w:webHidden/>
              </w:rPr>
              <w:instrText xml:space="preserve"> PAGEREF _Toc499918292 \h </w:instrText>
            </w:r>
            <w:r>
              <w:rPr>
                <w:noProof/>
                <w:webHidden/>
              </w:rPr>
            </w:r>
            <w:r>
              <w:rPr>
                <w:noProof/>
                <w:webHidden/>
              </w:rPr>
              <w:fldChar w:fldCharType="separate"/>
            </w:r>
            <w:r>
              <w:rPr>
                <w:noProof/>
                <w:webHidden/>
              </w:rPr>
              <w:t>11</w:t>
            </w:r>
            <w:r>
              <w:rPr>
                <w:noProof/>
                <w:webHidden/>
              </w:rPr>
              <w:fldChar w:fldCharType="end"/>
            </w:r>
          </w:hyperlink>
        </w:p>
        <w:p w14:paraId="659B868E" w14:textId="77777777" w:rsidR="00B31FDC" w:rsidRDefault="00B31FDC">
          <w:pPr>
            <w:pStyle w:val="TDC2"/>
            <w:tabs>
              <w:tab w:val="right" w:leader="dot" w:pos="8828"/>
            </w:tabs>
            <w:rPr>
              <w:noProof/>
            </w:rPr>
          </w:pPr>
          <w:hyperlink w:anchor="_Toc499918293" w:history="1">
            <w:r w:rsidRPr="00E903FE">
              <w:rPr>
                <w:rStyle w:val="Hipervnculo"/>
                <w:noProof/>
              </w:rPr>
              <w:t>Seguridad</w:t>
            </w:r>
            <w:r>
              <w:rPr>
                <w:noProof/>
                <w:webHidden/>
              </w:rPr>
              <w:tab/>
            </w:r>
            <w:r>
              <w:rPr>
                <w:noProof/>
                <w:webHidden/>
              </w:rPr>
              <w:fldChar w:fldCharType="begin"/>
            </w:r>
            <w:r>
              <w:rPr>
                <w:noProof/>
                <w:webHidden/>
              </w:rPr>
              <w:instrText xml:space="preserve"> PAGEREF _Toc499918293 \h </w:instrText>
            </w:r>
            <w:r>
              <w:rPr>
                <w:noProof/>
                <w:webHidden/>
              </w:rPr>
            </w:r>
            <w:r>
              <w:rPr>
                <w:noProof/>
                <w:webHidden/>
              </w:rPr>
              <w:fldChar w:fldCharType="separate"/>
            </w:r>
            <w:r>
              <w:rPr>
                <w:noProof/>
                <w:webHidden/>
              </w:rPr>
              <w:t>12</w:t>
            </w:r>
            <w:r>
              <w:rPr>
                <w:noProof/>
                <w:webHidden/>
              </w:rPr>
              <w:fldChar w:fldCharType="end"/>
            </w:r>
          </w:hyperlink>
        </w:p>
        <w:p w14:paraId="1A85D353" w14:textId="77777777" w:rsidR="00B31FDC" w:rsidRDefault="00B31FDC">
          <w:pPr>
            <w:pStyle w:val="TDC2"/>
            <w:tabs>
              <w:tab w:val="right" w:leader="dot" w:pos="8828"/>
            </w:tabs>
            <w:rPr>
              <w:noProof/>
            </w:rPr>
          </w:pPr>
          <w:hyperlink w:anchor="_Toc499918294" w:history="1">
            <w:r w:rsidRPr="00E903FE">
              <w:rPr>
                <w:rStyle w:val="Hipervnculo"/>
                <w:noProof/>
              </w:rPr>
              <w:t>Teoría neorrealista y la política de seguridad energética de Estados Unidos</w:t>
            </w:r>
            <w:r>
              <w:rPr>
                <w:noProof/>
                <w:webHidden/>
              </w:rPr>
              <w:tab/>
            </w:r>
            <w:r>
              <w:rPr>
                <w:noProof/>
                <w:webHidden/>
              </w:rPr>
              <w:fldChar w:fldCharType="begin"/>
            </w:r>
            <w:r>
              <w:rPr>
                <w:noProof/>
                <w:webHidden/>
              </w:rPr>
              <w:instrText xml:space="preserve"> PAGEREF _Toc499918294 \h </w:instrText>
            </w:r>
            <w:r>
              <w:rPr>
                <w:noProof/>
                <w:webHidden/>
              </w:rPr>
            </w:r>
            <w:r>
              <w:rPr>
                <w:noProof/>
                <w:webHidden/>
              </w:rPr>
              <w:fldChar w:fldCharType="separate"/>
            </w:r>
            <w:r>
              <w:rPr>
                <w:noProof/>
                <w:webHidden/>
              </w:rPr>
              <w:t>13</w:t>
            </w:r>
            <w:r>
              <w:rPr>
                <w:noProof/>
                <w:webHidden/>
              </w:rPr>
              <w:fldChar w:fldCharType="end"/>
            </w:r>
          </w:hyperlink>
        </w:p>
        <w:p w14:paraId="1B08D38C" w14:textId="77777777" w:rsidR="00B31FDC" w:rsidRDefault="00B31FDC">
          <w:pPr>
            <w:pStyle w:val="TDC2"/>
            <w:tabs>
              <w:tab w:val="right" w:leader="dot" w:pos="8828"/>
            </w:tabs>
            <w:rPr>
              <w:noProof/>
            </w:rPr>
          </w:pPr>
          <w:hyperlink w:anchor="_Toc499918295" w:history="1">
            <w:r w:rsidRPr="00E903FE">
              <w:rPr>
                <w:rStyle w:val="Hipervnculo"/>
                <w:noProof/>
              </w:rPr>
              <w:t>Definiciones y clasificación del petróleo</w:t>
            </w:r>
            <w:r>
              <w:rPr>
                <w:noProof/>
                <w:webHidden/>
              </w:rPr>
              <w:tab/>
            </w:r>
            <w:r>
              <w:rPr>
                <w:noProof/>
                <w:webHidden/>
              </w:rPr>
              <w:fldChar w:fldCharType="begin"/>
            </w:r>
            <w:r>
              <w:rPr>
                <w:noProof/>
                <w:webHidden/>
              </w:rPr>
              <w:instrText xml:space="preserve"> PAGEREF _Toc499918295 \h </w:instrText>
            </w:r>
            <w:r>
              <w:rPr>
                <w:noProof/>
                <w:webHidden/>
              </w:rPr>
            </w:r>
            <w:r>
              <w:rPr>
                <w:noProof/>
                <w:webHidden/>
              </w:rPr>
              <w:fldChar w:fldCharType="separate"/>
            </w:r>
            <w:r>
              <w:rPr>
                <w:noProof/>
                <w:webHidden/>
              </w:rPr>
              <w:t>15</w:t>
            </w:r>
            <w:r>
              <w:rPr>
                <w:noProof/>
                <w:webHidden/>
              </w:rPr>
              <w:fldChar w:fldCharType="end"/>
            </w:r>
          </w:hyperlink>
        </w:p>
        <w:p w14:paraId="3CA864C5" w14:textId="77777777" w:rsidR="00B31FDC" w:rsidRDefault="00B31FDC">
          <w:pPr>
            <w:pStyle w:val="TDC1"/>
            <w:tabs>
              <w:tab w:val="right" w:leader="dot" w:pos="8828"/>
            </w:tabs>
            <w:rPr>
              <w:noProof/>
            </w:rPr>
          </w:pPr>
          <w:hyperlink w:anchor="_Toc499918296" w:history="1">
            <w:r w:rsidRPr="00E903FE">
              <w:rPr>
                <w:rStyle w:val="Hipervnculo"/>
                <w:noProof/>
              </w:rPr>
              <w:t>Capítulo 1: Interpretación neorrealista de los incentivos estatales para el desarrollo del shale oil</w:t>
            </w:r>
            <w:r>
              <w:rPr>
                <w:noProof/>
                <w:webHidden/>
              </w:rPr>
              <w:tab/>
            </w:r>
            <w:r>
              <w:rPr>
                <w:noProof/>
                <w:webHidden/>
              </w:rPr>
              <w:fldChar w:fldCharType="begin"/>
            </w:r>
            <w:r>
              <w:rPr>
                <w:noProof/>
                <w:webHidden/>
              </w:rPr>
              <w:instrText xml:space="preserve"> PAGEREF _Toc499918296 \h </w:instrText>
            </w:r>
            <w:r>
              <w:rPr>
                <w:noProof/>
                <w:webHidden/>
              </w:rPr>
            </w:r>
            <w:r>
              <w:rPr>
                <w:noProof/>
                <w:webHidden/>
              </w:rPr>
              <w:fldChar w:fldCharType="separate"/>
            </w:r>
            <w:r>
              <w:rPr>
                <w:noProof/>
                <w:webHidden/>
              </w:rPr>
              <w:t>19</w:t>
            </w:r>
            <w:r>
              <w:rPr>
                <w:noProof/>
                <w:webHidden/>
              </w:rPr>
              <w:fldChar w:fldCharType="end"/>
            </w:r>
          </w:hyperlink>
        </w:p>
        <w:p w14:paraId="232EBB46" w14:textId="77777777" w:rsidR="00B31FDC" w:rsidRDefault="00B31FDC">
          <w:pPr>
            <w:pStyle w:val="TDC2"/>
            <w:tabs>
              <w:tab w:val="right" w:leader="dot" w:pos="8828"/>
            </w:tabs>
            <w:rPr>
              <w:noProof/>
            </w:rPr>
          </w:pPr>
          <w:hyperlink w:anchor="_Toc499918297" w:history="1">
            <w:r w:rsidRPr="00E903FE">
              <w:rPr>
                <w:rStyle w:val="Hipervnculo"/>
                <w:noProof/>
              </w:rPr>
              <w:t>Antecedentes</w:t>
            </w:r>
            <w:r>
              <w:rPr>
                <w:noProof/>
                <w:webHidden/>
              </w:rPr>
              <w:tab/>
            </w:r>
            <w:r>
              <w:rPr>
                <w:noProof/>
                <w:webHidden/>
              </w:rPr>
              <w:fldChar w:fldCharType="begin"/>
            </w:r>
            <w:r>
              <w:rPr>
                <w:noProof/>
                <w:webHidden/>
              </w:rPr>
              <w:instrText xml:space="preserve"> PAGEREF _Toc499918297 \h </w:instrText>
            </w:r>
            <w:r>
              <w:rPr>
                <w:noProof/>
                <w:webHidden/>
              </w:rPr>
            </w:r>
            <w:r>
              <w:rPr>
                <w:noProof/>
                <w:webHidden/>
              </w:rPr>
              <w:fldChar w:fldCharType="separate"/>
            </w:r>
            <w:r>
              <w:rPr>
                <w:noProof/>
                <w:webHidden/>
              </w:rPr>
              <w:t>19</w:t>
            </w:r>
            <w:r>
              <w:rPr>
                <w:noProof/>
                <w:webHidden/>
              </w:rPr>
              <w:fldChar w:fldCharType="end"/>
            </w:r>
          </w:hyperlink>
        </w:p>
        <w:p w14:paraId="52D340E0" w14:textId="77777777" w:rsidR="00B31FDC" w:rsidRDefault="00B31FDC">
          <w:pPr>
            <w:pStyle w:val="TDC2"/>
            <w:tabs>
              <w:tab w:val="right" w:leader="dot" w:pos="8828"/>
            </w:tabs>
            <w:rPr>
              <w:noProof/>
            </w:rPr>
          </w:pPr>
          <w:hyperlink w:anchor="_Toc499918298" w:history="1">
            <w:r w:rsidRPr="00E903FE">
              <w:rPr>
                <w:rStyle w:val="Hipervnculo"/>
                <w:noProof/>
              </w:rPr>
              <w:t>La administración Bush</w:t>
            </w:r>
            <w:r>
              <w:rPr>
                <w:noProof/>
                <w:webHidden/>
              </w:rPr>
              <w:tab/>
            </w:r>
            <w:r>
              <w:rPr>
                <w:noProof/>
                <w:webHidden/>
              </w:rPr>
              <w:fldChar w:fldCharType="begin"/>
            </w:r>
            <w:r>
              <w:rPr>
                <w:noProof/>
                <w:webHidden/>
              </w:rPr>
              <w:instrText xml:space="preserve"> PAGEREF _Toc499918298 \h </w:instrText>
            </w:r>
            <w:r>
              <w:rPr>
                <w:noProof/>
                <w:webHidden/>
              </w:rPr>
            </w:r>
            <w:r>
              <w:rPr>
                <w:noProof/>
                <w:webHidden/>
              </w:rPr>
              <w:fldChar w:fldCharType="separate"/>
            </w:r>
            <w:r>
              <w:rPr>
                <w:noProof/>
                <w:webHidden/>
              </w:rPr>
              <w:t>26</w:t>
            </w:r>
            <w:r>
              <w:rPr>
                <w:noProof/>
                <w:webHidden/>
              </w:rPr>
              <w:fldChar w:fldCharType="end"/>
            </w:r>
          </w:hyperlink>
        </w:p>
        <w:p w14:paraId="0D6CA00E" w14:textId="77777777" w:rsidR="00B31FDC" w:rsidRDefault="00B31FDC">
          <w:pPr>
            <w:pStyle w:val="TDC3"/>
            <w:tabs>
              <w:tab w:val="left" w:pos="880"/>
              <w:tab w:val="right" w:leader="dot" w:pos="8828"/>
            </w:tabs>
            <w:rPr>
              <w:noProof/>
            </w:rPr>
          </w:pPr>
          <w:hyperlink w:anchor="_Toc499918299" w:history="1">
            <w:r w:rsidRPr="00E903FE">
              <w:rPr>
                <w:rStyle w:val="Hipervnculo"/>
                <w:noProof/>
              </w:rPr>
              <w:t>1.</w:t>
            </w:r>
            <w:r>
              <w:rPr>
                <w:noProof/>
              </w:rPr>
              <w:tab/>
            </w:r>
            <w:r w:rsidRPr="00E903FE">
              <w:rPr>
                <w:rStyle w:val="Hipervnculo"/>
                <w:noProof/>
              </w:rPr>
              <w:t>El consumo energético de EEUU y sus proyecciones</w:t>
            </w:r>
            <w:r>
              <w:rPr>
                <w:noProof/>
                <w:webHidden/>
              </w:rPr>
              <w:tab/>
            </w:r>
            <w:r>
              <w:rPr>
                <w:noProof/>
                <w:webHidden/>
              </w:rPr>
              <w:fldChar w:fldCharType="begin"/>
            </w:r>
            <w:r>
              <w:rPr>
                <w:noProof/>
                <w:webHidden/>
              </w:rPr>
              <w:instrText xml:space="preserve"> PAGEREF _Toc499918299 \h </w:instrText>
            </w:r>
            <w:r>
              <w:rPr>
                <w:noProof/>
                <w:webHidden/>
              </w:rPr>
            </w:r>
            <w:r>
              <w:rPr>
                <w:noProof/>
                <w:webHidden/>
              </w:rPr>
              <w:fldChar w:fldCharType="separate"/>
            </w:r>
            <w:r>
              <w:rPr>
                <w:noProof/>
                <w:webHidden/>
              </w:rPr>
              <w:t>26</w:t>
            </w:r>
            <w:r>
              <w:rPr>
                <w:noProof/>
                <w:webHidden/>
              </w:rPr>
              <w:fldChar w:fldCharType="end"/>
            </w:r>
          </w:hyperlink>
        </w:p>
        <w:p w14:paraId="1B44E1ED" w14:textId="77777777" w:rsidR="00B31FDC" w:rsidRDefault="00B31FDC">
          <w:pPr>
            <w:pStyle w:val="TDC3"/>
            <w:tabs>
              <w:tab w:val="left" w:pos="880"/>
              <w:tab w:val="right" w:leader="dot" w:pos="8828"/>
            </w:tabs>
            <w:rPr>
              <w:noProof/>
            </w:rPr>
          </w:pPr>
          <w:hyperlink w:anchor="_Toc499918300" w:history="1">
            <w:r w:rsidRPr="00E903FE">
              <w:rPr>
                <w:rStyle w:val="Hipervnculo"/>
                <w:noProof/>
              </w:rPr>
              <w:t>2.</w:t>
            </w:r>
            <w:r>
              <w:rPr>
                <w:noProof/>
              </w:rPr>
              <w:tab/>
            </w:r>
            <w:r w:rsidRPr="00E903FE">
              <w:rPr>
                <w:rStyle w:val="Hipervnculo"/>
                <w:noProof/>
              </w:rPr>
              <w:t>Diferencias con la política de Carter</w:t>
            </w:r>
            <w:r>
              <w:rPr>
                <w:noProof/>
                <w:webHidden/>
              </w:rPr>
              <w:tab/>
            </w:r>
            <w:r>
              <w:rPr>
                <w:noProof/>
                <w:webHidden/>
              </w:rPr>
              <w:fldChar w:fldCharType="begin"/>
            </w:r>
            <w:r>
              <w:rPr>
                <w:noProof/>
                <w:webHidden/>
              </w:rPr>
              <w:instrText xml:space="preserve"> PAGEREF _Toc499918300 \h </w:instrText>
            </w:r>
            <w:r>
              <w:rPr>
                <w:noProof/>
                <w:webHidden/>
              </w:rPr>
            </w:r>
            <w:r>
              <w:rPr>
                <w:noProof/>
                <w:webHidden/>
              </w:rPr>
              <w:fldChar w:fldCharType="separate"/>
            </w:r>
            <w:r>
              <w:rPr>
                <w:noProof/>
                <w:webHidden/>
              </w:rPr>
              <w:t>30</w:t>
            </w:r>
            <w:r>
              <w:rPr>
                <w:noProof/>
                <w:webHidden/>
              </w:rPr>
              <w:fldChar w:fldCharType="end"/>
            </w:r>
          </w:hyperlink>
        </w:p>
        <w:p w14:paraId="3C9BF459" w14:textId="77777777" w:rsidR="00B31FDC" w:rsidRDefault="00B31FDC">
          <w:pPr>
            <w:pStyle w:val="TDC3"/>
            <w:tabs>
              <w:tab w:val="left" w:pos="880"/>
              <w:tab w:val="right" w:leader="dot" w:pos="8828"/>
            </w:tabs>
            <w:rPr>
              <w:noProof/>
            </w:rPr>
          </w:pPr>
          <w:hyperlink w:anchor="_Toc499918301" w:history="1">
            <w:r w:rsidRPr="00E903FE">
              <w:rPr>
                <w:rStyle w:val="Hipervnculo"/>
                <w:noProof/>
              </w:rPr>
              <w:t>3.</w:t>
            </w:r>
            <w:r>
              <w:rPr>
                <w:noProof/>
              </w:rPr>
              <w:tab/>
            </w:r>
            <w:r w:rsidRPr="00E903FE">
              <w:rPr>
                <w:rStyle w:val="Hipervnculo"/>
                <w:noProof/>
              </w:rPr>
              <w:t>Guerra de Irak</w:t>
            </w:r>
            <w:r>
              <w:rPr>
                <w:noProof/>
                <w:webHidden/>
              </w:rPr>
              <w:tab/>
            </w:r>
            <w:r>
              <w:rPr>
                <w:noProof/>
                <w:webHidden/>
              </w:rPr>
              <w:fldChar w:fldCharType="begin"/>
            </w:r>
            <w:r>
              <w:rPr>
                <w:noProof/>
                <w:webHidden/>
              </w:rPr>
              <w:instrText xml:space="preserve"> PAGEREF _Toc499918301 \h </w:instrText>
            </w:r>
            <w:r>
              <w:rPr>
                <w:noProof/>
                <w:webHidden/>
              </w:rPr>
            </w:r>
            <w:r>
              <w:rPr>
                <w:noProof/>
                <w:webHidden/>
              </w:rPr>
              <w:fldChar w:fldCharType="separate"/>
            </w:r>
            <w:r>
              <w:rPr>
                <w:noProof/>
                <w:webHidden/>
              </w:rPr>
              <w:t>31</w:t>
            </w:r>
            <w:r>
              <w:rPr>
                <w:noProof/>
                <w:webHidden/>
              </w:rPr>
              <w:fldChar w:fldCharType="end"/>
            </w:r>
          </w:hyperlink>
        </w:p>
        <w:p w14:paraId="45F9DD76" w14:textId="77777777" w:rsidR="00B31FDC" w:rsidRDefault="00B31FDC">
          <w:pPr>
            <w:pStyle w:val="TDC3"/>
            <w:tabs>
              <w:tab w:val="left" w:pos="880"/>
              <w:tab w:val="right" w:leader="dot" w:pos="8828"/>
            </w:tabs>
            <w:rPr>
              <w:noProof/>
            </w:rPr>
          </w:pPr>
          <w:hyperlink w:anchor="_Toc499918302" w:history="1">
            <w:r w:rsidRPr="00E903FE">
              <w:rPr>
                <w:rStyle w:val="Hipervnculo"/>
                <w:noProof/>
              </w:rPr>
              <w:t>4.</w:t>
            </w:r>
            <w:r>
              <w:rPr>
                <w:noProof/>
              </w:rPr>
              <w:tab/>
            </w:r>
            <w:r w:rsidRPr="00E903FE">
              <w:rPr>
                <w:rStyle w:val="Hipervnculo"/>
                <w:noProof/>
              </w:rPr>
              <w:t>Política hacia Latinoamérica</w:t>
            </w:r>
            <w:r>
              <w:rPr>
                <w:noProof/>
                <w:webHidden/>
              </w:rPr>
              <w:tab/>
            </w:r>
            <w:r>
              <w:rPr>
                <w:noProof/>
                <w:webHidden/>
              </w:rPr>
              <w:fldChar w:fldCharType="begin"/>
            </w:r>
            <w:r>
              <w:rPr>
                <w:noProof/>
                <w:webHidden/>
              </w:rPr>
              <w:instrText xml:space="preserve"> PAGEREF _Toc499918302 \h </w:instrText>
            </w:r>
            <w:r>
              <w:rPr>
                <w:noProof/>
                <w:webHidden/>
              </w:rPr>
            </w:r>
            <w:r>
              <w:rPr>
                <w:noProof/>
                <w:webHidden/>
              </w:rPr>
              <w:fldChar w:fldCharType="separate"/>
            </w:r>
            <w:r>
              <w:rPr>
                <w:noProof/>
                <w:webHidden/>
              </w:rPr>
              <w:t>31</w:t>
            </w:r>
            <w:r>
              <w:rPr>
                <w:noProof/>
                <w:webHidden/>
              </w:rPr>
              <w:fldChar w:fldCharType="end"/>
            </w:r>
          </w:hyperlink>
        </w:p>
        <w:p w14:paraId="1DB1DD9F" w14:textId="77777777" w:rsidR="00B31FDC" w:rsidRDefault="00B31FDC">
          <w:pPr>
            <w:pStyle w:val="TDC3"/>
            <w:tabs>
              <w:tab w:val="left" w:pos="880"/>
              <w:tab w:val="right" w:leader="dot" w:pos="8828"/>
            </w:tabs>
            <w:rPr>
              <w:noProof/>
            </w:rPr>
          </w:pPr>
          <w:hyperlink w:anchor="_Toc499918303" w:history="1">
            <w:r w:rsidRPr="00E903FE">
              <w:rPr>
                <w:rStyle w:val="Hipervnculo"/>
                <w:noProof/>
              </w:rPr>
              <w:t>5.</w:t>
            </w:r>
            <w:r>
              <w:rPr>
                <w:noProof/>
              </w:rPr>
              <w:tab/>
            </w:r>
            <w:r w:rsidRPr="00E903FE">
              <w:rPr>
                <w:rStyle w:val="Hipervnculo"/>
                <w:noProof/>
              </w:rPr>
              <w:t>Ley de Política Energética de 2005</w:t>
            </w:r>
            <w:r>
              <w:rPr>
                <w:noProof/>
                <w:webHidden/>
              </w:rPr>
              <w:tab/>
            </w:r>
            <w:r>
              <w:rPr>
                <w:noProof/>
                <w:webHidden/>
              </w:rPr>
              <w:fldChar w:fldCharType="begin"/>
            </w:r>
            <w:r>
              <w:rPr>
                <w:noProof/>
                <w:webHidden/>
              </w:rPr>
              <w:instrText xml:space="preserve"> PAGEREF _Toc499918303 \h </w:instrText>
            </w:r>
            <w:r>
              <w:rPr>
                <w:noProof/>
                <w:webHidden/>
              </w:rPr>
            </w:r>
            <w:r>
              <w:rPr>
                <w:noProof/>
                <w:webHidden/>
              </w:rPr>
              <w:fldChar w:fldCharType="separate"/>
            </w:r>
            <w:r>
              <w:rPr>
                <w:noProof/>
                <w:webHidden/>
              </w:rPr>
              <w:t>32</w:t>
            </w:r>
            <w:r>
              <w:rPr>
                <w:noProof/>
                <w:webHidden/>
              </w:rPr>
              <w:fldChar w:fldCharType="end"/>
            </w:r>
          </w:hyperlink>
        </w:p>
        <w:p w14:paraId="4B8FE9DD" w14:textId="77777777" w:rsidR="00B31FDC" w:rsidRDefault="00B31FDC">
          <w:pPr>
            <w:pStyle w:val="TDC2"/>
            <w:tabs>
              <w:tab w:val="right" w:leader="dot" w:pos="8828"/>
            </w:tabs>
            <w:rPr>
              <w:noProof/>
            </w:rPr>
          </w:pPr>
          <w:hyperlink w:anchor="_Toc499918304" w:history="1">
            <w:r w:rsidRPr="00E903FE">
              <w:rPr>
                <w:rStyle w:val="Hipervnculo"/>
                <w:noProof/>
              </w:rPr>
              <w:t>Análisis</w:t>
            </w:r>
            <w:r>
              <w:rPr>
                <w:noProof/>
                <w:webHidden/>
              </w:rPr>
              <w:tab/>
            </w:r>
            <w:r>
              <w:rPr>
                <w:noProof/>
                <w:webHidden/>
              </w:rPr>
              <w:fldChar w:fldCharType="begin"/>
            </w:r>
            <w:r>
              <w:rPr>
                <w:noProof/>
                <w:webHidden/>
              </w:rPr>
              <w:instrText xml:space="preserve"> PAGEREF _Toc499918304 \h </w:instrText>
            </w:r>
            <w:r>
              <w:rPr>
                <w:noProof/>
                <w:webHidden/>
              </w:rPr>
            </w:r>
            <w:r>
              <w:rPr>
                <w:noProof/>
                <w:webHidden/>
              </w:rPr>
              <w:fldChar w:fldCharType="separate"/>
            </w:r>
            <w:r>
              <w:rPr>
                <w:noProof/>
                <w:webHidden/>
              </w:rPr>
              <w:t>33</w:t>
            </w:r>
            <w:r>
              <w:rPr>
                <w:noProof/>
                <w:webHidden/>
              </w:rPr>
              <w:fldChar w:fldCharType="end"/>
            </w:r>
          </w:hyperlink>
        </w:p>
        <w:p w14:paraId="6B0B999A" w14:textId="77777777" w:rsidR="00B31FDC" w:rsidRDefault="00B31FDC">
          <w:pPr>
            <w:pStyle w:val="TDC1"/>
            <w:tabs>
              <w:tab w:val="right" w:leader="dot" w:pos="8828"/>
            </w:tabs>
            <w:rPr>
              <w:noProof/>
            </w:rPr>
          </w:pPr>
          <w:hyperlink w:anchor="_Toc499918305" w:history="1">
            <w:r w:rsidRPr="00E903FE">
              <w:rPr>
                <w:rStyle w:val="Hipervnculo"/>
                <w:noProof/>
              </w:rPr>
              <w:t>Capítulo 2: Análisis de la aprobación de la legislación en el congreso</w:t>
            </w:r>
            <w:r>
              <w:rPr>
                <w:noProof/>
                <w:webHidden/>
              </w:rPr>
              <w:tab/>
            </w:r>
            <w:r>
              <w:rPr>
                <w:noProof/>
                <w:webHidden/>
              </w:rPr>
              <w:fldChar w:fldCharType="begin"/>
            </w:r>
            <w:r>
              <w:rPr>
                <w:noProof/>
                <w:webHidden/>
              </w:rPr>
              <w:instrText xml:space="preserve"> PAGEREF _Toc499918305 \h </w:instrText>
            </w:r>
            <w:r>
              <w:rPr>
                <w:noProof/>
                <w:webHidden/>
              </w:rPr>
            </w:r>
            <w:r>
              <w:rPr>
                <w:noProof/>
                <w:webHidden/>
              </w:rPr>
              <w:fldChar w:fldCharType="separate"/>
            </w:r>
            <w:r>
              <w:rPr>
                <w:noProof/>
                <w:webHidden/>
              </w:rPr>
              <w:t>37</w:t>
            </w:r>
            <w:r>
              <w:rPr>
                <w:noProof/>
                <w:webHidden/>
              </w:rPr>
              <w:fldChar w:fldCharType="end"/>
            </w:r>
          </w:hyperlink>
        </w:p>
        <w:p w14:paraId="37108C60" w14:textId="77777777" w:rsidR="00B31FDC" w:rsidRDefault="00B31FDC">
          <w:pPr>
            <w:pStyle w:val="TDC2"/>
            <w:tabs>
              <w:tab w:val="right" w:leader="dot" w:pos="8828"/>
            </w:tabs>
            <w:rPr>
              <w:noProof/>
            </w:rPr>
          </w:pPr>
          <w:hyperlink w:anchor="_Toc499918306" w:history="1">
            <w:r w:rsidRPr="00E903FE">
              <w:rPr>
                <w:rStyle w:val="Hipervnculo"/>
                <w:noProof/>
              </w:rPr>
              <w:t>Votación del proyecto de ley: Casa de Representantes</w:t>
            </w:r>
            <w:r>
              <w:rPr>
                <w:noProof/>
                <w:webHidden/>
              </w:rPr>
              <w:tab/>
            </w:r>
            <w:r>
              <w:rPr>
                <w:noProof/>
                <w:webHidden/>
              </w:rPr>
              <w:fldChar w:fldCharType="begin"/>
            </w:r>
            <w:r>
              <w:rPr>
                <w:noProof/>
                <w:webHidden/>
              </w:rPr>
              <w:instrText xml:space="preserve"> PAGEREF _Toc499918306 \h </w:instrText>
            </w:r>
            <w:r>
              <w:rPr>
                <w:noProof/>
                <w:webHidden/>
              </w:rPr>
            </w:r>
            <w:r>
              <w:rPr>
                <w:noProof/>
                <w:webHidden/>
              </w:rPr>
              <w:fldChar w:fldCharType="separate"/>
            </w:r>
            <w:r>
              <w:rPr>
                <w:noProof/>
                <w:webHidden/>
              </w:rPr>
              <w:t>37</w:t>
            </w:r>
            <w:r>
              <w:rPr>
                <w:noProof/>
                <w:webHidden/>
              </w:rPr>
              <w:fldChar w:fldCharType="end"/>
            </w:r>
          </w:hyperlink>
        </w:p>
        <w:p w14:paraId="10E61A37" w14:textId="77777777" w:rsidR="00B31FDC" w:rsidRDefault="00B31FDC">
          <w:pPr>
            <w:pStyle w:val="TDC2"/>
            <w:tabs>
              <w:tab w:val="right" w:leader="dot" w:pos="8828"/>
            </w:tabs>
            <w:rPr>
              <w:noProof/>
            </w:rPr>
          </w:pPr>
          <w:hyperlink w:anchor="_Toc499918307" w:history="1">
            <w:r w:rsidRPr="00E903FE">
              <w:rPr>
                <w:rStyle w:val="Hipervnculo"/>
                <w:noProof/>
              </w:rPr>
              <w:t>Votación del proyecto de ley: Senado</w:t>
            </w:r>
            <w:r>
              <w:rPr>
                <w:noProof/>
                <w:webHidden/>
              </w:rPr>
              <w:tab/>
            </w:r>
            <w:r>
              <w:rPr>
                <w:noProof/>
                <w:webHidden/>
              </w:rPr>
              <w:fldChar w:fldCharType="begin"/>
            </w:r>
            <w:r>
              <w:rPr>
                <w:noProof/>
                <w:webHidden/>
              </w:rPr>
              <w:instrText xml:space="preserve"> PAGEREF _Toc499918307 \h </w:instrText>
            </w:r>
            <w:r>
              <w:rPr>
                <w:noProof/>
                <w:webHidden/>
              </w:rPr>
            </w:r>
            <w:r>
              <w:rPr>
                <w:noProof/>
                <w:webHidden/>
              </w:rPr>
              <w:fldChar w:fldCharType="separate"/>
            </w:r>
            <w:r>
              <w:rPr>
                <w:noProof/>
                <w:webHidden/>
              </w:rPr>
              <w:t>38</w:t>
            </w:r>
            <w:r>
              <w:rPr>
                <w:noProof/>
                <w:webHidden/>
              </w:rPr>
              <w:fldChar w:fldCharType="end"/>
            </w:r>
          </w:hyperlink>
        </w:p>
        <w:p w14:paraId="66887390" w14:textId="77777777" w:rsidR="00B31FDC" w:rsidRDefault="00B31FDC">
          <w:pPr>
            <w:pStyle w:val="TDC2"/>
            <w:tabs>
              <w:tab w:val="right" w:leader="dot" w:pos="8828"/>
            </w:tabs>
            <w:rPr>
              <w:noProof/>
            </w:rPr>
          </w:pPr>
          <w:hyperlink w:anchor="_Toc499918308" w:history="1">
            <w:r w:rsidRPr="00E903FE">
              <w:rPr>
                <w:rStyle w:val="Hipervnculo"/>
                <w:noProof/>
              </w:rPr>
              <w:t>Análisis</w:t>
            </w:r>
            <w:r>
              <w:rPr>
                <w:noProof/>
                <w:webHidden/>
              </w:rPr>
              <w:tab/>
            </w:r>
            <w:r>
              <w:rPr>
                <w:noProof/>
                <w:webHidden/>
              </w:rPr>
              <w:fldChar w:fldCharType="begin"/>
            </w:r>
            <w:r>
              <w:rPr>
                <w:noProof/>
                <w:webHidden/>
              </w:rPr>
              <w:instrText xml:space="preserve"> PAGEREF _Toc499918308 \h </w:instrText>
            </w:r>
            <w:r>
              <w:rPr>
                <w:noProof/>
                <w:webHidden/>
              </w:rPr>
            </w:r>
            <w:r>
              <w:rPr>
                <w:noProof/>
                <w:webHidden/>
              </w:rPr>
              <w:fldChar w:fldCharType="separate"/>
            </w:r>
            <w:r>
              <w:rPr>
                <w:noProof/>
                <w:webHidden/>
              </w:rPr>
              <w:t>43</w:t>
            </w:r>
            <w:r>
              <w:rPr>
                <w:noProof/>
                <w:webHidden/>
              </w:rPr>
              <w:fldChar w:fldCharType="end"/>
            </w:r>
          </w:hyperlink>
        </w:p>
        <w:p w14:paraId="1BC65560" w14:textId="77777777" w:rsidR="00B31FDC" w:rsidRDefault="00B31FDC">
          <w:pPr>
            <w:pStyle w:val="TDC1"/>
            <w:tabs>
              <w:tab w:val="right" w:leader="dot" w:pos="8828"/>
            </w:tabs>
            <w:rPr>
              <w:noProof/>
            </w:rPr>
          </w:pPr>
          <w:hyperlink r:id="rId11" w:anchor="_Toc499918309" w:history="1">
            <w:r w:rsidRPr="00E903FE">
              <w:rPr>
                <w:rStyle w:val="Hipervnculo"/>
                <w:noProof/>
              </w:rPr>
              <w:t>Anexo 1</w:t>
            </w:r>
            <w:r>
              <w:rPr>
                <w:noProof/>
                <w:webHidden/>
              </w:rPr>
              <w:tab/>
            </w:r>
            <w:r>
              <w:rPr>
                <w:noProof/>
                <w:webHidden/>
              </w:rPr>
              <w:fldChar w:fldCharType="begin"/>
            </w:r>
            <w:r>
              <w:rPr>
                <w:noProof/>
                <w:webHidden/>
              </w:rPr>
              <w:instrText xml:space="preserve"> PAGEREF _Toc499918309 \h </w:instrText>
            </w:r>
            <w:r>
              <w:rPr>
                <w:noProof/>
                <w:webHidden/>
              </w:rPr>
            </w:r>
            <w:r>
              <w:rPr>
                <w:noProof/>
                <w:webHidden/>
              </w:rPr>
              <w:fldChar w:fldCharType="separate"/>
            </w:r>
            <w:r>
              <w:rPr>
                <w:noProof/>
                <w:webHidden/>
              </w:rPr>
              <w:t>45</w:t>
            </w:r>
            <w:r>
              <w:rPr>
                <w:noProof/>
                <w:webHidden/>
              </w:rPr>
              <w:fldChar w:fldCharType="end"/>
            </w:r>
          </w:hyperlink>
        </w:p>
        <w:p w14:paraId="22C5F33B" w14:textId="77777777" w:rsidR="00B31FDC" w:rsidRDefault="00B31FDC">
          <w:pPr>
            <w:pStyle w:val="TDC1"/>
            <w:tabs>
              <w:tab w:val="right" w:leader="dot" w:pos="8828"/>
            </w:tabs>
            <w:rPr>
              <w:noProof/>
            </w:rPr>
          </w:pPr>
          <w:hyperlink w:anchor="_Toc499918310" w:history="1">
            <w:r w:rsidRPr="00E903FE">
              <w:rPr>
                <w:rStyle w:val="Hipervnculo"/>
                <w:noProof/>
              </w:rPr>
              <w:t>Conclusiones</w:t>
            </w:r>
            <w:r>
              <w:rPr>
                <w:noProof/>
                <w:webHidden/>
              </w:rPr>
              <w:tab/>
            </w:r>
            <w:r>
              <w:rPr>
                <w:noProof/>
                <w:webHidden/>
              </w:rPr>
              <w:fldChar w:fldCharType="begin"/>
            </w:r>
            <w:r>
              <w:rPr>
                <w:noProof/>
                <w:webHidden/>
              </w:rPr>
              <w:instrText xml:space="preserve"> PAGEREF _Toc499918310 \h </w:instrText>
            </w:r>
            <w:r>
              <w:rPr>
                <w:noProof/>
                <w:webHidden/>
              </w:rPr>
            </w:r>
            <w:r>
              <w:rPr>
                <w:noProof/>
                <w:webHidden/>
              </w:rPr>
              <w:fldChar w:fldCharType="separate"/>
            </w:r>
            <w:r>
              <w:rPr>
                <w:noProof/>
                <w:webHidden/>
              </w:rPr>
              <w:t>47</w:t>
            </w:r>
            <w:r>
              <w:rPr>
                <w:noProof/>
                <w:webHidden/>
              </w:rPr>
              <w:fldChar w:fldCharType="end"/>
            </w:r>
          </w:hyperlink>
        </w:p>
        <w:p w14:paraId="1F10F07B" w14:textId="77777777" w:rsidR="00B31FDC" w:rsidRDefault="00B31FDC">
          <w:pPr>
            <w:pStyle w:val="TDC1"/>
            <w:tabs>
              <w:tab w:val="right" w:leader="dot" w:pos="8828"/>
            </w:tabs>
            <w:rPr>
              <w:noProof/>
            </w:rPr>
          </w:pPr>
          <w:hyperlink w:anchor="_Toc499918311" w:history="1">
            <w:r w:rsidRPr="00E903FE">
              <w:rPr>
                <w:rStyle w:val="Hipervnculo"/>
                <w:noProof/>
                <w:lang w:val="en-US"/>
              </w:rPr>
              <w:t>Bibliografía</w:t>
            </w:r>
            <w:r>
              <w:rPr>
                <w:noProof/>
                <w:webHidden/>
              </w:rPr>
              <w:tab/>
            </w:r>
            <w:r>
              <w:rPr>
                <w:noProof/>
                <w:webHidden/>
              </w:rPr>
              <w:fldChar w:fldCharType="begin"/>
            </w:r>
            <w:r>
              <w:rPr>
                <w:noProof/>
                <w:webHidden/>
              </w:rPr>
              <w:instrText xml:space="preserve"> PAGEREF _Toc499918311 \h </w:instrText>
            </w:r>
            <w:r>
              <w:rPr>
                <w:noProof/>
                <w:webHidden/>
              </w:rPr>
            </w:r>
            <w:r>
              <w:rPr>
                <w:noProof/>
                <w:webHidden/>
              </w:rPr>
              <w:fldChar w:fldCharType="separate"/>
            </w:r>
            <w:r>
              <w:rPr>
                <w:noProof/>
                <w:webHidden/>
              </w:rPr>
              <w:t>51</w:t>
            </w:r>
            <w:r>
              <w:rPr>
                <w:noProof/>
                <w:webHidden/>
              </w:rPr>
              <w:fldChar w:fldCharType="end"/>
            </w:r>
          </w:hyperlink>
        </w:p>
        <w:p w14:paraId="7463BA61" w14:textId="7518A14D" w:rsidR="00DF27F9" w:rsidRDefault="00DF27F9">
          <w:r>
            <w:rPr>
              <w:b/>
              <w:bCs/>
              <w:lang w:val="es-ES"/>
            </w:rPr>
            <w:fldChar w:fldCharType="end"/>
          </w:r>
        </w:p>
      </w:sdtContent>
    </w:sdt>
    <w:p w14:paraId="7FBB1E5A" w14:textId="51080D7D" w:rsidR="005D23CD" w:rsidRPr="00DF27F9" w:rsidRDefault="005D23CD" w:rsidP="00DF27F9">
      <w:pPr>
        <w:pStyle w:val="Ttulo1"/>
        <w:rPr>
          <w:color w:val="000000" w:themeColor="text1"/>
        </w:rPr>
      </w:pPr>
      <w:bookmarkStart w:id="1" w:name="_Toc499918283"/>
      <w:r w:rsidRPr="00DF27F9">
        <w:rPr>
          <w:color w:val="000000" w:themeColor="text1"/>
        </w:rPr>
        <w:lastRenderedPageBreak/>
        <w:t>Planteamiento del problema</w:t>
      </w:r>
      <w:bookmarkEnd w:id="1"/>
      <w:r w:rsidRPr="00DF27F9">
        <w:rPr>
          <w:color w:val="000000" w:themeColor="text1"/>
        </w:rPr>
        <w:t xml:space="preserve"> </w:t>
      </w:r>
    </w:p>
    <w:p w14:paraId="0DAA9338" w14:textId="77777777" w:rsidR="009F1996" w:rsidRPr="009F1996" w:rsidRDefault="009F1996" w:rsidP="009F1996">
      <w:pPr>
        <w:rPr>
          <w:lang w:eastAsia="en-US"/>
        </w:rPr>
      </w:pPr>
    </w:p>
    <w:p w14:paraId="48885988"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Una de las alternativas de producción petrolera en Estados Unidos por razones de seguridad nacional, ante la posible falta de disponibilidad de reservas convencionales, es la promoción por parte del Estado de la extracción de productos no convencionales como 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r w:rsidRPr="009F1996">
        <w:rPr>
          <w:rFonts w:ascii="Arial" w:hAnsi="Arial" w:cs="Arial"/>
          <w:szCs w:val="24"/>
        </w:rPr>
        <w:t xml:space="preserve">El sector privado ha ingresado en la industria petrolera, debido a incentivos gubernamentales y a la rentabilidad que la extracción y producción petrolera ofrece. </w:t>
      </w:r>
    </w:p>
    <w:p w14:paraId="31DF938B"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r w:rsidRPr="009F1996">
        <w:rPr>
          <w:rFonts w:ascii="Arial" w:hAnsi="Arial" w:cs="Arial"/>
          <w:szCs w:val="24"/>
        </w:rPr>
        <w:t xml:space="preserve">es un producto que ha sido utilizado por la humanidad desde tiempos antiguos. Previo a 1859, cuando se perforó el primer pozo petrolero en Pensilvania, existía ya la industria de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en EE.UU. como parte importante de la economía energética nacional con al menos 50 plantas comerciales para su extracción (Office of </w:t>
      </w:r>
      <w:proofErr w:type="spellStart"/>
      <w:r w:rsidRPr="009F1996">
        <w:rPr>
          <w:rFonts w:ascii="Arial" w:hAnsi="Arial" w:cs="Arial"/>
          <w:szCs w:val="24"/>
        </w:rPr>
        <w:t>Technology</w:t>
      </w:r>
      <w:proofErr w:type="spellEnd"/>
      <w:r w:rsidRPr="009F1996">
        <w:rPr>
          <w:rFonts w:ascii="Arial" w:hAnsi="Arial" w:cs="Arial"/>
          <w:szCs w:val="24"/>
        </w:rPr>
        <w:t xml:space="preserve"> </w:t>
      </w:r>
      <w:proofErr w:type="spellStart"/>
      <w:r w:rsidRPr="009F1996">
        <w:rPr>
          <w:rFonts w:ascii="Arial" w:hAnsi="Arial" w:cs="Arial"/>
          <w:szCs w:val="24"/>
        </w:rPr>
        <w:t>Assessment</w:t>
      </w:r>
      <w:proofErr w:type="spellEnd"/>
      <w:r w:rsidRPr="009F1996">
        <w:rPr>
          <w:rFonts w:ascii="Arial" w:hAnsi="Arial" w:cs="Arial"/>
          <w:szCs w:val="24"/>
        </w:rPr>
        <w:t xml:space="preserve"> </w:t>
      </w:r>
      <w:proofErr w:type="spellStart"/>
      <w:r w:rsidRPr="009F1996">
        <w:rPr>
          <w:rFonts w:ascii="Arial" w:hAnsi="Arial" w:cs="Arial"/>
          <w:szCs w:val="24"/>
        </w:rPr>
        <w:t>Materials</w:t>
      </w:r>
      <w:proofErr w:type="spellEnd"/>
      <w:r w:rsidRPr="009F1996">
        <w:rPr>
          <w:rFonts w:ascii="Arial" w:hAnsi="Arial" w:cs="Arial"/>
          <w:szCs w:val="24"/>
        </w:rPr>
        <w:t xml:space="preserve"> </w:t>
      </w:r>
      <w:proofErr w:type="spellStart"/>
      <w:r w:rsidRPr="009F1996">
        <w:rPr>
          <w:rFonts w:ascii="Arial" w:hAnsi="Arial" w:cs="Arial"/>
          <w:szCs w:val="24"/>
        </w:rPr>
        <w:t>Program</w:t>
      </w:r>
      <w:proofErr w:type="spellEnd"/>
      <w:r w:rsidRPr="009F1996">
        <w:rPr>
          <w:rFonts w:ascii="Arial" w:hAnsi="Arial" w:cs="Arial"/>
          <w:szCs w:val="24"/>
        </w:rPr>
        <w:t xml:space="preserve"> staff, 1980:110).</w:t>
      </w:r>
    </w:p>
    <w:p w14:paraId="692C0CDE" w14:textId="7AE6CF1D" w:rsidR="005D23CD" w:rsidRPr="009F1996" w:rsidRDefault="005D23CD" w:rsidP="005D23CD">
      <w:pPr>
        <w:spacing w:line="360" w:lineRule="auto"/>
        <w:rPr>
          <w:rFonts w:ascii="Arial" w:hAnsi="Arial" w:cs="Arial"/>
          <w:szCs w:val="24"/>
        </w:rPr>
      </w:pPr>
      <w:r w:rsidRPr="009F1996">
        <w:rPr>
          <w:rFonts w:ascii="Arial" w:hAnsi="Arial" w:cs="Arial"/>
          <w:szCs w:val="24"/>
        </w:rPr>
        <w:t>Su uso resurgió en particular desde principios del siglo XX cuando las reservas navales estadounidenses de petróleo convencional</w:t>
      </w:r>
      <w:r w:rsidR="00FF165D" w:rsidRPr="009F1996">
        <w:rPr>
          <w:rFonts w:ascii="Arial" w:hAnsi="Arial" w:cs="Arial"/>
          <w:szCs w:val="24"/>
        </w:rPr>
        <w:t xml:space="preserve"> se clasificaron como reservas y </w:t>
      </w:r>
      <w:r w:rsidRPr="009F1996">
        <w:rPr>
          <w:rFonts w:ascii="Arial" w:hAnsi="Arial" w:cs="Arial"/>
          <w:szCs w:val="24"/>
        </w:rPr>
        <w:t>fueron retiradas</w:t>
      </w:r>
      <w:r w:rsidR="00E467B6" w:rsidRPr="009F1996">
        <w:rPr>
          <w:rFonts w:ascii="Arial" w:hAnsi="Arial" w:cs="Arial"/>
          <w:szCs w:val="24"/>
        </w:rPr>
        <w:t xml:space="preserve"> de la extracción comercial</w:t>
      </w:r>
      <w:r w:rsidRPr="009F1996">
        <w:rPr>
          <w:rFonts w:ascii="Arial" w:hAnsi="Arial" w:cs="Arial"/>
          <w:szCs w:val="24"/>
        </w:rPr>
        <w:t>. En ese momento</w:t>
      </w:r>
      <w:r w:rsidR="00FF165D" w:rsidRPr="009F1996">
        <w:rPr>
          <w:rFonts w:ascii="Arial" w:hAnsi="Arial" w:cs="Arial"/>
          <w:szCs w:val="24"/>
        </w:rPr>
        <w:t xml:space="preserve"> </w:t>
      </w:r>
      <w:r w:rsidRPr="009F1996">
        <w:rPr>
          <w:rFonts w:ascii="Arial" w:hAnsi="Arial" w:cs="Arial"/>
          <w:szCs w:val="24"/>
        </w:rPr>
        <w:t>y hasta 1960</w:t>
      </w:r>
      <w:r w:rsidR="00E467B6" w:rsidRPr="009F1996">
        <w:rPr>
          <w:rFonts w:ascii="Arial" w:hAnsi="Arial" w:cs="Arial"/>
          <w:szCs w:val="24"/>
        </w:rPr>
        <w:t xml:space="preserve"> se</w:t>
      </w:r>
      <w:r w:rsidRPr="009F1996">
        <w:rPr>
          <w:rFonts w:ascii="Arial" w:hAnsi="Arial" w:cs="Arial"/>
          <w:szCs w:val="24"/>
        </w:rPr>
        <w:t xml:space="preserve"> fomentó el desarrollo del petróleo no convencional (</w:t>
      </w:r>
      <w:proofErr w:type="spellStart"/>
      <w:r w:rsidRPr="009F1996">
        <w:rPr>
          <w:rFonts w:ascii="Arial" w:hAnsi="Arial" w:cs="Arial"/>
          <w:szCs w:val="24"/>
        </w:rPr>
        <w:t>shale</w:t>
      </w:r>
      <w:proofErr w:type="spellEnd"/>
      <w:r w:rsidRPr="009F1996">
        <w:rPr>
          <w:rFonts w:ascii="Arial" w:hAnsi="Arial" w:cs="Arial"/>
          <w:szCs w:val="24"/>
        </w:rPr>
        <w:t xml:space="preserve"> </w:t>
      </w:r>
      <w:proofErr w:type="spellStart"/>
      <w:r w:rsidRPr="009F1996">
        <w:rPr>
          <w:rFonts w:ascii="Arial" w:hAnsi="Arial" w:cs="Arial"/>
          <w:szCs w:val="24"/>
        </w:rPr>
        <w:t>oil</w:t>
      </w:r>
      <w:proofErr w:type="spellEnd"/>
      <w:r w:rsidRPr="009F1996">
        <w:rPr>
          <w:rFonts w:ascii="Arial" w:hAnsi="Arial" w:cs="Arial"/>
          <w:szCs w:val="24"/>
        </w:rPr>
        <w:t>) como contingente</w:t>
      </w:r>
      <w:r w:rsidRPr="007665EB">
        <w:rPr>
          <w:rFonts w:ascii="Arial" w:hAnsi="Arial" w:cs="Arial"/>
          <w:vertAlign w:val="superscript"/>
        </w:rPr>
        <w:footnoteReference w:id="1"/>
      </w:r>
      <w:r w:rsidRPr="009F1996">
        <w:rPr>
          <w:rFonts w:ascii="Arial" w:hAnsi="Arial" w:cs="Arial"/>
          <w:szCs w:val="24"/>
        </w:rPr>
        <w:t xml:space="preserve"> (Andrews, 2006) ya que éste constituía una reserva de petróleo crudo alternativo para las embarcaciones navales de EE.UU. durante tiempos de bajo suministro o emergencias.</w:t>
      </w:r>
    </w:p>
    <w:p w14:paraId="59F68487" w14:textId="7D554BC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Entre 1910 y 1920 la oferta de crudo  convencional doméstico cayó por debajo de la demanda y las importaciones especialmente provenientes de México incrementaron. El </w:t>
      </w:r>
      <w:r w:rsidRPr="009F1996">
        <w:rPr>
          <w:rFonts w:ascii="Arial" w:hAnsi="Arial" w:cs="Arial"/>
          <w:i/>
          <w:szCs w:val="24"/>
        </w:rPr>
        <w:t xml:space="preserve">U.S. Geological </w:t>
      </w:r>
      <w:proofErr w:type="spellStart"/>
      <w:r w:rsidRPr="009F1996">
        <w:rPr>
          <w:rFonts w:ascii="Arial" w:hAnsi="Arial" w:cs="Arial"/>
          <w:i/>
          <w:szCs w:val="24"/>
        </w:rPr>
        <w:t>Survey</w:t>
      </w:r>
      <w:proofErr w:type="spellEnd"/>
      <w:r w:rsidRPr="009F1996">
        <w:rPr>
          <w:rFonts w:ascii="Arial" w:hAnsi="Arial" w:cs="Arial"/>
          <w:szCs w:val="24"/>
        </w:rPr>
        <w:t xml:space="preserve"> (USGS) indicó que a EE.UU. le quedaban tan solo nueve años de reservas petroleras (Office of </w:t>
      </w:r>
      <w:proofErr w:type="spellStart"/>
      <w:r w:rsidRPr="009F1996">
        <w:rPr>
          <w:rFonts w:ascii="Arial" w:hAnsi="Arial" w:cs="Arial"/>
          <w:szCs w:val="24"/>
        </w:rPr>
        <w:t>Technology</w:t>
      </w:r>
      <w:proofErr w:type="spellEnd"/>
      <w:r w:rsidRPr="009F1996">
        <w:rPr>
          <w:rFonts w:ascii="Arial" w:hAnsi="Arial" w:cs="Arial"/>
          <w:szCs w:val="24"/>
        </w:rPr>
        <w:t xml:space="preserve"> </w:t>
      </w:r>
      <w:proofErr w:type="spellStart"/>
      <w:r w:rsidRPr="009F1996">
        <w:rPr>
          <w:rFonts w:ascii="Arial" w:hAnsi="Arial" w:cs="Arial"/>
          <w:szCs w:val="24"/>
        </w:rPr>
        <w:t>Assessment</w:t>
      </w:r>
      <w:proofErr w:type="spellEnd"/>
      <w:r w:rsidRPr="009F1996">
        <w:rPr>
          <w:rFonts w:ascii="Arial" w:hAnsi="Arial" w:cs="Arial"/>
          <w:szCs w:val="24"/>
        </w:rPr>
        <w:t xml:space="preserve"> </w:t>
      </w:r>
      <w:proofErr w:type="spellStart"/>
      <w:r w:rsidRPr="009F1996">
        <w:rPr>
          <w:rFonts w:ascii="Arial" w:hAnsi="Arial" w:cs="Arial"/>
          <w:szCs w:val="24"/>
        </w:rPr>
        <w:t>Materials</w:t>
      </w:r>
      <w:proofErr w:type="spellEnd"/>
      <w:r w:rsidRPr="009F1996">
        <w:rPr>
          <w:rFonts w:ascii="Arial" w:hAnsi="Arial" w:cs="Arial"/>
          <w:szCs w:val="24"/>
        </w:rPr>
        <w:t xml:space="preserve"> </w:t>
      </w:r>
      <w:proofErr w:type="spellStart"/>
      <w:r w:rsidRPr="009F1996">
        <w:rPr>
          <w:rFonts w:ascii="Arial" w:hAnsi="Arial" w:cs="Arial"/>
          <w:szCs w:val="24"/>
        </w:rPr>
        <w:t>Program</w:t>
      </w:r>
      <w:proofErr w:type="spellEnd"/>
      <w:r w:rsidRPr="009F1996">
        <w:rPr>
          <w:rFonts w:ascii="Arial" w:hAnsi="Arial" w:cs="Arial"/>
          <w:szCs w:val="24"/>
        </w:rPr>
        <w:t xml:space="preserve"> Staff 1980). Asimismo, en ese mismo periodo, el USGS anunció que una gran parte de las reservas de hidrocarburos se encontraban en las formaciones de </w:t>
      </w:r>
      <w:proofErr w:type="spellStart"/>
      <w:r w:rsidRPr="009F1996">
        <w:rPr>
          <w:rFonts w:ascii="Arial" w:hAnsi="Arial" w:cs="Arial"/>
          <w:i/>
          <w:szCs w:val="24"/>
        </w:rPr>
        <w:t>shale</w:t>
      </w:r>
      <w:proofErr w:type="spellEnd"/>
      <w:r w:rsidRPr="009F1996">
        <w:rPr>
          <w:rFonts w:ascii="Arial" w:hAnsi="Arial" w:cs="Arial"/>
          <w:szCs w:val="24"/>
        </w:rPr>
        <w:t xml:space="preserve"> de </w:t>
      </w:r>
      <w:r w:rsidR="007665EB">
        <w:rPr>
          <w:rFonts w:ascii="Arial" w:hAnsi="Arial" w:cs="Arial"/>
          <w:szCs w:val="24"/>
        </w:rPr>
        <w:t>Río Verde</w:t>
      </w:r>
      <w:r w:rsidRPr="007665EB">
        <w:rPr>
          <w:rFonts w:ascii="Arial" w:hAnsi="Arial" w:cs="Arial"/>
          <w:szCs w:val="24"/>
          <w:vertAlign w:val="superscript"/>
        </w:rPr>
        <w:footnoteReference w:id="2"/>
      </w:r>
      <w:r w:rsidRPr="009F1996">
        <w:rPr>
          <w:rFonts w:ascii="Arial" w:hAnsi="Arial" w:cs="Arial"/>
          <w:szCs w:val="24"/>
        </w:rPr>
        <w:t xml:space="preserve">, detonando así la extracción del recurso. Consecuentemente se otorgaron alrededor de 30,000 concesiones mineras en tierras federales. </w:t>
      </w:r>
    </w:p>
    <w:p w14:paraId="61470DC0" w14:textId="718B2510" w:rsidR="005D23CD" w:rsidRPr="009F1996" w:rsidRDefault="005D23CD" w:rsidP="005D23CD">
      <w:pPr>
        <w:spacing w:line="360" w:lineRule="auto"/>
        <w:rPr>
          <w:rFonts w:ascii="Arial" w:hAnsi="Arial" w:cs="Arial"/>
          <w:szCs w:val="24"/>
        </w:rPr>
      </w:pPr>
      <w:r w:rsidRPr="009F1996">
        <w:rPr>
          <w:rFonts w:ascii="Arial" w:hAnsi="Arial" w:cs="Arial"/>
          <w:szCs w:val="24"/>
        </w:rPr>
        <w:lastRenderedPageBreak/>
        <w:t xml:space="preserve">El </w:t>
      </w:r>
      <w:proofErr w:type="spellStart"/>
      <w:r w:rsidRPr="009F1996">
        <w:rPr>
          <w:rFonts w:ascii="Arial" w:hAnsi="Arial" w:cs="Arial"/>
          <w:i/>
          <w:szCs w:val="24"/>
        </w:rPr>
        <w:t>Pickett</w:t>
      </w:r>
      <w:proofErr w:type="spellEnd"/>
      <w:r w:rsidRPr="009F1996">
        <w:rPr>
          <w:rFonts w:ascii="Arial" w:hAnsi="Arial" w:cs="Arial"/>
          <w:i/>
          <w:szCs w:val="24"/>
        </w:rPr>
        <w:t xml:space="preserve"> </w:t>
      </w:r>
      <w:proofErr w:type="spellStart"/>
      <w:r w:rsidRPr="009F1996">
        <w:rPr>
          <w:rFonts w:ascii="Arial" w:hAnsi="Arial" w:cs="Arial"/>
          <w:i/>
          <w:szCs w:val="24"/>
        </w:rPr>
        <w:t>Act</w:t>
      </w:r>
      <w:proofErr w:type="spellEnd"/>
      <w:r w:rsidRPr="009F1996">
        <w:rPr>
          <w:rFonts w:ascii="Arial" w:hAnsi="Arial" w:cs="Arial"/>
          <w:szCs w:val="24"/>
        </w:rPr>
        <w:t xml:space="preserve"> de 1910 es la primera ley que asigna las reservas </w:t>
      </w:r>
      <w:proofErr w:type="spellStart"/>
      <w:r w:rsidRPr="009F1996">
        <w:rPr>
          <w:rFonts w:ascii="Arial" w:hAnsi="Arial" w:cs="Arial"/>
          <w:i/>
          <w:szCs w:val="24"/>
        </w:rPr>
        <w:t>shale</w:t>
      </w:r>
      <w:proofErr w:type="spellEnd"/>
      <w:r w:rsidRPr="009F1996">
        <w:rPr>
          <w:rFonts w:ascii="Arial" w:hAnsi="Arial" w:cs="Arial"/>
          <w:i/>
          <w:szCs w:val="24"/>
        </w:rPr>
        <w:t xml:space="preserve"> </w:t>
      </w:r>
      <w:r w:rsidRPr="009F1996">
        <w:rPr>
          <w:rFonts w:ascii="Arial" w:hAnsi="Arial" w:cs="Arial"/>
          <w:szCs w:val="24"/>
        </w:rPr>
        <w:t xml:space="preserve">a través de la separación de las tierras federales de California y Wyoming como fuente de recursos para la Marina. Posteriormente, el Ejecutivo creó los </w:t>
      </w:r>
      <w:r w:rsidRPr="009F1996">
        <w:rPr>
          <w:rFonts w:ascii="Arial" w:hAnsi="Arial" w:cs="Arial"/>
          <w:i/>
          <w:szCs w:val="24"/>
        </w:rPr>
        <w:t xml:space="preserve">Naval </w:t>
      </w:r>
      <w:proofErr w:type="spellStart"/>
      <w:r w:rsidRPr="009F1996">
        <w:rPr>
          <w:rFonts w:ascii="Arial" w:hAnsi="Arial" w:cs="Arial"/>
          <w:i/>
          <w:szCs w:val="24"/>
        </w:rPr>
        <w:t>Oil</w:t>
      </w:r>
      <w:proofErr w:type="spellEnd"/>
      <w:r w:rsidRPr="009F1996">
        <w:rPr>
          <w:rFonts w:ascii="Arial" w:hAnsi="Arial" w:cs="Arial"/>
          <w:i/>
          <w:szCs w:val="24"/>
        </w:rPr>
        <w:t xml:space="preserve"> </w:t>
      </w:r>
      <w:proofErr w:type="spellStart"/>
      <w:r w:rsidRPr="009F1996">
        <w:rPr>
          <w:rFonts w:ascii="Arial" w:hAnsi="Arial" w:cs="Arial"/>
          <w:i/>
          <w:szCs w:val="24"/>
        </w:rPr>
        <w:t>Shale</w:t>
      </w:r>
      <w:proofErr w:type="spellEnd"/>
      <w:r w:rsidRPr="009F1996">
        <w:rPr>
          <w:rFonts w:ascii="Arial" w:hAnsi="Arial" w:cs="Arial"/>
          <w:i/>
          <w:szCs w:val="24"/>
        </w:rPr>
        <w:t xml:space="preserve"> Reserves, el </w:t>
      </w:r>
      <w:r w:rsidRPr="009F1996">
        <w:rPr>
          <w:rFonts w:ascii="Arial" w:hAnsi="Arial" w:cs="Arial"/>
          <w:szCs w:val="24"/>
        </w:rPr>
        <w:t>NOSR-1 en Colorado y el NOSR-2 en Utah (Andrews, 2006)</w:t>
      </w:r>
      <w:r w:rsidR="007665EB">
        <w:rPr>
          <w:rFonts w:ascii="Arial" w:hAnsi="Arial" w:cs="Arial"/>
          <w:szCs w:val="24"/>
        </w:rPr>
        <w:t>, pertenecientes a la región de Río Verde</w:t>
      </w:r>
      <w:r w:rsidRPr="009F1996">
        <w:rPr>
          <w:rFonts w:ascii="Arial" w:hAnsi="Arial" w:cs="Arial"/>
          <w:szCs w:val="24"/>
        </w:rPr>
        <w:t>.</w:t>
      </w:r>
    </w:p>
    <w:p w14:paraId="28A1703D" w14:textId="660A65B2" w:rsidR="005D23CD" w:rsidRDefault="005D23CD" w:rsidP="005D23CD">
      <w:pPr>
        <w:spacing w:line="360" w:lineRule="auto"/>
        <w:rPr>
          <w:rFonts w:ascii="Arial" w:hAnsi="Arial" w:cs="Arial"/>
          <w:szCs w:val="24"/>
        </w:rPr>
      </w:pPr>
      <w:r w:rsidRPr="009F1996">
        <w:rPr>
          <w:rFonts w:ascii="Arial" w:hAnsi="Arial" w:cs="Arial"/>
          <w:szCs w:val="24"/>
        </w:rPr>
        <w:t xml:space="preserve">A partir de los descubrimientos de </w:t>
      </w:r>
      <w:proofErr w:type="spellStart"/>
      <w:r w:rsidRPr="009F1996">
        <w:rPr>
          <w:rFonts w:ascii="Arial" w:hAnsi="Arial" w:cs="Arial"/>
          <w:i/>
          <w:szCs w:val="24"/>
        </w:rPr>
        <w:t>shale</w:t>
      </w:r>
      <w:proofErr w:type="spellEnd"/>
      <w:r w:rsidRPr="009F1996">
        <w:rPr>
          <w:rFonts w:ascii="Arial" w:hAnsi="Arial" w:cs="Arial"/>
          <w:szCs w:val="24"/>
        </w:rPr>
        <w:t xml:space="preserve"> en tierras federales, el gobierno estadounidense tuvo un interés directo y un rol activo para alentar el desarrollo del recurso (Office of </w:t>
      </w:r>
      <w:proofErr w:type="spellStart"/>
      <w:r w:rsidRPr="009F1996">
        <w:rPr>
          <w:rFonts w:ascii="Arial" w:hAnsi="Arial" w:cs="Arial"/>
          <w:szCs w:val="24"/>
        </w:rPr>
        <w:t>Technology</w:t>
      </w:r>
      <w:proofErr w:type="spellEnd"/>
      <w:r w:rsidRPr="009F1996">
        <w:rPr>
          <w:rFonts w:ascii="Arial" w:hAnsi="Arial" w:cs="Arial"/>
          <w:szCs w:val="24"/>
        </w:rPr>
        <w:t xml:space="preserve"> </w:t>
      </w:r>
      <w:proofErr w:type="spellStart"/>
      <w:r w:rsidRPr="009F1996">
        <w:rPr>
          <w:rFonts w:ascii="Arial" w:hAnsi="Arial" w:cs="Arial"/>
          <w:szCs w:val="24"/>
        </w:rPr>
        <w:t>Assessment</w:t>
      </w:r>
      <w:proofErr w:type="spellEnd"/>
      <w:r w:rsidRPr="009F1996">
        <w:rPr>
          <w:rFonts w:ascii="Arial" w:hAnsi="Arial" w:cs="Arial"/>
          <w:szCs w:val="24"/>
        </w:rPr>
        <w:t xml:space="preserve"> </w:t>
      </w:r>
      <w:proofErr w:type="spellStart"/>
      <w:r w:rsidRPr="009F1996">
        <w:rPr>
          <w:rFonts w:ascii="Arial" w:hAnsi="Arial" w:cs="Arial"/>
          <w:szCs w:val="24"/>
        </w:rPr>
        <w:t>Materials</w:t>
      </w:r>
      <w:proofErr w:type="spellEnd"/>
      <w:r w:rsidRPr="009F1996">
        <w:rPr>
          <w:rFonts w:ascii="Arial" w:hAnsi="Arial" w:cs="Arial"/>
          <w:szCs w:val="24"/>
        </w:rPr>
        <w:t xml:space="preserve"> </w:t>
      </w:r>
      <w:proofErr w:type="spellStart"/>
      <w:r w:rsidRPr="009F1996">
        <w:rPr>
          <w:rFonts w:ascii="Arial" w:hAnsi="Arial" w:cs="Arial"/>
          <w:szCs w:val="24"/>
        </w:rPr>
        <w:t>Program</w:t>
      </w:r>
      <w:proofErr w:type="spellEnd"/>
      <w:r w:rsidRPr="009F1996">
        <w:rPr>
          <w:rFonts w:ascii="Arial" w:hAnsi="Arial" w:cs="Arial"/>
          <w:szCs w:val="24"/>
        </w:rPr>
        <w:t xml:space="preserve"> Staff</w:t>
      </w:r>
      <w:r w:rsidR="00201578">
        <w:rPr>
          <w:rFonts w:ascii="Arial" w:hAnsi="Arial" w:cs="Arial"/>
          <w:szCs w:val="24"/>
        </w:rPr>
        <w:t>,</w:t>
      </w:r>
      <w:r w:rsidRPr="009F1996">
        <w:rPr>
          <w:rFonts w:ascii="Arial" w:hAnsi="Arial" w:cs="Arial"/>
          <w:szCs w:val="24"/>
        </w:rPr>
        <w:t xml:space="preserve"> 1980). Dicho interés se tradujo en </w:t>
      </w:r>
      <w:r w:rsidR="00E467B6" w:rsidRPr="009F1996">
        <w:rPr>
          <w:rFonts w:ascii="Arial" w:hAnsi="Arial" w:cs="Arial"/>
          <w:szCs w:val="24"/>
        </w:rPr>
        <w:t>e</w:t>
      </w:r>
      <w:r w:rsidRPr="009F1996">
        <w:rPr>
          <w:rFonts w:ascii="Arial" w:hAnsi="Arial" w:cs="Arial"/>
          <w:szCs w:val="24"/>
        </w:rPr>
        <w:t xml:space="preserve">l uso y fomento del petróleo </w:t>
      </w:r>
      <w:proofErr w:type="spellStart"/>
      <w:r w:rsidRPr="009F1996">
        <w:rPr>
          <w:rFonts w:ascii="Arial" w:hAnsi="Arial" w:cs="Arial"/>
          <w:i/>
          <w:szCs w:val="24"/>
        </w:rPr>
        <w:t>shale</w:t>
      </w:r>
      <w:proofErr w:type="spellEnd"/>
      <w:r w:rsidRPr="009F1996">
        <w:rPr>
          <w:rFonts w:ascii="Arial" w:hAnsi="Arial" w:cs="Arial"/>
          <w:i/>
          <w:szCs w:val="24"/>
        </w:rPr>
        <w:t xml:space="preserve"> </w:t>
      </w:r>
      <w:r w:rsidRPr="009F1996">
        <w:rPr>
          <w:rFonts w:ascii="Arial" w:hAnsi="Arial" w:cs="Arial"/>
          <w:szCs w:val="24"/>
        </w:rPr>
        <w:t xml:space="preserve">por los </w:t>
      </w:r>
      <w:proofErr w:type="spellStart"/>
      <w:r w:rsidRPr="009F1996">
        <w:rPr>
          <w:rFonts w:ascii="Arial" w:hAnsi="Arial" w:cs="Arial"/>
          <w:i/>
          <w:szCs w:val="24"/>
        </w:rPr>
        <w:t>Department</w:t>
      </w:r>
      <w:proofErr w:type="spellEnd"/>
      <w:r w:rsidRPr="009F1996">
        <w:rPr>
          <w:rFonts w:ascii="Arial" w:hAnsi="Arial" w:cs="Arial"/>
          <w:i/>
          <w:szCs w:val="24"/>
        </w:rPr>
        <w:t xml:space="preserve"> of </w:t>
      </w:r>
      <w:proofErr w:type="spellStart"/>
      <w:r w:rsidRPr="009F1996">
        <w:rPr>
          <w:rFonts w:ascii="Arial" w:hAnsi="Arial" w:cs="Arial"/>
          <w:i/>
          <w:szCs w:val="24"/>
        </w:rPr>
        <w:t>Defense</w:t>
      </w:r>
      <w:proofErr w:type="spellEnd"/>
      <w:r w:rsidRPr="009F1996">
        <w:rPr>
          <w:rFonts w:ascii="Arial" w:hAnsi="Arial" w:cs="Arial"/>
          <w:szCs w:val="24"/>
        </w:rPr>
        <w:t xml:space="preserve"> (DOD), </w:t>
      </w:r>
      <w:proofErr w:type="spellStart"/>
      <w:r w:rsidRPr="009F1996">
        <w:rPr>
          <w:rFonts w:ascii="Arial" w:hAnsi="Arial" w:cs="Arial"/>
          <w:i/>
          <w:szCs w:val="24"/>
        </w:rPr>
        <w:t>Department</w:t>
      </w:r>
      <w:proofErr w:type="spellEnd"/>
      <w:r w:rsidRPr="009F1996">
        <w:rPr>
          <w:rFonts w:ascii="Arial" w:hAnsi="Arial" w:cs="Arial"/>
          <w:i/>
          <w:szCs w:val="24"/>
        </w:rPr>
        <w:t xml:space="preserve"> of</w:t>
      </w:r>
      <w:r w:rsidRPr="009F1996">
        <w:rPr>
          <w:rFonts w:ascii="Arial" w:hAnsi="Arial" w:cs="Arial"/>
          <w:szCs w:val="24"/>
        </w:rPr>
        <w:t xml:space="preserve"> </w:t>
      </w:r>
      <w:r w:rsidRPr="009F1996">
        <w:rPr>
          <w:rFonts w:ascii="Arial" w:hAnsi="Arial" w:cs="Arial"/>
          <w:i/>
          <w:szCs w:val="24"/>
        </w:rPr>
        <w:t>the Interior</w:t>
      </w:r>
      <w:r w:rsidRPr="009F1996">
        <w:rPr>
          <w:rFonts w:ascii="Arial" w:hAnsi="Arial" w:cs="Arial"/>
          <w:szCs w:val="24"/>
        </w:rPr>
        <w:t xml:space="preserve"> (DOI), </w:t>
      </w:r>
      <w:proofErr w:type="spellStart"/>
      <w:r w:rsidRPr="009F1996">
        <w:rPr>
          <w:rFonts w:ascii="Arial" w:hAnsi="Arial" w:cs="Arial"/>
          <w:i/>
          <w:szCs w:val="24"/>
        </w:rPr>
        <w:t>Department</w:t>
      </w:r>
      <w:proofErr w:type="spellEnd"/>
      <w:r w:rsidRPr="009F1996">
        <w:rPr>
          <w:rFonts w:ascii="Arial" w:hAnsi="Arial" w:cs="Arial"/>
          <w:i/>
          <w:szCs w:val="24"/>
        </w:rPr>
        <w:t xml:space="preserve"> of </w:t>
      </w:r>
      <w:proofErr w:type="spellStart"/>
      <w:r w:rsidRPr="009F1996">
        <w:rPr>
          <w:rFonts w:ascii="Arial" w:hAnsi="Arial" w:cs="Arial"/>
          <w:i/>
          <w:szCs w:val="24"/>
        </w:rPr>
        <w:t>Energy</w:t>
      </w:r>
      <w:proofErr w:type="spellEnd"/>
      <w:r w:rsidRPr="009F1996">
        <w:rPr>
          <w:rFonts w:ascii="Arial" w:hAnsi="Arial" w:cs="Arial"/>
          <w:szCs w:val="24"/>
        </w:rPr>
        <w:t xml:space="preserve"> (DOE) y el </w:t>
      </w:r>
      <w:proofErr w:type="spellStart"/>
      <w:r w:rsidRPr="009F1996">
        <w:rPr>
          <w:rFonts w:ascii="Arial" w:hAnsi="Arial" w:cs="Arial"/>
          <w:i/>
          <w:szCs w:val="24"/>
        </w:rPr>
        <w:t>Department</w:t>
      </w:r>
      <w:proofErr w:type="spellEnd"/>
      <w:r w:rsidRPr="009F1996">
        <w:rPr>
          <w:rFonts w:ascii="Arial" w:hAnsi="Arial" w:cs="Arial"/>
          <w:i/>
          <w:szCs w:val="24"/>
        </w:rPr>
        <w:t xml:space="preserve"> of </w:t>
      </w:r>
      <w:proofErr w:type="spellStart"/>
      <w:r w:rsidRPr="009F1996">
        <w:rPr>
          <w:rFonts w:ascii="Arial" w:hAnsi="Arial" w:cs="Arial"/>
          <w:i/>
          <w:szCs w:val="24"/>
        </w:rPr>
        <w:t>Treasury</w:t>
      </w:r>
      <w:proofErr w:type="spellEnd"/>
      <w:r w:rsidRPr="009F1996">
        <w:rPr>
          <w:rFonts w:ascii="Arial" w:hAnsi="Arial" w:cs="Arial"/>
          <w:szCs w:val="24"/>
        </w:rPr>
        <w:t xml:space="preserve"> (DOT) de EE. UU. (Andrews, 2006)</w:t>
      </w:r>
      <w:r w:rsidR="00201578">
        <w:rPr>
          <w:rFonts w:ascii="Arial" w:hAnsi="Arial" w:cs="Arial"/>
          <w:szCs w:val="24"/>
        </w:rPr>
        <w:t>,</w:t>
      </w:r>
      <w:r w:rsidRPr="009F1996">
        <w:rPr>
          <w:rFonts w:ascii="Arial" w:hAnsi="Arial" w:cs="Arial"/>
          <w:szCs w:val="24"/>
        </w:rPr>
        <w:t xml:space="preserve"> </w:t>
      </w:r>
      <w:r w:rsidR="00201578">
        <w:rPr>
          <w:rFonts w:ascii="Arial" w:hAnsi="Arial" w:cs="Arial"/>
          <w:szCs w:val="24"/>
        </w:rPr>
        <w:t>l</w:t>
      </w:r>
      <w:r w:rsidRPr="009F1996">
        <w:rPr>
          <w:rFonts w:ascii="Arial" w:hAnsi="Arial" w:cs="Arial"/>
          <w:szCs w:val="24"/>
        </w:rPr>
        <w:t xml:space="preserve">o que denota que 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es una cuestión de seguridad nacional por lo menos para asuntos estadunidenses en tanto a su política energética y la militar. Es por lo anterior, que se han aplicado leyes y subsidios al desarrollo de </w:t>
      </w:r>
      <w:r w:rsidR="00D0540A">
        <w:rPr>
          <w:rFonts w:ascii="Arial" w:hAnsi="Arial" w:cs="Arial"/>
          <w:szCs w:val="24"/>
        </w:rPr>
        <w:t>e</w:t>
      </w:r>
      <w:r w:rsidR="004E3427">
        <w:rPr>
          <w:rFonts w:ascii="Arial" w:hAnsi="Arial" w:cs="Arial"/>
          <w:szCs w:val="24"/>
        </w:rPr>
        <w:t>sta industria (Andrews, 2006).</w:t>
      </w:r>
    </w:p>
    <w:p w14:paraId="37EC37E1" w14:textId="77777777" w:rsidR="004E3427" w:rsidRPr="009F1996" w:rsidRDefault="004E3427" w:rsidP="005D23CD">
      <w:pPr>
        <w:spacing w:line="360" w:lineRule="auto"/>
        <w:rPr>
          <w:rFonts w:ascii="Arial" w:hAnsi="Arial" w:cs="Arial"/>
          <w:szCs w:val="24"/>
        </w:rPr>
      </w:pPr>
    </w:p>
    <w:p w14:paraId="545BAF7F" w14:textId="77777777" w:rsidR="005D23CD" w:rsidRPr="00DF27F9" w:rsidRDefault="005D23CD" w:rsidP="00DF27F9">
      <w:pPr>
        <w:pStyle w:val="Ttulo2"/>
        <w:spacing w:after="240"/>
        <w:rPr>
          <w:color w:val="000000" w:themeColor="text1"/>
        </w:rPr>
      </w:pPr>
      <w:bookmarkStart w:id="2" w:name="_Toc499918284"/>
      <w:r w:rsidRPr="00DF27F9">
        <w:rPr>
          <w:color w:val="000000" w:themeColor="text1"/>
        </w:rPr>
        <w:t>Legislación para promover el desarrollo de la industria: Seguridad Nacional</w:t>
      </w:r>
      <w:bookmarkEnd w:id="2"/>
    </w:p>
    <w:p w14:paraId="5C688515"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Los incentivos para investigación y desarrollo por parte de las administraciones federales fueron muy pequeños hasta 1944 debido a preocupaciones durante la Segunda Guerra Mundial sobre la obtención del recurso cuando el </w:t>
      </w:r>
      <w:r w:rsidRPr="009F1996">
        <w:rPr>
          <w:rFonts w:ascii="Arial" w:hAnsi="Arial" w:cs="Arial"/>
          <w:i/>
          <w:szCs w:val="24"/>
        </w:rPr>
        <w:t>Bureau of Mines</w:t>
      </w:r>
      <w:r w:rsidRPr="009F1996">
        <w:rPr>
          <w:rFonts w:ascii="Arial" w:hAnsi="Arial" w:cs="Arial"/>
          <w:szCs w:val="24"/>
        </w:rPr>
        <w:t xml:space="preserve"> del DOI estableció un programa de investigación para la explotación del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En 1944 el congreso impulsó el </w:t>
      </w:r>
      <w:proofErr w:type="spellStart"/>
      <w:r w:rsidRPr="009F1996">
        <w:rPr>
          <w:rFonts w:ascii="Arial" w:hAnsi="Arial" w:cs="Arial"/>
          <w:i/>
          <w:szCs w:val="24"/>
        </w:rPr>
        <w:t>Synthetic</w:t>
      </w:r>
      <w:proofErr w:type="spellEnd"/>
      <w:r w:rsidRPr="009F1996">
        <w:rPr>
          <w:rFonts w:ascii="Arial" w:hAnsi="Arial" w:cs="Arial"/>
          <w:i/>
          <w:szCs w:val="24"/>
        </w:rPr>
        <w:t xml:space="preserve"> </w:t>
      </w:r>
      <w:proofErr w:type="spellStart"/>
      <w:r w:rsidRPr="009F1996">
        <w:rPr>
          <w:rFonts w:ascii="Arial" w:hAnsi="Arial" w:cs="Arial"/>
          <w:i/>
          <w:szCs w:val="24"/>
        </w:rPr>
        <w:t>Liquid</w:t>
      </w:r>
      <w:proofErr w:type="spellEnd"/>
      <w:r w:rsidRPr="009F1996">
        <w:rPr>
          <w:rFonts w:ascii="Arial" w:hAnsi="Arial" w:cs="Arial"/>
          <w:i/>
          <w:szCs w:val="24"/>
        </w:rPr>
        <w:t xml:space="preserve"> </w:t>
      </w:r>
      <w:proofErr w:type="spellStart"/>
      <w:r w:rsidRPr="009F1996">
        <w:rPr>
          <w:rFonts w:ascii="Arial" w:hAnsi="Arial" w:cs="Arial"/>
          <w:i/>
          <w:szCs w:val="24"/>
        </w:rPr>
        <w:t>Fuels</w:t>
      </w:r>
      <w:proofErr w:type="spellEnd"/>
      <w:r w:rsidRPr="009F1996">
        <w:rPr>
          <w:rFonts w:ascii="Arial" w:hAnsi="Arial" w:cs="Arial"/>
          <w:i/>
          <w:szCs w:val="24"/>
        </w:rPr>
        <w:t xml:space="preserve"> </w:t>
      </w:r>
      <w:proofErr w:type="spellStart"/>
      <w:r w:rsidRPr="009F1996">
        <w:rPr>
          <w:rFonts w:ascii="Arial" w:hAnsi="Arial" w:cs="Arial"/>
          <w:i/>
          <w:szCs w:val="24"/>
        </w:rPr>
        <w:t>Act</w:t>
      </w:r>
      <w:proofErr w:type="spellEnd"/>
      <w:r w:rsidRPr="009F1996">
        <w:rPr>
          <w:rFonts w:ascii="Arial" w:hAnsi="Arial" w:cs="Arial"/>
          <w:i/>
          <w:szCs w:val="24"/>
        </w:rPr>
        <w:t xml:space="preserve"> of 1944</w:t>
      </w:r>
      <w:r w:rsidRPr="009F1996">
        <w:rPr>
          <w:rFonts w:ascii="Arial" w:hAnsi="Arial" w:cs="Arial"/>
          <w:szCs w:val="24"/>
        </w:rPr>
        <w:t xml:space="preserve"> que autorizaba fondos para el </w:t>
      </w:r>
      <w:r w:rsidRPr="009F1996">
        <w:rPr>
          <w:rFonts w:ascii="Arial" w:hAnsi="Arial" w:cs="Arial"/>
          <w:i/>
          <w:szCs w:val="24"/>
        </w:rPr>
        <w:t>Bureau of Mines</w:t>
      </w:r>
      <w:r w:rsidRPr="009F1996">
        <w:rPr>
          <w:rFonts w:ascii="Arial" w:hAnsi="Arial" w:cs="Arial"/>
          <w:szCs w:val="24"/>
        </w:rPr>
        <w:t xml:space="preserve"> a construir y operar demostraciones de plantas para producir combustibles líquidos sintéticos de </w:t>
      </w:r>
      <w:proofErr w:type="spellStart"/>
      <w:r w:rsidRPr="009F1996">
        <w:rPr>
          <w:rFonts w:ascii="Arial" w:hAnsi="Arial" w:cs="Arial"/>
          <w:i/>
          <w:szCs w:val="24"/>
        </w:rPr>
        <w:t>shale</w:t>
      </w:r>
      <w:proofErr w:type="spellEnd"/>
      <w:r w:rsidRPr="009F1996">
        <w:rPr>
          <w:rFonts w:ascii="Arial" w:hAnsi="Arial" w:cs="Arial"/>
          <w:i/>
          <w:szCs w:val="24"/>
        </w:rPr>
        <w:t xml:space="preserve">, </w:t>
      </w:r>
      <w:r w:rsidRPr="009F1996">
        <w:rPr>
          <w:rFonts w:ascii="Arial" w:hAnsi="Arial" w:cs="Arial"/>
          <w:szCs w:val="24"/>
        </w:rPr>
        <w:t xml:space="preserve">entre otras sustancias (Office of </w:t>
      </w:r>
      <w:proofErr w:type="spellStart"/>
      <w:r w:rsidRPr="009F1996">
        <w:rPr>
          <w:rFonts w:ascii="Arial" w:hAnsi="Arial" w:cs="Arial"/>
          <w:szCs w:val="24"/>
        </w:rPr>
        <w:t>Technology</w:t>
      </w:r>
      <w:proofErr w:type="spellEnd"/>
      <w:r w:rsidRPr="009F1996">
        <w:rPr>
          <w:rFonts w:ascii="Arial" w:hAnsi="Arial" w:cs="Arial"/>
          <w:szCs w:val="24"/>
        </w:rPr>
        <w:t xml:space="preserve"> </w:t>
      </w:r>
      <w:proofErr w:type="spellStart"/>
      <w:r w:rsidRPr="009F1996">
        <w:rPr>
          <w:rFonts w:ascii="Arial" w:hAnsi="Arial" w:cs="Arial"/>
          <w:szCs w:val="24"/>
        </w:rPr>
        <w:t>Assessment</w:t>
      </w:r>
      <w:proofErr w:type="spellEnd"/>
      <w:r w:rsidRPr="009F1996">
        <w:rPr>
          <w:rFonts w:ascii="Arial" w:hAnsi="Arial" w:cs="Arial"/>
          <w:szCs w:val="24"/>
        </w:rPr>
        <w:t xml:space="preserve"> </w:t>
      </w:r>
      <w:proofErr w:type="spellStart"/>
      <w:r w:rsidRPr="009F1996">
        <w:rPr>
          <w:rFonts w:ascii="Arial" w:hAnsi="Arial" w:cs="Arial"/>
          <w:szCs w:val="24"/>
        </w:rPr>
        <w:t>Materials</w:t>
      </w:r>
      <w:proofErr w:type="spellEnd"/>
      <w:r w:rsidRPr="009F1996">
        <w:rPr>
          <w:rFonts w:ascii="Arial" w:hAnsi="Arial" w:cs="Arial"/>
          <w:szCs w:val="24"/>
        </w:rPr>
        <w:t xml:space="preserve"> </w:t>
      </w:r>
      <w:proofErr w:type="spellStart"/>
      <w:r w:rsidRPr="009F1996">
        <w:rPr>
          <w:rFonts w:ascii="Arial" w:hAnsi="Arial" w:cs="Arial"/>
          <w:szCs w:val="24"/>
        </w:rPr>
        <w:t>Program</w:t>
      </w:r>
      <w:proofErr w:type="spellEnd"/>
      <w:r w:rsidRPr="009F1996">
        <w:rPr>
          <w:rFonts w:ascii="Arial" w:hAnsi="Arial" w:cs="Arial"/>
          <w:szCs w:val="24"/>
        </w:rPr>
        <w:t xml:space="preserve"> Staff 1980).</w:t>
      </w:r>
    </w:p>
    <w:p w14:paraId="30C670B0"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Durante la Guerra de Corea se aprobó el </w:t>
      </w:r>
      <w:proofErr w:type="spellStart"/>
      <w:r w:rsidRPr="009F1996">
        <w:rPr>
          <w:rFonts w:ascii="Arial" w:hAnsi="Arial" w:cs="Arial"/>
          <w:i/>
          <w:szCs w:val="24"/>
        </w:rPr>
        <w:t>Defense</w:t>
      </w:r>
      <w:proofErr w:type="spellEnd"/>
      <w:r w:rsidRPr="009F1996">
        <w:rPr>
          <w:rFonts w:ascii="Arial" w:hAnsi="Arial" w:cs="Arial"/>
          <w:i/>
          <w:szCs w:val="24"/>
        </w:rPr>
        <w:t xml:space="preserve"> </w:t>
      </w:r>
      <w:proofErr w:type="spellStart"/>
      <w:r w:rsidRPr="009F1996">
        <w:rPr>
          <w:rFonts w:ascii="Arial" w:hAnsi="Arial" w:cs="Arial"/>
          <w:i/>
          <w:szCs w:val="24"/>
        </w:rPr>
        <w:t>Production</w:t>
      </w:r>
      <w:proofErr w:type="spellEnd"/>
      <w:r w:rsidRPr="009F1996">
        <w:rPr>
          <w:rFonts w:ascii="Arial" w:hAnsi="Arial" w:cs="Arial"/>
          <w:i/>
          <w:szCs w:val="24"/>
        </w:rPr>
        <w:t xml:space="preserve"> </w:t>
      </w:r>
      <w:proofErr w:type="spellStart"/>
      <w:r w:rsidRPr="009F1996">
        <w:rPr>
          <w:rFonts w:ascii="Arial" w:hAnsi="Arial" w:cs="Arial"/>
          <w:i/>
          <w:szCs w:val="24"/>
        </w:rPr>
        <w:t>Act</w:t>
      </w:r>
      <w:proofErr w:type="spellEnd"/>
      <w:r w:rsidRPr="009F1996">
        <w:rPr>
          <w:rFonts w:ascii="Arial" w:hAnsi="Arial" w:cs="Arial"/>
          <w:i/>
          <w:szCs w:val="24"/>
        </w:rPr>
        <w:t xml:space="preserve"> of 1950</w:t>
      </w:r>
      <w:r w:rsidRPr="009F1996">
        <w:rPr>
          <w:rFonts w:ascii="Arial" w:hAnsi="Arial" w:cs="Arial"/>
          <w:szCs w:val="24"/>
        </w:rPr>
        <w:t xml:space="preserve"> con el fin de desarrollar y mantener el poderío económico y militar de los Estados Unidos. El título III del programa autorizó a la requisición gubernamental de combustibles en pro de la defensa nacional y expansión de capacidades militares. </w:t>
      </w:r>
    </w:p>
    <w:p w14:paraId="47DDE5A8"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Entre 1949 y 1955 el </w:t>
      </w:r>
      <w:r w:rsidRPr="009F1996">
        <w:rPr>
          <w:rFonts w:ascii="Arial" w:hAnsi="Arial" w:cs="Arial"/>
          <w:i/>
          <w:szCs w:val="24"/>
        </w:rPr>
        <w:t>Bureau of Mines</w:t>
      </w:r>
      <w:r w:rsidRPr="009F1996">
        <w:rPr>
          <w:rFonts w:ascii="Arial" w:hAnsi="Arial" w:cs="Arial"/>
          <w:szCs w:val="24"/>
        </w:rPr>
        <w:t xml:space="preserve"> recibió $18 millones de dólares para operar tres plantas de combustión (</w:t>
      </w:r>
      <w:proofErr w:type="spellStart"/>
      <w:r w:rsidRPr="009F1996">
        <w:rPr>
          <w:rFonts w:ascii="Arial" w:hAnsi="Arial" w:cs="Arial"/>
          <w:i/>
          <w:szCs w:val="24"/>
        </w:rPr>
        <w:t>retorts</w:t>
      </w:r>
      <w:proofErr w:type="spellEnd"/>
      <w:r w:rsidRPr="009F1996">
        <w:rPr>
          <w:rFonts w:ascii="Arial" w:hAnsi="Arial" w:cs="Arial"/>
          <w:szCs w:val="24"/>
        </w:rPr>
        <w:t xml:space="preserve">) en </w:t>
      </w:r>
      <w:proofErr w:type="spellStart"/>
      <w:r w:rsidRPr="009F1996">
        <w:rPr>
          <w:rFonts w:ascii="Arial" w:hAnsi="Arial" w:cs="Arial"/>
          <w:szCs w:val="24"/>
        </w:rPr>
        <w:t>Anvil</w:t>
      </w:r>
      <w:proofErr w:type="spellEnd"/>
      <w:r w:rsidRPr="009F1996">
        <w:rPr>
          <w:rFonts w:ascii="Arial" w:hAnsi="Arial" w:cs="Arial"/>
          <w:szCs w:val="24"/>
        </w:rPr>
        <w:t xml:space="preserve"> </w:t>
      </w:r>
      <w:proofErr w:type="spellStart"/>
      <w:r w:rsidRPr="009F1996">
        <w:rPr>
          <w:rFonts w:ascii="Arial" w:hAnsi="Arial" w:cs="Arial"/>
          <w:szCs w:val="24"/>
        </w:rPr>
        <w:t>Points</w:t>
      </w:r>
      <w:proofErr w:type="spellEnd"/>
      <w:r w:rsidRPr="009F1996">
        <w:rPr>
          <w:rFonts w:ascii="Arial" w:hAnsi="Arial" w:cs="Arial"/>
          <w:szCs w:val="24"/>
        </w:rPr>
        <w:t xml:space="preserve">, Colorado (NOSR-1) (Andrews, 2006). </w:t>
      </w:r>
    </w:p>
    <w:p w14:paraId="26C03014" w14:textId="0FC5FCCA" w:rsidR="005D23CD" w:rsidRPr="009F1996" w:rsidRDefault="005D23CD" w:rsidP="005D23CD">
      <w:pPr>
        <w:spacing w:line="360" w:lineRule="auto"/>
        <w:rPr>
          <w:rFonts w:ascii="Arial" w:hAnsi="Arial" w:cs="Arial"/>
          <w:szCs w:val="24"/>
        </w:rPr>
      </w:pPr>
      <w:r w:rsidRPr="009F1996">
        <w:rPr>
          <w:rFonts w:ascii="Arial" w:hAnsi="Arial" w:cs="Arial"/>
          <w:szCs w:val="24"/>
        </w:rPr>
        <w:lastRenderedPageBreak/>
        <w:t xml:space="preserve">En 1951 el DOD mostró interés en el recurso de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como alternativo para la producción de combustible de jets en 1951, </w:t>
      </w:r>
      <w:r w:rsidR="00ED77CD" w:rsidRPr="009F1996">
        <w:rPr>
          <w:rFonts w:ascii="Arial" w:hAnsi="Arial" w:cs="Arial"/>
          <w:szCs w:val="24"/>
        </w:rPr>
        <w:t xml:space="preserve"> </w:t>
      </w:r>
      <w:r w:rsidRPr="009F1996">
        <w:rPr>
          <w:rFonts w:ascii="Arial" w:hAnsi="Arial" w:cs="Arial"/>
          <w:szCs w:val="24"/>
        </w:rPr>
        <w:t xml:space="preserve">lo que derivó en que para la década de 1970 la Marina y el </w:t>
      </w:r>
      <w:r w:rsidRPr="009F1996">
        <w:rPr>
          <w:rFonts w:ascii="Arial" w:hAnsi="Arial" w:cs="Arial"/>
          <w:i/>
          <w:szCs w:val="24"/>
        </w:rPr>
        <w:t xml:space="preserve">Naval </w:t>
      </w:r>
      <w:proofErr w:type="spellStart"/>
      <w:r w:rsidRPr="009F1996">
        <w:rPr>
          <w:rFonts w:ascii="Arial" w:hAnsi="Arial" w:cs="Arial"/>
          <w:i/>
          <w:szCs w:val="24"/>
        </w:rPr>
        <w:t>Petroleum</w:t>
      </w:r>
      <w:proofErr w:type="spellEnd"/>
      <w:r w:rsidRPr="009F1996">
        <w:rPr>
          <w:rFonts w:ascii="Arial" w:hAnsi="Arial" w:cs="Arial"/>
          <w:i/>
          <w:szCs w:val="24"/>
        </w:rPr>
        <w:t xml:space="preserve"> and </w:t>
      </w:r>
      <w:proofErr w:type="spellStart"/>
      <w:r w:rsidRPr="009F1996">
        <w:rPr>
          <w:rFonts w:ascii="Arial" w:hAnsi="Arial" w:cs="Arial"/>
          <w:i/>
          <w:szCs w:val="24"/>
        </w:rPr>
        <w:t>Oil</w:t>
      </w:r>
      <w:proofErr w:type="spellEnd"/>
      <w:r w:rsidRPr="009F1996">
        <w:rPr>
          <w:rFonts w:ascii="Arial" w:hAnsi="Arial" w:cs="Arial"/>
          <w:i/>
          <w:szCs w:val="24"/>
        </w:rPr>
        <w:t xml:space="preserve"> </w:t>
      </w:r>
      <w:proofErr w:type="spellStart"/>
      <w:r w:rsidRPr="009F1996">
        <w:rPr>
          <w:rFonts w:ascii="Arial" w:hAnsi="Arial" w:cs="Arial"/>
          <w:i/>
          <w:szCs w:val="24"/>
        </w:rPr>
        <w:t>Shale</w:t>
      </w:r>
      <w:proofErr w:type="spellEnd"/>
      <w:r w:rsidRPr="009F1996">
        <w:rPr>
          <w:rFonts w:ascii="Arial" w:hAnsi="Arial" w:cs="Arial"/>
          <w:i/>
          <w:szCs w:val="24"/>
        </w:rPr>
        <w:t xml:space="preserve"> Reserves Office</w:t>
      </w:r>
      <w:r w:rsidRPr="009F1996">
        <w:rPr>
          <w:rFonts w:ascii="Arial" w:hAnsi="Arial" w:cs="Arial"/>
          <w:szCs w:val="24"/>
        </w:rPr>
        <w:t xml:space="preserve"> (NPSRO) comenzaron a realizar evaluaciones a gran escala sobre la conveniencia de utilizar el petróleo de </w:t>
      </w:r>
      <w:proofErr w:type="spellStart"/>
      <w:r w:rsidRPr="009F1996">
        <w:rPr>
          <w:rFonts w:ascii="Arial" w:hAnsi="Arial" w:cs="Arial"/>
          <w:i/>
          <w:szCs w:val="24"/>
        </w:rPr>
        <w:t>shale</w:t>
      </w:r>
      <w:proofErr w:type="spellEnd"/>
      <w:r w:rsidR="00C569D4">
        <w:rPr>
          <w:rFonts w:ascii="Arial" w:hAnsi="Arial" w:cs="Arial"/>
          <w:szCs w:val="24"/>
        </w:rPr>
        <w:t xml:space="preserve"> como combustible militar</w:t>
      </w:r>
      <w:r w:rsidRPr="009F1996">
        <w:rPr>
          <w:rFonts w:ascii="Arial" w:hAnsi="Arial" w:cs="Arial"/>
          <w:szCs w:val="24"/>
        </w:rPr>
        <w:t xml:space="preserve"> (Andrews, 2006).</w:t>
      </w:r>
    </w:p>
    <w:p w14:paraId="63DE7DEB" w14:textId="77777777" w:rsidR="009F1996" w:rsidRDefault="009F1996" w:rsidP="005D23CD">
      <w:pPr>
        <w:spacing w:line="360" w:lineRule="auto"/>
        <w:ind w:firstLine="708"/>
        <w:rPr>
          <w:rFonts w:ascii="Arial" w:hAnsi="Arial" w:cs="Arial"/>
          <w:b/>
          <w:szCs w:val="24"/>
        </w:rPr>
      </w:pPr>
    </w:p>
    <w:p w14:paraId="36014522" w14:textId="77777777" w:rsidR="005D23CD" w:rsidRPr="00DF27F9" w:rsidRDefault="005D23CD" w:rsidP="00DF27F9">
      <w:pPr>
        <w:pStyle w:val="Ttulo2"/>
        <w:spacing w:after="240"/>
        <w:rPr>
          <w:color w:val="000000" w:themeColor="text1"/>
        </w:rPr>
      </w:pPr>
      <w:bookmarkStart w:id="3" w:name="_Toc499918285"/>
      <w:r w:rsidRPr="00DF27F9">
        <w:rPr>
          <w:color w:val="000000" w:themeColor="text1"/>
        </w:rPr>
        <w:t xml:space="preserve">Interés comercial en la industria de </w:t>
      </w:r>
      <w:proofErr w:type="spellStart"/>
      <w:r w:rsidRPr="00DF27F9">
        <w:rPr>
          <w:i/>
          <w:color w:val="000000" w:themeColor="text1"/>
        </w:rPr>
        <w:t>shale</w:t>
      </w:r>
      <w:proofErr w:type="spellEnd"/>
      <w:r w:rsidRPr="00DF27F9">
        <w:rPr>
          <w:color w:val="000000" w:themeColor="text1"/>
        </w:rPr>
        <w:t>: Incentivada por el gobierno</w:t>
      </w:r>
      <w:bookmarkEnd w:id="3"/>
    </w:p>
    <w:p w14:paraId="69C60955" w14:textId="397F9651" w:rsidR="005D23CD" w:rsidRPr="009F1996" w:rsidRDefault="005D23CD" w:rsidP="005D23CD">
      <w:pPr>
        <w:spacing w:line="360" w:lineRule="auto"/>
        <w:rPr>
          <w:rFonts w:ascii="Arial" w:hAnsi="Arial" w:cs="Arial"/>
          <w:szCs w:val="24"/>
        </w:rPr>
      </w:pPr>
      <w:r w:rsidRPr="009F1996">
        <w:rPr>
          <w:rFonts w:ascii="Arial" w:hAnsi="Arial" w:cs="Arial"/>
          <w:szCs w:val="24"/>
        </w:rPr>
        <w:t>En la década de</w:t>
      </w:r>
      <w:r w:rsidR="00C569D4">
        <w:rPr>
          <w:rFonts w:ascii="Arial" w:hAnsi="Arial" w:cs="Arial"/>
          <w:szCs w:val="24"/>
        </w:rPr>
        <w:t xml:space="preserve"> </w:t>
      </w:r>
      <w:r w:rsidRPr="009F1996">
        <w:rPr>
          <w:rFonts w:ascii="Arial" w:hAnsi="Arial" w:cs="Arial"/>
          <w:szCs w:val="24"/>
        </w:rPr>
        <w:t xml:space="preserve">1970, después del aumento de precios internacionales del petróleo debido al embargo petrolero mundial, el Congreso estadounidense creó un programa de combustibles sintéticos para estimular el desarrollo comercial a gran escala del petróleo </w:t>
      </w:r>
      <w:proofErr w:type="spellStart"/>
      <w:r w:rsidRPr="009F1996">
        <w:rPr>
          <w:rFonts w:ascii="Arial" w:hAnsi="Arial" w:cs="Arial"/>
          <w:i/>
          <w:szCs w:val="24"/>
        </w:rPr>
        <w:t>shale</w:t>
      </w:r>
      <w:proofErr w:type="spellEnd"/>
      <w:r w:rsidRPr="009F1996">
        <w:rPr>
          <w:rFonts w:ascii="Arial" w:hAnsi="Arial" w:cs="Arial"/>
          <w:szCs w:val="24"/>
        </w:rPr>
        <w:t xml:space="preserve"> y otros recursos no convencionales (Andrews, 2006).</w:t>
      </w:r>
    </w:p>
    <w:p w14:paraId="6D60F5DE"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A principios de 1970, comenzaron a surgir asociaciones público-privadas con el fin de invertir en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Se realizaron licitaciones gubernamentales y se hicieron contratos con empresas privadas para compartir el riesgo o  proveer servicios dentro de la industria del petróleo no convencional. </w:t>
      </w:r>
    </w:p>
    <w:p w14:paraId="3BC52662" w14:textId="00A97B3C"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En el ámbito comercial, la producción de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r w:rsidRPr="009F1996">
        <w:rPr>
          <w:rFonts w:ascii="Arial" w:hAnsi="Arial" w:cs="Arial"/>
          <w:szCs w:val="24"/>
        </w:rPr>
        <w:t xml:space="preserve"> también aumentó debido a los incentivos gubernamentales estadounidenses para el tema de la seguridad</w:t>
      </w:r>
      <w:r w:rsidR="00ED77CD" w:rsidRPr="009F1996">
        <w:rPr>
          <w:rFonts w:ascii="Arial" w:hAnsi="Arial" w:cs="Arial"/>
          <w:szCs w:val="24"/>
        </w:rPr>
        <w:t xml:space="preserve"> energética</w:t>
      </w:r>
      <w:r w:rsidRPr="009F1996">
        <w:rPr>
          <w:rFonts w:ascii="Arial" w:hAnsi="Arial" w:cs="Arial"/>
          <w:szCs w:val="24"/>
        </w:rPr>
        <w:t xml:space="preserve">. Se ofrecieron licitaciones y contratos prueba para empresas petroleras, permitiendo abrir la producción del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al ámbito privado. Esta apertura despertó el interés de privados a realizar inversiones en investigación y desarrollo para la industria atraídos por la rentabilidad del sector (Andrews, 2006).</w:t>
      </w:r>
    </w:p>
    <w:p w14:paraId="155E4443" w14:textId="673FB34A" w:rsidR="005D23CD" w:rsidRPr="009F1996" w:rsidRDefault="005D23CD" w:rsidP="005D23CD">
      <w:pPr>
        <w:spacing w:line="360" w:lineRule="auto"/>
        <w:rPr>
          <w:rFonts w:ascii="Arial" w:hAnsi="Arial" w:cs="Arial"/>
          <w:szCs w:val="24"/>
        </w:rPr>
      </w:pPr>
      <w:r w:rsidRPr="009F1996">
        <w:rPr>
          <w:rFonts w:ascii="Arial" w:hAnsi="Arial" w:cs="Arial"/>
          <w:szCs w:val="24"/>
        </w:rPr>
        <w:t xml:space="preserve">Un ejemplo de lo anterior fue cuando el DOE promovió dos secciones de arrendamiento prototipo en las cuencas de </w:t>
      </w:r>
      <w:proofErr w:type="spellStart"/>
      <w:r w:rsidRPr="009F1996">
        <w:rPr>
          <w:rFonts w:ascii="Arial" w:hAnsi="Arial" w:cs="Arial"/>
          <w:szCs w:val="24"/>
        </w:rPr>
        <w:t>Piceance</w:t>
      </w:r>
      <w:proofErr w:type="spellEnd"/>
      <w:r w:rsidRPr="009F1996">
        <w:rPr>
          <w:rFonts w:ascii="Arial" w:hAnsi="Arial" w:cs="Arial"/>
          <w:szCs w:val="24"/>
        </w:rPr>
        <w:t xml:space="preserve"> en el condado de Río Blanco, Colorado, dentro de la cuenca de </w:t>
      </w:r>
      <w:r w:rsidR="00C569D4">
        <w:rPr>
          <w:rFonts w:ascii="Arial" w:hAnsi="Arial" w:cs="Arial"/>
          <w:szCs w:val="24"/>
        </w:rPr>
        <w:t>Río Verde</w:t>
      </w:r>
      <w:r w:rsidRPr="009F1996">
        <w:rPr>
          <w:rFonts w:ascii="Arial" w:hAnsi="Arial" w:cs="Arial"/>
          <w:szCs w:val="24"/>
        </w:rPr>
        <w:t xml:space="preserve"> durante la década de 1970. Las licitaciones se otorgaron a </w:t>
      </w:r>
      <w:proofErr w:type="spellStart"/>
      <w:r w:rsidRPr="009F1996">
        <w:rPr>
          <w:rFonts w:ascii="Arial" w:hAnsi="Arial" w:cs="Arial"/>
          <w:szCs w:val="24"/>
        </w:rPr>
        <w:t>Amoco</w:t>
      </w:r>
      <w:proofErr w:type="spellEnd"/>
      <w:r w:rsidRPr="009F1996">
        <w:rPr>
          <w:rFonts w:ascii="Arial" w:hAnsi="Arial" w:cs="Arial"/>
          <w:szCs w:val="24"/>
        </w:rPr>
        <w:t xml:space="preserve"> en el </w:t>
      </w:r>
      <w:r w:rsidRPr="009F1996">
        <w:rPr>
          <w:rFonts w:ascii="Arial" w:hAnsi="Arial" w:cs="Arial"/>
          <w:i/>
          <w:szCs w:val="24"/>
        </w:rPr>
        <w:t>trac C-a</w:t>
      </w:r>
      <w:r w:rsidRPr="009F1996">
        <w:rPr>
          <w:rFonts w:ascii="Arial" w:hAnsi="Arial" w:cs="Arial"/>
          <w:szCs w:val="24"/>
        </w:rPr>
        <w:t xml:space="preserve">, y a Occidental </w:t>
      </w:r>
      <w:proofErr w:type="spellStart"/>
      <w:r w:rsidRPr="009F1996">
        <w:rPr>
          <w:rFonts w:ascii="Arial" w:hAnsi="Arial" w:cs="Arial"/>
          <w:szCs w:val="24"/>
        </w:rPr>
        <w:t>Petroleum</w:t>
      </w:r>
      <w:proofErr w:type="spellEnd"/>
      <w:r w:rsidRPr="009F1996">
        <w:rPr>
          <w:rFonts w:ascii="Arial" w:hAnsi="Arial" w:cs="Arial"/>
          <w:szCs w:val="24"/>
        </w:rPr>
        <w:t xml:space="preserve"> en el trac C-b. (Andrews, 2006).</w:t>
      </w:r>
    </w:p>
    <w:p w14:paraId="5C6D7CD4" w14:textId="00E95ABB" w:rsidR="005D23CD" w:rsidRPr="009F1996" w:rsidRDefault="005D23CD" w:rsidP="005D23CD">
      <w:pPr>
        <w:spacing w:line="360" w:lineRule="auto"/>
        <w:rPr>
          <w:rFonts w:ascii="Arial" w:hAnsi="Arial" w:cs="Arial"/>
          <w:szCs w:val="24"/>
        </w:rPr>
      </w:pPr>
      <w:r w:rsidRPr="009F1996">
        <w:rPr>
          <w:rFonts w:ascii="Arial" w:hAnsi="Arial" w:cs="Arial"/>
          <w:szCs w:val="24"/>
        </w:rPr>
        <w:t>Durante finales de 1970, la fuerza aérea</w:t>
      </w:r>
      <w:r w:rsidR="00ED77CD" w:rsidRPr="009F1996">
        <w:rPr>
          <w:rFonts w:ascii="Arial" w:hAnsi="Arial" w:cs="Arial"/>
          <w:szCs w:val="24"/>
        </w:rPr>
        <w:t xml:space="preserve"> estadounidense</w:t>
      </w:r>
      <w:r w:rsidRPr="009F1996">
        <w:rPr>
          <w:rFonts w:ascii="Arial" w:hAnsi="Arial" w:cs="Arial"/>
          <w:szCs w:val="24"/>
        </w:rPr>
        <w:t xml:space="preserve"> se mostró interesada en el petróleo </w:t>
      </w:r>
      <w:proofErr w:type="spellStart"/>
      <w:r w:rsidRPr="009F1996">
        <w:rPr>
          <w:rFonts w:ascii="Arial" w:hAnsi="Arial" w:cs="Arial"/>
          <w:i/>
          <w:szCs w:val="24"/>
        </w:rPr>
        <w:t>shale</w:t>
      </w:r>
      <w:proofErr w:type="spellEnd"/>
      <w:r w:rsidRPr="009F1996">
        <w:rPr>
          <w:rFonts w:ascii="Arial" w:hAnsi="Arial" w:cs="Arial"/>
          <w:i/>
          <w:szCs w:val="24"/>
        </w:rPr>
        <w:t xml:space="preserve"> </w:t>
      </w:r>
      <w:r w:rsidRPr="009F1996">
        <w:rPr>
          <w:rFonts w:ascii="Arial" w:hAnsi="Arial" w:cs="Arial"/>
          <w:szCs w:val="24"/>
        </w:rPr>
        <w:t xml:space="preserve">para la evaluación de la producción de combustible para aviones jet y en 1979 se otorgaron contratos con Ashland </w:t>
      </w:r>
      <w:proofErr w:type="spellStart"/>
      <w:r w:rsidRPr="009F1996">
        <w:rPr>
          <w:rFonts w:ascii="Arial" w:hAnsi="Arial" w:cs="Arial"/>
          <w:szCs w:val="24"/>
        </w:rPr>
        <w:t>Research</w:t>
      </w:r>
      <w:proofErr w:type="spellEnd"/>
      <w:r w:rsidRPr="009F1996">
        <w:rPr>
          <w:rFonts w:ascii="Arial" w:hAnsi="Arial" w:cs="Arial"/>
          <w:szCs w:val="24"/>
        </w:rPr>
        <w:t xml:space="preserve"> and </w:t>
      </w:r>
      <w:proofErr w:type="spellStart"/>
      <w:r w:rsidRPr="009F1996">
        <w:rPr>
          <w:rFonts w:ascii="Arial" w:hAnsi="Arial" w:cs="Arial"/>
          <w:szCs w:val="24"/>
        </w:rPr>
        <w:t>Development</w:t>
      </w:r>
      <w:proofErr w:type="spellEnd"/>
      <w:r w:rsidRPr="009F1996">
        <w:rPr>
          <w:rFonts w:ascii="Arial" w:hAnsi="Arial" w:cs="Arial"/>
          <w:szCs w:val="24"/>
        </w:rPr>
        <w:t xml:space="preserve">, </w:t>
      </w:r>
      <w:proofErr w:type="spellStart"/>
      <w:r w:rsidRPr="009F1996">
        <w:rPr>
          <w:rFonts w:ascii="Arial" w:hAnsi="Arial" w:cs="Arial"/>
          <w:szCs w:val="24"/>
        </w:rPr>
        <w:t>Suntech</w:t>
      </w:r>
      <w:proofErr w:type="spellEnd"/>
      <w:r w:rsidRPr="009F1996">
        <w:rPr>
          <w:rFonts w:ascii="Arial" w:hAnsi="Arial" w:cs="Arial"/>
          <w:szCs w:val="24"/>
        </w:rPr>
        <w:t xml:space="preserve">, Inc. y UOP, </w:t>
      </w:r>
      <w:proofErr w:type="spellStart"/>
      <w:r w:rsidRPr="009F1996">
        <w:rPr>
          <w:rFonts w:ascii="Arial" w:hAnsi="Arial" w:cs="Arial"/>
          <w:szCs w:val="24"/>
        </w:rPr>
        <w:t>Inc</w:t>
      </w:r>
      <w:proofErr w:type="spellEnd"/>
      <w:r w:rsidRPr="009F1996">
        <w:rPr>
          <w:rFonts w:ascii="Arial" w:hAnsi="Arial" w:cs="Arial"/>
          <w:szCs w:val="24"/>
        </w:rPr>
        <w:t xml:space="preserve"> (Andrews, 2006).</w:t>
      </w:r>
    </w:p>
    <w:p w14:paraId="6F5ABD96" w14:textId="77777777" w:rsidR="005D23CD" w:rsidRPr="009F1996" w:rsidRDefault="005D23CD" w:rsidP="005D23CD">
      <w:pPr>
        <w:spacing w:line="360" w:lineRule="auto"/>
        <w:rPr>
          <w:rFonts w:ascii="Arial" w:hAnsi="Arial" w:cs="Arial"/>
          <w:szCs w:val="24"/>
        </w:rPr>
      </w:pPr>
      <w:r w:rsidRPr="009F1996">
        <w:rPr>
          <w:rFonts w:ascii="Arial" w:hAnsi="Arial" w:cs="Arial"/>
          <w:szCs w:val="24"/>
        </w:rPr>
        <w:lastRenderedPageBreak/>
        <w:t>También durante la década de 1970, el congreso estadounidense proveyó como estímulo a la producción de combustibles alternativos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entre otros) un crédito fiscal de $3.00 dólares por barril dentro del programa </w:t>
      </w:r>
      <w:proofErr w:type="spellStart"/>
      <w:r w:rsidRPr="009F1996">
        <w:rPr>
          <w:rFonts w:ascii="Arial" w:hAnsi="Arial" w:cs="Arial"/>
          <w:i/>
          <w:szCs w:val="24"/>
        </w:rPr>
        <w:t>Crude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proofErr w:type="spellStart"/>
      <w:r w:rsidRPr="009F1996">
        <w:rPr>
          <w:rFonts w:ascii="Arial" w:hAnsi="Arial" w:cs="Arial"/>
          <w:i/>
          <w:szCs w:val="24"/>
        </w:rPr>
        <w:t>Windfall</w:t>
      </w:r>
      <w:proofErr w:type="spellEnd"/>
      <w:r w:rsidRPr="009F1996">
        <w:rPr>
          <w:rFonts w:ascii="Arial" w:hAnsi="Arial" w:cs="Arial"/>
          <w:i/>
          <w:szCs w:val="24"/>
        </w:rPr>
        <w:t xml:space="preserve"> </w:t>
      </w:r>
      <w:proofErr w:type="spellStart"/>
      <w:r w:rsidRPr="009F1996">
        <w:rPr>
          <w:rFonts w:ascii="Arial" w:hAnsi="Arial" w:cs="Arial"/>
          <w:i/>
          <w:szCs w:val="24"/>
        </w:rPr>
        <w:t>Profit</w:t>
      </w:r>
      <w:proofErr w:type="spellEnd"/>
      <w:r w:rsidRPr="009F1996">
        <w:rPr>
          <w:rFonts w:ascii="Arial" w:hAnsi="Arial" w:cs="Arial"/>
          <w:i/>
          <w:szCs w:val="24"/>
        </w:rPr>
        <w:t xml:space="preserve"> </w:t>
      </w:r>
      <w:proofErr w:type="spellStart"/>
      <w:r w:rsidRPr="009F1996">
        <w:rPr>
          <w:rFonts w:ascii="Arial" w:hAnsi="Arial" w:cs="Arial"/>
          <w:i/>
          <w:szCs w:val="24"/>
        </w:rPr>
        <w:t>Tax</w:t>
      </w:r>
      <w:proofErr w:type="spellEnd"/>
      <w:r w:rsidRPr="009F1996">
        <w:rPr>
          <w:rFonts w:ascii="Arial" w:hAnsi="Arial" w:cs="Arial"/>
          <w:i/>
          <w:szCs w:val="24"/>
        </w:rPr>
        <w:t xml:space="preserve"> </w:t>
      </w:r>
      <w:proofErr w:type="spellStart"/>
      <w:r w:rsidRPr="009F1996">
        <w:rPr>
          <w:rFonts w:ascii="Arial" w:hAnsi="Arial" w:cs="Arial"/>
          <w:i/>
          <w:szCs w:val="24"/>
        </w:rPr>
        <w:t>Act</w:t>
      </w:r>
      <w:proofErr w:type="spellEnd"/>
      <w:r w:rsidRPr="009F1996">
        <w:rPr>
          <w:rFonts w:ascii="Arial" w:hAnsi="Arial" w:cs="Arial"/>
          <w:i/>
          <w:szCs w:val="24"/>
        </w:rPr>
        <w:t xml:space="preserve"> of 1980</w:t>
      </w:r>
      <w:r w:rsidRPr="009F1996">
        <w:rPr>
          <w:rFonts w:ascii="Arial" w:hAnsi="Arial" w:cs="Arial"/>
          <w:szCs w:val="24"/>
        </w:rPr>
        <w:t>. El crédito podía tener efecto completo cuando los precios de petróleo cayeran por debajo de $23.50/</w:t>
      </w:r>
      <w:proofErr w:type="spellStart"/>
      <w:r w:rsidRPr="009F1996">
        <w:rPr>
          <w:rFonts w:ascii="Arial" w:hAnsi="Arial" w:cs="Arial"/>
          <w:szCs w:val="24"/>
        </w:rPr>
        <w:t>bbl</w:t>
      </w:r>
      <w:proofErr w:type="spellEnd"/>
      <w:r w:rsidRPr="009F1996">
        <w:rPr>
          <w:rFonts w:ascii="Arial" w:hAnsi="Arial" w:cs="Arial"/>
          <w:szCs w:val="24"/>
        </w:rPr>
        <w:t xml:space="preserve"> (en dólares de 1970) y se eliminarían gradualmente hasta que los precios subieran por encima de $29.50/</w:t>
      </w:r>
      <w:proofErr w:type="spellStart"/>
      <w:r w:rsidRPr="009F1996">
        <w:rPr>
          <w:rFonts w:ascii="Arial" w:hAnsi="Arial" w:cs="Arial"/>
          <w:szCs w:val="24"/>
        </w:rPr>
        <w:t>bbl</w:t>
      </w:r>
      <w:proofErr w:type="spellEnd"/>
      <w:r w:rsidRPr="009F1996">
        <w:rPr>
          <w:rFonts w:ascii="Arial" w:hAnsi="Arial" w:cs="Arial"/>
          <w:szCs w:val="24"/>
        </w:rPr>
        <w:t xml:space="preserve"> (Andrews, 2006).</w:t>
      </w:r>
    </w:p>
    <w:p w14:paraId="072804E7"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En 1980 se aprobó el </w:t>
      </w:r>
      <w:proofErr w:type="spellStart"/>
      <w:r w:rsidRPr="009F1996">
        <w:rPr>
          <w:rFonts w:ascii="Arial" w:hAnsi="Arial" w:cs="Arial"/>
          <w:i/>
          <w:szCs w:val="24"/>
        </w:rPr>
        <w:t>Energy</w:t>
      </w:r>
      <w:proofErr w:type="spellEnd"/>
      <w:r w:rsidRPr="009F1996">
        <w:rPr>
          <w:rFonts w:ascii="Arial" w:hAnsi="Arial" w:cs="Arial"/>
          <w:i/>
          <w:szCs w:val="24"/>
        </w:rPr>
        <w:t xml:space="preserve"> Security </w:t>
      </w:r>
      <w:proofErr w:type="spellStart"/>
      <w:r w:rsidRPr="009F1996">
        <w:rPr>
          <w:rFonts w:ascii="Arial" w:hAnsi="Arial" w:cs="Arial"/>
          <w:i/>
          <w:szCs w:val="24"/>
        </w:rPr>
        <w:t>Act</w:t>
      </w:r>
      <w:proofErr w:type="spellEnd"/>
      <w:r w:rsidRPr="009F1996">
        <w:rPr>
          <w:rFonts w:ascii="Arial" w:hAnsi="Arial" w:cs="Arial"/>
          <w:szCs w:val="24"/>
        </w:rPr>
        <w:t xml:space="preserve">, que </w:t>
      </w:r>
      <w:proofErr w:type="spellStart"/>
      <w:r w:rsidRPr="009F1996">
        <w:rPr>
          <w:rFonts w:ascii="Arial" w:hAnsi="Arial" w:cs="Arial"/>
          <w:szCs w:val="24"/>
        </w:rPr>
        <w:t>estabeció</w:t>
      </w:r>
      <w:proofErr w:type="spellEnd"/>
      <w:r w:rsidRPr="009F1996">
        <w:rPr>
          <w:rFonts w:ascii="Arial" w:hAnsi="Arial" w:cs="Arial"/>
          <w:szCs w:val="24"/>
        </w:rPr>
        <w:t xml:space="preserve"> el </w:t>
      </w:r>
      <w:proofErr w:type="spellStart"/>
      <w:r w:rsidRPr="009F1996">
        <w:rPr>
          <w:rFonts w:ascii="Arial" w:hAnsi="Arial" w:cs="Arial"/>
          <w:i/>
          <w:szCs w:val="24"/>
        </w:rPr>
        <w:t>United</w:t>
      </w:r>
      <w:proofErr w:type="spellEnd"/>
      <w:r w:rsidRPr="009F1996">
        <w:rPr>
          <w:rFonts w:ascii="Arial" w:hAnsi="Arial" w:cs="Arial"/>
          <w:i/>
          <w:szCs w:val="24"/>
        </w:rPr>
        <w:t xml:space="preserve"> </w:t>
      </w:r>
      <w:proofErr w:type="spellStart"/>
      <w:r w:rsidRPr="009F1996">
        <w:rPr>
          <w:rFonts w:ascii="Arial" w:hAnsi="Arial" w:cs="Arial"/>
          <w:i/>
          <w:szCs w:val="24"/>
        </w:rPr>
        <w:t>States</w:t>
      </w:r>
      <w:proofErr w:type="spellEnd"/>
      <w:r w:rsidRPr="009F1996">
        <w:rPr>
          <w:rFonts w:ascii="Arial" w:hAnsi="Arial" w:cs="Arial"/>
          <w:i/>
          <w:szCs w:val="24"/>
        </w:rPr>
        <w:t xml:space="preserve"> </w:t>
      </w:r>
      <w:proofErr w:type="spellStart"/>
      <w:r w:rsidRPr="009F1996">
        <w:rPr>
          <w:rFonts w:ascii="Arial" w:hAnsi="Arial" w:cs="Arial"/>
          <w:i/>
          <w:szCs w:val="24"/>
        </w:rPr>
        <w:t>Synthetic</w:t>
      </w:r>
      <w:proofErr w:type="spellEnd"/>
      <w:r w:rsidRPr="009F1996">
        <w:rPr>
          <w:rFonts w:ascii="Arial" w:hAnsi="Arial" w:cs="Arial"/>
          <w:i/>
          <w:szCs w:val="24"/>
        </w:rPr>
        <w:t xml:space="preserve"> </w:t>
      </w:r>
      <w:proofErr w:type="spellStart"/>
      <w:r w:rsidRPr="009F1996">
        <w:rPr>
          <w:rFonts w:ascii="Arial" w:hAnsi="Arial" w:cs="Arial"/>
          <w:i/>
          <w:szCs w:val="24"/>
        </w:rPr>
        <w:t>Fuels</w:t>
      </w:r>
      <w:proofErr w:type="spellEnd"/>
      <w:r w:rsidRPr="009F1996">
        <w:rPr>
          <w:rFonts w:ascii="Arial" w:hAnsi="Arial" w:cs="Arial"/>
          <w:i/>
          <w:szCs w:val="24"/>
        </w:rPr>
        <w:t xml:space="preserve"> </w:t>
      </w:r>
      <w:proofErr w:type="spellStart"/>
      <w:r w:rsidRPr="009F1996">
        <w:rPr>
          <w:rFonts w:ascii="Arial" w:hAnsi="Arial" w:cs="Arial"/>
          <w:i/>
          <w:szCs w:val="24"/>
        </w:rPr>
        <w:t>Corporation</w:t>
      </w:r>
      <w:proofErr w:type="spellEnd"/>
      <w:r w:rsidRPr="009F1996">
        <w:rPr>
          <w:rFonts w:ascii="Arial" w:hAnsi="Arial" w:cs="Arial"/>
          <w:i/>
          <w:szCs w:val="24"/>
        </w:rPr>
        <w:t xml:space="preserve"> </w:t>
      </w:r>
      <w:r w:rsidRPr="009F1996">
        <w:rPr>
          <w:rFonts w:ascii="Arial" w:hAnsi="Arial" w:cs="Arial"/>
          <w:szCs w:val="24"/>
        </w:rPr>
        <w:t xml:space="preserve">(SFC) con la autoridad de proveer asistencia financiera a proyectos calificados que produzcan combustibles sintéticos del carbón,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proofErr w:type="spellStart"/>
      <w:r w:rsidRPr="009F1996">
        <w:rPr>
          <w:rFonts w:ascii="Arial" w:hAnsi="Arial" w:cs="Arial"/>
          <w:i/>
          <w:szCs w:val="24"/>
        </w:rPr>
        <w:t>tar</w:t>
      </w:r>
      <w:proofErr w:type="spellEnd"/>
      <w:r w:rsidRPr="009F1996">
        <w:rPr>
          <w:rFonts w:ascii="Arial" w:hAnsi="Arial" w:cs="Arial"/>
          <w:i/>
          <w:szCs w:val="24"/>
        </w:rPr>
        <w:t xml:space="preserve"> </w:t>
      </w:r>
      <w:proofErr w:type="spellStart"/>
      <w:r w:rsidRPr="009F1996">
        <w:rPr>
          <w:rFonts w:ascii="Arial" w:hAnsi="Arial" w:cs="Arial"/>
          <w:i/>
          <w:szCs w:val="24"/>
        </w:rPr>
        <w:t>sands</w:t>
      </w:r>
      <w:proofErr w:type="spellEnd"/>
      <w:r w:rsidRPr="009F1996">
        <w:rPr>
          <w:rFonts w:ascii="Arial" w:hAnsi="Arial" w:cs="Arial"/>
          <w:szCs w:val="24"/>
        </w:rPr>
        <w:t xml:space="preserve"> y petróleo pesado. Los préstamos del SFC se pagarían desde la reserva de Seguridad Energética (Andrews, 2006). Entre 1981 y 1984 el SFC recibió 34 propuestas de proyectos de petróleo </w:t>
      </w:r>
      <w:proofErr w:type="spellStart"/>
      <w:r w:rsidRPr="009F1996">
        <w:rPr>
          <w:rFonts w:ascii="Arial" w:hAnsi="Arial" w:cs="Arial"/>
          <w:i/>
          <w:szCs w:val="24"/>
        </w:rPr>
        <w:t>shale</w:t>
      </w:r>
      <w:proofErr w:type="spellEnd"/>
      <w:r w:rsidRPr="009F1996">
        <w:rPr>
          <w:rFonts w:ascii="Arial" w:hAnsi="Arial" w:cs="Arial"/>
          <w:szCs w:val="24"/>
        </w:rPr>
        <w:t>. Posteriormente se abolió el SFC debido a que de los apoyos otorgados no surgieron proyectos rentables (Andrews, 2006).</w:t>
      </w:r>
    </w:p>
    <w:p w14:paraId="69919183" w14:textId="77777777" w:rsidR="009F1996" w:rsidRDefault="005D23CD" w:rsidP="005D23CD">
      <w:pPr>
        <w:spacing w:line="360" w:lineRule="auto"/>
        <w:rPr>
          <w:rFonts w:ascii="Arial" w:hAnsi="Arial" w:cs="Arial"/>
          <w:szCs w:val="24"/>
        </w:rPr>
      </w:pPr>
      <w:r w:rsidRPr="009F1996">
        <w:rPr>
          <w:rFonts w:ascii="Arial" w:hAnsi="Arial" w:cs="Arial"/>
          <w:szCs w:val="24"/>
        </w:rPr>
        <w:tab/>
      </w:r>
    </w:p>
    <w:p w14:paraId="2550CA7E" w14:textId="10883312" w:rsidR="005D23CD" w:rsidRPr="00DF27F9" w:rsidRDefault="005D23CD" w:rsidP="00DF27F9">
      <w:pPr>
        <w:pStyle w:val="Ttulo2"/>
        <w:spacing w:after="240"/>
        <w:rPr>
          <w:color w:val="000000" w:themeColor="text1"/>
        </w:rPr>
      </w:pPr>
      <w:bookmarkStart w:id="4" w:name="_Toc499918286"/>
      <w:r w:rsidRPr="00DF27F9">
        <w:rPr>
          <w:color w:val="000000" w:themeColor="text1"/>
        </w:rPr>
        <w:t>Mercado petrolero liberalizado</w:t>
      </w:r>
      <w:bookmarkEnd w:id="4"/>
    </w:p>
    <w:p w14:paraId="2774FC92"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En 1980, la Orden Ejecutiva 12287 del Presidente Ronald Reagan removió el precio mínimo y los controles de asignación de petróleo crudo y productos refinados de petróleo dando paso a que las fuerzas del mercado reemplazaran los programas regulatorios y los precios domésticos del mercado se liberalizaran. Adicionalmente se relajaron las restricciones a exportación de productos refinados del petróleo (Andrews, 2006).</w:t>
      </w:r>
    </w:p>
    <w:p w14:paraId="4E0A3ABD"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Durante el periodo de Reagan hubo cambios importantes: la demanda de petróleo declinó debido a medidas de conservación energética y la recesión económica. El comercio de </w:t>
      </w:r>
      <w:proofErr w:type="spellStart"/>
      <w:r w:rsidRPr="009F1996">
        <w:rPr>
          <w:rFonts w:ascii="Arial" w:hAnsi="Arial" w:cs="Arial"/>
          <w:i/>
          <w:szCs w:val="24"/>
        </w:rPr>
        <w:t>commodities</w:t>
      </w:r>
      <w:proofErr w:type="spellEnd"/>
      <w:r w:rsidRPr="009F1996">
        <w:rPr>
          <w:rFonts w:ascii="Arial" w:hAnsi="Arial" w:cs="Arial"/>
          <w:szCs w:val="24"/>
        </w:rPr>
        <w:t xml:space="preserve"> de petróleo también tuvo cambios fundamentales: antes de 1970 el precio del crudo se determinaba por contratos a largo plazo y sólo el 10% del petróleo se comerciaba internacionalmente; para 1982 más de la mitad se comerciaba en el mercado de </w:t>
      </w:r>
      <w:r w:rsidRPr="009F1996">
        <w:rPr>
          <w:rFonts w:ascii="Arial" w:hAnsi="Arial" w:cs="Arial"/>
          <w:i/>
          <w:szCs w:val="24"/>
        </w:rPr>
        <w:t>spot</w:t>
      </w:r>
      <w:r w:rsidRPr="009F1996">
        <w:rPr>
          <w:rFonts w:ascii="Arial" w:hAnsi="Arial" w:cs="Arial"/>
          <w:szCs w:val="24"/>
        </w:rPr>
        <w:t xml:space="preserve"> (mercado de contado) lo que ayudo a liberar más mercados. El cambio más importante sucedió con la introducción de futuros de petróleo crudo en la bolsa de valores de Nueva York con el propósito de minar los precios fijados por la Organización de Países Exportadores de Petróleo (OPEP) (Andrews, 2006).</w:t>
      </w:r>
    </w:p>
    <w:p w14:paraId="797C4C5C" w14:textId="77777777" w:rsidR="005D23CD" w:rsidRPr="009F1996" w:rsidRDefault="005D23CD" w:rsidP="005D23CD">
      <w:pPr>
        <w:spacing w:line="360" w:lineRule="auto"/>
        <w:rPr>
          <w:rFonts w:ascii="Arial" w:hAnsi="Arial" w:cs="Arial"/>
          <w:szCs w:val="24"/>
        </w:rPr>
      </w:pPr>
      <w:r w:rsidRPr="009F1996">
        <w:rPr>
          <w:rFonts w:ascii="Arial" w:hAnsi="Arial" w:cs="Arial"/>
          <w:szCs w:val="24"/>
        </w:rPr>
        <w:lastRenderedPageBreak/>
        <w:t xml:space="preserve">En 1981 también se redujeron los incentivos fiscales a proyectos de petróleo </w:t>
      </w:r>
      <w:proofErr w:type="spellStart"/>
      <w:r w:rsidRPr="009F1996">
        <w:rPr>
          <w:rFonts w:ascii="Arial" w:hAnsi="Arial" w:cs="Arial"/>
          <w:i/>
          <w:szCs w:val="24"/>
        </w:rPr>
        <w:t>shale</w:t>
      </w:r>
      <w:proofErr w:type="spellEnd"/>
      <w:r w:rsidRPr="009F1996">
        <w:rPr>
          <w:rFonts w:ascii="Arial" w:hAnsi="Arial" w:cs="Arial"/>
          <w:szCs w:val="24"/>
        </w:rPr>
        <w:t xml:space="preserve">, reduciendo la posibilidad de patrocinio a proyectos debido a los impuestos después de ingresos: </w:t>
      </w:r>
      <w:r w:rsidRPr="009F1996">
        <w:rPr>
          <w:rFonts w:ascii="Arial" w:hAnsi="Arial" w:cs="Arial"/>
          <w:i/>
          <w:szCs w:val="24"/>
        </w:rPr>
        <w:t xml:space="preserve">la </w:t>
      </w:r>
      <w:proofErr w:type="spellStart"/>
      <w:r w:rsidRPr="009F1996">
        <w:rPr>
          <w:rFonts w:ascii="Arial" w:hAnsi="Arial" w:cs="Arial"/>
          <w:i/>
          <w:szCs w:val="24"/>
        </w:rPr>
        <w:t>Economic</w:t>
      </w:r>
      <w:proofErr w:type="spellEnd"/>
      <w:r w:rsidRPr="009F1996">
        <w:rPr>
          <w:rFonts w:ascii="Arial" w:hAnsi="Arial" w:cs="Arial"/>
          <w:i/>
          <w:szCs w:val="24"/>
        </w:rPr>
        <w:t xml:space="preserve"> </w:t>
      </w:r>
      <w:proofErr w:type="spellStart"/>
      <w:r w:rsidRPr="009F1996">
        <w:rPr>
          <w:rFonts w:ascii="Arial" w:hAnsi="Arial" w:cs="Arial"/>
          <w:i/>
          <w:szCs w:val="24"/>
        </w:rPr>
        <w:t>Recovery</w:t>
      </w:r>
      <w:proofErr w:type="spellEnd"/>
      <w:r w:rsidRPr="009F1996">
        <w:rPr>
          <w:rFonts w:ascii="Arial" w:hAnsi="Arial" w:cs="Arial"/>
          <w:i/>
          <w:szCs w:val="24"/>
        </w:rPr>
        <w:t xml:space="preserve"> </w:t>
      </w:r>
      <w:proofErr w:type="spellStart"/>
      <w:r w:rsidRPr="009F1996">
        <w:rPr>
          <w:rFonts w:ascii="Arial" w:hAnsi="Arial" w:cs="Arial"/>
          <w:i/>
          <w:szCs w:val="24"/>
        </w:rPr>
        <w:t>Tax</w:t>
      </w:r>
      <w:proofErr w:type="spellEnd"/>
      <w:r w:rsidRPr="009F1996">
        <w:rPr>
          <w:rFonts w:ascii="Arial" w:hAnsi="Arial" w:cs="Arial"/>
          <w:i/>
          <w:szCs w:val="24"/>
        </w:rPr>
        <w:t xml:space="preserve"> </w:t>
      </w:r>
      <w:proofErr w:type="spellStart"/>
      <w:r w:rsidRPr="009F1996">
        <w:rPr>
          <w:rFonts w:ascii="Arial" w:hAnsi="Arial" w:cs="Arial"/>
          <w:i/>
          <w:szCs w:val="24"/>
        </w:rPr>
        <w:t>Act</w:t>
      </w:r>
      <w:proofErr w:type="spellEnd"/>
      <w:r w:rsidRPr="009F1996">
        <w:rPr>
          <w:rFonts w:ascii="Arial" w:hAnsi="Arial" w:cs="Arial"/>
          <w:szCs w:val="24"/>
        </w:rPr>
        <w:t xml:space="preserve"> de 1981 fue rescindida en 1982 por la </w:t>
      </w:r>
      <w:proofErr w:type="spellStart"/>
      <w:r w:rsidRPr="009F1996">
        <w:rPr>
          <w:rFonts w:ascii="Arial" w:hAnsi="Arial" w:cs="Arial"/>
          <w:i/>
          <w:szCs w:val="24"/>
        </w:rPr>
        <w:t>Tax</w:t>
      </w:r>
      <w:proofErr w:type="spellEnd"/>
      <w:r w:rsidRPr="009F1996">
        <w:rPr>
          <w:rFonts w:ascii="Arial" w:hAnsi="Arial" w:cs="Arial"/>
          <w:i/>
          <w:szCs w:val="24"/>
        </w:rPr>
        <w:t xml:space="preserve"> </w:t>
      </w:r>
      <w:proofErr w:type="spellStart"/>
      <w:r w:rsidRPr="009F1996">
        <w:rPr>
          <w:rFonts w:ascii="Arial" w:hAnsi="Arial" w:cs="Arial"/>
          <w:i/>
          <w:szCs w:val="24"/>
        </w:rPr>
        <w:t>Equity</w:t>
      </w:r>
      <w:proofErr w:type="spellEnd"/>
      <w:r w:rsidRPr="009F1996">
        <w:rPr>
          <w:rFonts w:ascii="Arial" w:hAnsi="Arial" w:cs="Arial"/>
          <w:i/>
          <w:szCs w:val="24"/>
        </w:rPr>
        <w:t xml:space="preserve"> and Fiscal </w:t>
      </w:r>
      <w:proofErr w:type="spellStart"/>
      <w:r w:rsidRPr="009F1996">
        <w:rPr>
          <w:rFonts w:ascii="Arial" w:hAnsi="Arial" w:cs="Arial"/>
          <w:i/>
          <w:szCs w:val="24"/>
        </w:rPr>
        <w:t>Responsibility</w:t>
      </w:r>
      <w:proofErr w:type="spellEnd"/>
      <w:r w:rsidRPr="009F1996">
        <w:rPr>
          <w:rFonts w:ascii="Arial" w:hAnsi="Arial" w:cs="Arial"/>
          <w:i/>
          <w:szCs w:val="24"/>
        </w:rPr>
        <w:t xml:space="preserve"> </w:t>
      </w:r>
      <w:proofErr w:type="spellStart"/>
      <w:r w:rsidRPr="009F1996">
        <w:rPr>
          <w:rFonts w:ascii="Arial" w:hAnsi="Arial" w:cs="Arial"/>
          <w:i/>
          <w:szCs w:val="24"/>
        </w:rPr>
        <w:t>Act</w:t>
      </w:r>
      <w:proofErr w:type="spellEnd"/>
      <w:r w:rsidRPr="009F1996">
        <w:rPr>
          <w:rFonts w:ascii="Arial" w:hAnsi="Arial" w:cs="Arial"/>
          <w:szCs w:val="24"/>
        </w:rPr>
        <w:t xml:space="preserve">  (Andrews, 2006).</w:t>
      </w:r>
    </w:p>
    <w:p w14:paraId="308A4E3F" w14:textId="77777777" w:rsidR="005D23CD" w:rsidRPr="009F1996" w:rsidRDefault="005D23CD" w:rsidP="005D23CD">
      <w:pPr>
        <w:spacing w:line="360" w:lineRule="auto"/>
        <w:rPr>
          <w:rFonts w:ascii="Arial" w:hAnsi="Arial" w:cs="Arial"/>
          <w:szCs w:val="24"/>
        </w:rPr>
      </w:pPr>
    </w:p>
    <w:p w14:paraId="44E8A539" w14:textId="29B908E7" w:rsidR="005D23CD" w:rsidRPr="00DF27F9" w:rsidRDefault="005D23CD" w:rsidP="00DF27F9">
      <w:pPr>
        <w:pStyle w:val="Ttulo2"/>
        <w:spacing w:after="240"/>
        <w:rPr>
          <w:i/>
          <w:color w:val="000000" w:themeColor="text1"/>
        </w:rPr>
      </w:pPr>
      <w:bookmarkStart w:id="5" w:name="_Toc499918287"/>
      <w:r w:rsidRPr="00DF27F9">
        <w:rPr>
          <w:color w:val="000000" w:themeColor="text1"/>
        </w:rPr>
        <w:t xml:space="preserve">Precios del petróleo y el </w:t>
      </w:r>
      <w:proofErr w:type="spellStart"/>
      <w:r w:rsidRPr="00DF27F9">
        <w:rPr>
          <w:i/>
          <w:color w:val="000000" w:themeColor="text1"/>
        </w:rPr>
        <w:t>shale</w:t>
      </w:r>
      <w:proofErr w:type="spellEnd"/>
      <w:r w:rsidRPr="00DF27F9">
        <w:rPr>
          <w:i/>
          <w:color w:val="000000" w:themeColor="text1"/>
        </w:rPr>
        <w:t xml:space="preserve"> </w:t>
      </w:r>
      <w:proofErr w:type="spellStart"/>
      <w:r w:rsidRPr="00DF27F9">
        <w:rPr>
          <w:i/>
          <w:color w:val="000000" w:themeColor="text1"/>
        </w:rPr>
        <w:t>oil</w:t>
      </w:r>
      <w:bookmarkEnd w:id="5"/>
      <w:proofErr w:type="spellEnd"/>
    </w:p>
    <w:p w14:paraId="2C17497C"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El incremento de la producción petrolera estadounidense se ha debido a la producción de petróleo no convencional, fomentado principalmente por el auge de precios petroleros en la última década. Ha crecido más allá que las predicciones dichas por diversos analistas. La EIA desde 2012, (</w:t>
      </w:r>
      <w:proofErr w:type="spellStart"/>
      <w:r w:rsidRPr="009F1996">
        <w:rPr>
          <w:rFonts w:ascii="Arial" w:hAnsi="Arial" w:cs="Arial"/>
          <w:szCs w:val="24"/>
        </w:rPr>
        <w:t>Faucon</w:t>
      </w:r>
      <w:proofErr w:type="spellEnd"/>
      <w:r w:rsidRPr="009F1996">
        <w:rPr>
          <w:rFonts w:ascii="Arial" w:hAnsi="Arial" w:cs="Arial"/>
          <w:szCs w:val="24"/>
        </w:rPr>
        <w:t>, Kent, 2012)</w:t>
      </w:r>
      <w:r w:rsidRPr="009F1996">
        <w:rPr>
          <w:rFonts w:ascii="Arial" w:hAnsi="Arial" w:cs="Arial"/>
          <w:bCs/>
          <w:szCs w:val="24"/>
        </w:rPr>
        <w:t xml:space="preserve"> </w:t>
      </w:r>
      <w:r w:rsidRPr="009F1996">
        <w:rPr>
          <w:rFonts w:ascii="Arial" w:hAnsi="Arial" w:cs="Arial"/>
          <w:szCs w:val="24"/>
        </w:rPr>
        <w:t xml:space="preserve">consideró que para 2017, Estados Unidos se convertiría en productor líder de petróleo y que para 2030 sería exportador neto; una reversión dramática de la tendencia que llevaba tradicionalmente. Actualmente el 95% de los nuevos pozos petroleros que se perforan en EE.UU. son de </w:t>
      </w:r>
      <w:proofErr w:type="spellStart"/>
      <w:r w:rsidRPr="009F1996">
        <w:rPr>
          <w:rFonts w:ascii="Arial" w:hAnsi="Arial" w:cs="Arial"/>
          <w:i/>
          <w:szCs w:val="24"/>
        </w:rPr>
        <w:t>fracking</w:t>
      </w:r>
      <w:proofErr w:type="spellEnd"/>
      <w:r w:rsidRPr="009F1996">
        <w:rPr>
          <w:rFonts w:ascii="Arial" w:hAnsi="Arial" w:cs="Arial"/>
          <w:szCs w:val="24"/>
        </w:rPr>
        <w:t xml:space="preserve"> (fracturación hidráulica) para la extracción de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o </w:t>
      </w:r>
      <w:r w:rsidRPr="009F1996">
        <w:rPr>
          <w:rFonts w:ascii="Arial" w:hAnsi="Arial" w:cs="Arial"/>
          <w:i/>
          <w:szCs w:val="24"/>
        </w:rPr>
        <w:t>gas</w:t>
      </w:r>
      <w:r w:rsidRPr="009F1996">
        <w:rPr>
          <w:rStyle w:val="Refdenotaalpie"/>
          <w:rFonts w:ascii="Arial" w:hAnsi="Arial" w:cs="Arial"/>
          <w:szCs w:val="24"/>
        </w:rPr>
        <w:footnoteReference w:id="3"/>
      </w:r>
      <w:r w:rsidRPr="009F1996">
        <w:rPr>
          <w:rFonts w:ascii="Arial" w:hAnsi="Arial" w:cs="Arial"/>
          <w:szCs w:val="24"/>
        </w:rPr>
        <w:t xml:space="preserve"> (</w:t>
      </w:r>
      <w:proofErr w:type="spellStart"/>
      <w:r w:rsidRPr="009F1996">
        <w:rPr>
          <w:rFonts w:ascii="Arial" w:hAnsi="Arial" w:cs="Arial"/>
          <w:szCs w:val="24"/>
        </w:rPr>
        <w:t>Bagnasco</w:t>
      </w:r>
      <w:proofErr w:type="spellEnd"/>
      <w:r w:rsidRPr="009F1996">
        <w:rPr>
          <w:rFonts w:ascii="Arial" w:hAnsi="Arial" w:cs="Arial"/>
          <w:szCs w:val="24"/>
        </w:rPr>
        <w:t>, 2015).</w:t>
      </w:r>
    </w:p>
    <w:p w14:paraId="146AE25B"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Una de las razones del resurgimiento de explotación petrolera estadounidense tiene que ver con las nuevas reservas encontradas en rocas </w:t>
      </w:r>
      <w:proofErr w:type="spellStart"/>
      <w:r w:rsidRPr="009F1996">
        <w:rPr>
          <w:rFonts w:ascii="Arial" w:hAnsi="Arial" w:cs="Arial"/>
          <w:i/>
          <w:szCs w:val="24"/>
        </w:rPr>
        <w:t>shale</w:t>
      </w:r>
      <w:proofErr w:type="spellEnd"/>
      <w:r w:rsidRPr="009F1996">
        <w:rPr>
          <w:rFonts w:ascii="Arial" w:hAnsi="Arial" w:cs="Arial"/>
          <w:szCs w:val="24"/>
        </w:rPr>
        <w:t>. Gracias a las nuevas técnicas de fracturación hidráulica y perforación horizontal se han vuelto accesibles y costeables para la extracción en relación a los altos precios internacionales.</w:t>
      </w:r>
    </w:p>
    <w:p w14:paraId="637A7B66"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La intensidad de perforado, en relación al precio, es el punto clave para entender la evolución de la actividad del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en los Estados Unidos de acuerdo con </w:t>
      </w:r>
      <w:proofErr w:type="spellStart"/>
      <w:r w:rsidRPr="009F1996">
        <w:rPr>
          <w:rFonts w:ascii="Arial" w:hAnsi="Arial" w:cs="Arial"/>
          <w:szCs w:val="24"/>
        </w:rPr>
        <w:t>Maugeri</w:t>
      </w:r>
      <w:proofErr w:type="spellEnd"/>
      <w:r w:rsidRPr="009F1996">
        <w:rPr>
          <w:rFonts w:ascii="Arial" w:hAnsi="Arial" w:cs="Arial"/>
          <w:szCs w:val="24"/>
        </w:rPr>
        <w:t xml:space="preserve"> (2013).</w:t>
      </w:r>
    </w:p>
    <w:p w14:paraId="7AA0E3D3" w14:textId="781F5B81" w:rsidR="005D23CD" w:rsidRDefault="00C569D4" w:rsidP="00AF4AFC">
      <w:pPr>
        <w:spacing w:line="360" w:lineRule="auto"/>
        <w:rPr>
          <w:rFonts w:ascii="Arial" w:hAnsi="Arial" w:cs="Arial"/>
          <w:szCs w:val="24"/>
        </w:rPr>
      </w:pPr>
      <w:r>
        <w:rPr>
          <w:rFonts w:ascii="Arial" w:hAnsi="Arial" w:cs="Arial"/>
          <w:szCs w:val="24"/>
        </w:rPr>
        <w:t xml:space="preserve">De acuerdo con el contexto de intervención estatal para el apoyo en el incremento de la producción de crudo no convencional y una intermitente participación de la industria privada, derivada de dicho apoyo, es conveniente preguntar </w:t>
      </w:r>
      <w:r w:rsidR="00A65B54" w:rsidRPr="009F1996">
        <w:rPr>
          <w:rFonts w:ascii="Arial" w:hAnsi="Arial" w:cs="Arial"/>
          <w:szCs w:val="24"/>
        </w:rPr>
        <w:t>¿</w:t>
      </w:r>
      <w:r>
        <w:rPr>
          <w:rFonts w:ascii="Arial" w:hAnsi="Arial" w:cs="Arial"/>
          <w:szCs w:val="24"/>
        </w:rPr>
        <w:t>q</w:t>
      </w:r>
      <w:r w:rsidR="00A65B54" w:rsidRPr="009F1996">
        <w:rPr>
          <w:rFonts w:ascii="Arial" w:hAnsi="Arial" w:cs="Arial"/>
          <w:szCs w:val="24"/>
        </w:rPr>
        <w:t xml:space="preserve">ué intereses se encontraban detrás de los incentivos al desarrollo de la industria del </w:t>
      </w:r>
      <w:r w:rsidR="00854601">
        <w:rPr>
          <w:rFonts w:ascii="Arial" w:hAnsi="Arial" w:cs="Arial"/>
          <w:szCs w:val="24"/>
        </w:rPr>
        <w:t xml:space="preserve">petróleo </w:t>
      </w:r>
      <w:proofErr w:type="spellStart"/>
      <w:r w:rsidR="00A65B54" w:rsidRPr="00854601">
        <w:rPr>
          <w:rFonts w:ascii="Arial" w:hAnsi="Arial" w:cs="Arial"/>
          <w:i/>
          <w:szCs w:val="24"/>
        </w:rPr>
        <w:t>shale</w:t>
      </w:r>
      <w:proofErr w:type="spellEnd"/>
      <w:r w:rsidR="00A65B54" w:rsidRPr="009F1996">
        <w:rPr>
          <w:rFonts w:ascii="Arial" w:hAnsi="Arial" w:cs="Arial"/>
          <w:szCs w:val="24"/>
        </w:rPr>
        <w:t>?</w:t>
      </w:r>
    </w:p>
    <w:p w14:paraId="7B319C22" w14:textId="1B991030" w:rsidR="00A65B54" w:rsidRDefault="00C569D4" w:rsidP="00C569D4">
      <w:pPr>
        <w:spacing w:line="360" w:lineRule="auto"/>
        <w:rPr>
          <w:rFonts w:ascii="Arial" w:eastAsia="Times New Roman" w:hAnsi="Arial" w:cs="Arial"/>
          <w:color w:val="000000"/>
          <w:szCs w:val="24"/>
          <w:lang w:eastAsia="es-MX"/>
        </w:rPr>
      </w:pPr>
      <w:r>
        <w:rPr>
          <w:rFonts w:ascii="Arial" w:hAnsi="Arial" w:cs="Arial"/>
          <w:szCs w:val="24"/>
        </w:rPr>
        <w:t>Para responder a la pregunta, se buscará e</w:t>
      </w:r>
      <w:r w:rsidR="005D23CD" w:rsidRPr="009F1996">
        <w:rPr>
          <w:rFonts w:ascii="Arial" w:eastAsia="Times New Roman" w:hAnsi="Arial" w:cs="Arial"/>
          <w:color w:val="000000"/>
          <w:szCs w:val="24"/>
          <w:lang w:eastAsia="es-MX"/>
        </w:rPr>
        <w:t xml:space="preserve">stablecer la relación que existe entre el desarrollo de la industria de </w:t>
      </w:r>
      <w:proofErr w:type="spellStart"/>
      <w:r w:rsidR="005D23CD" w:rsidRPr="009F1996">
        <w:rPr>
          <w:rFonts w:ascii="Arial" w:eastAsia="Times New Roman" w:hAnsi="Arial" w:cs="Arial"/>
          <w:i/>
          <w:color w:val="000000"/>
          <w:szCs w:val="24"/>
          <w:lang w:eastAsia="es-MX"/>
        </w:rPr>
        <w:t>shale</w:t>
      </w:r>
      <w:proofErr w:type="spellEnd"/>
      <w:r w:rsidR="005D23CD" w:rsidRPr="009F1996">
        <w:rPr>
          <w:rFonts w:ascii="Arial" w:eastAsia="Times New Roman" w:hAnsi="Arial" w:cs="Arial"/>
          <w:i/>
          <w:color w:val="000000"/>
          <w:szCs w:val="24"/>
          <w:lang w:eastAsia="es-MX"/>
        </w:rPr>
        <w:t xml:space="preserve"> </w:t>
      </w:r>
      <w:proofErr w:type="spellStart"/>
      <w:r w:rsidR="005D23CD" w:rsidRPr="009F1996">
        <w:rPr>
          <w:rFonts w:ascii="Arial" w:eastAsia="Times New Roman" w:hAnsi="Arial" w:cs="Arial"/>
          <w:i/>
          <w:color w:val="000000"/>
          <w:szCs w:val="24"/>
          <w:lang w:eastAsia="es-MX"/>
        </w:rPr>
        <w:t>oil</w:t>
      </w:r>
      <w:proofErr w:type="spellEnd"/>
      <w:r w:rsidR="005D23CD" w:rsidRPr="009F1996">
        <w:rPr>
          <w:rFonts w:ascii="Arial" w:eastAsia="Times New Roman" w:hAnsi="Arial" w:cs="Arial"/>
          <w:color w:val="000000"/>
          <w:szCs w:val="24"/>
          <w:lang w:eastAsia="es-MX"/>
        </w:rPr>
        <w:t xml:space="preserve"> y analizar si responde a los </w:t>
      </w:r>
      <w:r w:rsidR="00A65B54" w:rsidRPr="009F1996">
        <w:rPr>
          <w:rFonts w:ascii="Arial" w:eastAsia="Times New Roman" w:hAnsi="Arial" w:cs="Arial"/>
          <w:color w:val="000000"/>
          <w:szCs w:val="24"/>
          <w:lang w:eastAsia="es-MX"/>
        </w:rPr>
        <w:t>intereses particulares de la industria</w:t>
      </w:r>
      <w:r w:rsidR="005D23CD" w:rsidRPr="009F1996">
        <w:rPr>
          <w:rFonts w:ascii="Arial" w:eastAsia="Times New Roman" w:hAnsi="Arial" w:cs="Arial"/>
          <w:color w:val="000000"/>
          <w:szCs w:val="24"/>
          <w:lang w:eastAsia="es-MX"/>
        </w:rPr>
        <w:t xml:space="preserve"> o a estrategias de seguridad nacional.</w:t>
      </w:r>
      <w:r>
        <w:rPr>
          <w:rFonts w:ascii="Arial" w:eastAsia="Times New Roman" w:hAnsi="Arial" w:cs="Arial"/>
          <w:color w:val="000000"/>
          <w:szCs w:val="24"/>
          <w:lang w:eastAsia="es-MX"/>
        </w:rPr>
        <w:t xml:space="preserve"> Primero se analizarán</w:t>
      </w:r>
      <w:r w:rsidR="00A65B54" w:rsidRPr="009F1996">
        <w:rPr>
          <w:rFonts w:ascii="Arial" w:eastAsia="Times New Roman" w:hAnsi="Arial" w:cs="Arial"/>
          <w:color w:val="000000"/>
          <w:szCs w:val="24"/>
          <w:lang w:eastAsia="es-MX"/>
        </w:rPr>
        <w:t xml:space="preserve"> los incentivos </w:t>
      </w:r>
      <w:r w:rsidR="00A65B54" w:rsidRPr="009F1996">
        <w:rPr>
          <w:rFonts w:ascii="Arial" w:eastAsia="Times New Roman" w:hAnsi="Arial" w:cs="Arial"/>
          <w:color w:val="000000"/>
          <w:szCs w:val="24"/>
          <w:lang w:eastAsia="es-MX"/>
        </w:rPr>
        <w:lastRenderedPageBreak/>
        <w:t>legales y fiscales a la inversión privada por parte del gobierno estadounidense por razones de seguridad nacional.</w:t>
      </w:r>
      <w:r>
        <w:rPr>
          <w:rFonts w:ascii="Arial" w:eastAsia="Times New Roman" w:hAnsi="Arial" w:cs="Arial"/>
          <w:color w:val="000000"/>
          <w:szCs w:val="24"/>
          <w:lang w:eastAsia="es-MX"/>
        </w:rPr>
        <w:t xml:space="preserve"> Y en segundo lugar, se realizará un aná</w:t>
      </w:r>
      <w:r w:rsidR="00A65B54" w:rsidRPr="009F1996">
        <w:rPr>
          <w:rFonts w:ascii="Arial" w:eastAsia="Times New Roman" w:hAnsi="Arial" w:cs="Arial"/>
          <w:color w:val="000000"/>
          <w:szCs w:val="24"/>
          <w:lang w:eastAsia="es-MX"/>
        </w:rPr>
        <w:t>lisis del proceso político de los incentivos de las regulaciones para descubrir los intereses reales detrás de los mismos</w:t>
      </w:r>
      <w:r>
        <w:rPr>
          <w:rFonts w:ascii="Arial" w:eastAsia="Times New Roman" w:hAnsi="Arial" w:cs="Arial"/>
          <w:color w:val="000000"/>
          <w:szCs w:val="24"/>
          <w:lang w:eastAsia="es-MX"/>
        </w:rPr>
        <w:t>.</w:t>
      </w:r>
    </w:p>
    <w:p w14:paraId="460B0B17" w14:textId="49DDA4CB" w:rsidR="005D23CD" w:rsidRPr="009F1996" w:rsidRDefault="00C569D4" w:rsidP="005D23CD">
      <w:pPr>
        <w:spacing w:line="360" w:lineRule="auto"/>
        <w:rPr>
          <w:rFonts w:ascii="Arial" w:hAnsi="Arial" w:cs="Arial"/>
          <w:szCs w:val="24"/>
        </w:rPr>
      </w:pPr>
      <w:r>
        <w:rPr>
          <w:rFonts w:ascii="Arial" w:eastAsia="Times New Roman" w:hAnsi="Arial" w:cs="Arial"/>
          <w:color w:val="000000"/>
          <w:szCs w:val="24"/>
          <w:lang w:eastAsia="es-MX"/>
        </w:rPr>
        <w:t>Resolver sobre esta cuestión es importante ya que e</w:t>
      </w:r>
      <w:r w:rsidR="005D23CD" w:rsidRPr="009F1996">
        <w:rPr>
          <w:rFonts w:ascii="Arial" w:hAnsi="Arial" w:cs="Arial"/>
          <w:szCs w:val="24"/>
        </w:rPr>
        <w:t xml:space="preserve">l petróleo tiene un impacto considerable en el desarrollo económico y en la seguridad energética de las naciones. La producción de petróleo convencional ha sido exponencial en el S.XX y lo que va del S. XXI. Sin embargo, se han desarrollado nuevas tecnologías con el objetivo de reducir la dependencia de países consumidores de éste insumo. Esta nueva búsqueda ha derivado en un </w:t>
      </w:r>
      <w:r w:rsidR="005D23CD" w:rsidRPr="009F1996">
        <w:rPr>
          <w:rFonts w:ascii="Arial" w:hAnsi="Arial" w:cs="Arial"/>
          <w:i/>
          <w:szCs w:val="24"/>
        </w:rPr>
        <w:t>boom</w:t>
      </w:r>
      <w:r w:rsidR="005D23CD" w:rsidRPr="009F1996">
        <w:rPr>
          <w:rFonts w:ascii="Arial" w:hAnsi="Arial" w:cs="Arial"/>
          <w:szCs w:val="24"/>
        </w:rPr>
        <w:t xml:space="preserve"> para el desarrollo del </w:t>
      </w:r>
      <w:proofErr w:type="spellStart"/>
      <w:r w:rsidR="005D23CD" w:rsidRPr="009F1996">
        <w:rPr>
          <w:rFonts w:ascii="Arial" w:hAnsi="Arial" w:cs="Arial"/>
          <w:i/>
          <w:szCs w:val="24"/>
        </w:rPr>
        <w:t>shale</w:t>
      </w:r>
      <w:proofErr w:type="spellEnd"/>
      <w:r w:rsidR="005D23CD" w:rsidRPr="009F1996">
        <w:rPr>
          <w:rFonts w:ascii="Arial" w:hAnsi="Arial" w:cs="Arial"/>
          <w:i/>
          <w:szCs w:val="24"/>
        </w:rPr>
        <w:t xml:space="preserve"> </w:t>
      </w:r>
      <w:proofErr w:type="spellStart"/>
      <w:r w:rsidR="005D23CD" w:rsidRPr="009F1996">
        <w:rPr>
          <w:rFonts w:ascii="Arial" w:hAnsi="Arial" w:cs="Arial"/>
          <w:i/>
          <w:szCs w:val="24"/>
        </w:rPr>
        <w:t>oil</w:t>
      </w:r>
      <w:proofErr w:type="spellEnd"/>
      <w:r w:rsidR="005D23CD" w:rsidRPr="009F1996">
        <w:rPr>
          <w:rFonts w:ascii="Arial" w:hAnsi="Arial" w:cs="Arial"/>
          <w:szCs w:val="24"/>
        </w:rPr>
        <w:t xml:space="preserve"> como recurso no convencional alternativo. </w:t>
      </w:r>
    </w:p>
    <w:p w14:paraId="30B544E7"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Estados Unidos ha sido el país que más ha invertido en investigación y desarrollo tecnológico para la extracción del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y su procesamiento, dando lugar a nuevas  técnicas de extracción como la fracturación</w:t>
      </w:r>
      <w:r w:rsidRPr="009F1996">
        <w:rPr>
          <w:rFonts w:ascii="Arial" w:hAnsi="Arial" w:cs="Arial"/>
          <w:i/>
          <w:szCs w:val="24"/>
        </w:rPr>
        <w:t xml:space="preserve"> </w:t>
      </w:r>
      <w:r w:rsidRPr="009F1996">
        <w:rPr>
          <w:rFonts w:ascii="Arial" w:hAnsi="Arial" w:cs="Arial"/>
          <w:szCs w:val="24"/>
        </w:rPr>
        <w:t xml:space="preserve">hidráulica. </w:t>
      </w:r>
    </w:p>
    <w:p w14:paraId="352119B3"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Aunado lo anterior a que el recurso se encuentra depositado en vastas extensiones terrestres, surge la posibilidad de que EE.UU. se convierta en el principal productor petrolero en pocos años por venir (Carroll, 2015).</w:t>
      </w:r>
    </w:p>
    <w:p w14:paraId="51E3C251"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EE.UU. va en camino a la autosuficiencia energética, lo que impacta al mercado petrolero mundial, especialmente para los países productores (como México) y exportadores de petróleo que fijaban su destino de comercio en EE.UU (Carroll, 2015). </w:t>
      </w:r>
    </w:p>
    <w:p w14:paraId="29A2728C"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La consultora </w:t>
      </w:r>
      <w:r w:rsidRPr="009F1996">
        <w:rPr>
          <w:rFonts w:ascii="Arial" w:hAnsi="Arial" w:cs="Arial"/>
          <w:i/>
          <w:szCs w:val="24"/>
        </w:rPr>
        <w:t xml:space="preserve">PIRA </w:t>
      </w:r>
      <w:proofErr w:type="spellStart"/>
      <w:r w:rsidRPr="009F1996">
        <w:rPr>
          <w:rFonts w:ascii="Arial" w:hAnsi="Arial" w:cs="Arial"/>
          <w:i/>
          <w:szCs w:val="24"/>
        </w:rPr>
        <w:t>Energy</w:t>
      </w:r>
      <w:proofErr w:type="spellEnd"/>
      <w:r w:rsidRPr="009F1996">
        <w:rPr>
          <w:rFonts w:ascii="Arial" w:hAnsi="Arial" w:cs="Arial"/>
          <w:i/>
          <w:szCs w:val="24"/>
        </w:rPr>
        <w:t xml:space="preserve"> </w:t>
      </w:r>
      <w:r w:rsidRPr="009F1996">
        <w:rPr>
          <w:rFonts w:ascii="Arial" w:hAnsi="Arial" w:cs="Arial"/>
          <w:szCs w:val="24"/>
        </w:rPr>
        <w:t xml:space="preserve">publicó un reporte en 2013 donde situaba a la producción </w:t>
      </w:r>
      <w:proofErr w:type="spellStart"/>
      <w:r w:rsidRPr="009F1996">
        <w:rPr>
          <w:rFonts w:ascii="Arial" w:hAnsi="Arial" w:cs="Arial"/>
          <w:i/>
          <w:szCs w:val="24"/>
        </w:rPr>
        <w:t>shale</w:t>
      </w:r>
      <w:proofErr w:type="spellEnd"/>
      <w:r w:rsidRPr="009F1996">
        <w:rPr>
          <w:rFonts w:ascii="Arial" w:hAnsi="Arial" w:cs="Arial"/>
          <w:i/>
          <w:szCs w:val="24"/>
        </w:rPr>
        <w:t xml:space="preserve"> </w:t>
      </w:r>
      <w:r w:rsidRPr="009F1996">
        <w:rPr>
          <w:rFonts w:ascii="Arial" w:hAnsi="Arial" w:cs="Arial"/>
          <w:szCs w:val="24"/>
        </w:rPr>
        <w:t xml:space="preserve">como una de las principales fuerzas motoras que permiten lograr la autosuficiencia energética en EE.UU. (OGJ </w:t>
      </w:r>
      <w:proofErr w:type="spellStart"/>
      <w:r w:rsidRPr="009F1996">
        <w:rPr>
          <w:rFonts w:ascii="Arial" w:hAnsi="Arial" w:cs="Arial"/>
          <w:szCs w:val="24"/>
        </w:rPr>
        <w:t>editors</w:t>
      </w:r>
      <w:proofErr w:type="spellEnd"/>
      <w:r w:rsidRPr="009F1996">
        <w:rPr>
          <w:rFonts w:ascii="Arial" w:hAnsi="Arial" w:cs="Arial"/>
          <w:szCs w:val="24"/>
        </w:rPr>
        <w:t>, 2013)</w:t>
      </w:r>
    </w:p>
    <w:p w14:paraId="58112585"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Dicho lo anterior, es importante analizar la evolución de la industria de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en EE. UU. </w:t>
      </w:r>
      <w:proofErr w:type="gramStart"/>
      <w:r w:rsidRPr="009F1996">
        <w:rPr>
          <w:rFonts w:ascii="Arial" w:hAnsi="Arial" w:cs="Arial"/>
          <w:szCs w:val="24"/>
        </w:rPr>
        <w:t>y</w:t>
      </w:r>
      <w:proofErr w:type="gramEnd"/>
      <w:r w:rsidRPr="009F1996">
        <w:rPr>
          <w:rFonts w:ascii="Arial" w:hAnsi="Arial" w:cs="Arial"/>
          <w:szCs w:val="24"/>
        </w:rPr>
        <w:t xml:space="preserve"> entender las causas que la han impulsado.</w:t>
      </w:r>
    </w:p>
    <w:p w14:paraId="40CAF327" w14:textId="7679C729" w:rsidR="005D23CD" w:rsidRPr="00DF27F9" w:rsidRDefault="005D23CD" w:rsidP="00DF27F9">
      <w:pPr>
        <w:pStyle w:val="Ttulo1"/>
        <w:rPr>
          <w:color w:val="000000" w:themeColor="text1"/>
        </w:rPr>
      </w:pPr>
      <w:r w:rsidRPr="00DF27F9">
        <w:rPr>
          <w:color w:val="000000" w:themeColor="text1"/>
          <w:szCs w:val="24"/>
        </w:rPr>
        <w:br w:type="page"/>
      </w:r>
      <w:bookmarkStart w:id="6" w:name="_Toc499918288"/>
      <w:r w:rsidRPr="00DF27F9">
        <w:rPr>
          <w:color w:val="000000" w:themeColor="text1"/>
        </w:rPr>
        <w:lastRenderedPageBreak/>
        <w:t>Marco Teórico</w:t>
      </w:r>
      <w:bookmarkEnd w:id="6"/>
    </w:p>
    <w:p w14:paraId="031374C3" w14:textId="77777777" w:rsidR="00A65B54" w:rsidRPr="009F1996" w:rsidRDefault="00A65B54" w:rsidP="005D23CD">
      <w:pPr>
        <w:spacing w:line="360" w:lineRule="auto"/>
        <w:rPr>
          <w:rFonts w:ascii="Arial" w:hAnsi="Arial" w:cs="Arial"/>
          <w:szCs w:val="24"/>
        </w:rPr>
      </w:pPr>
    </w:p>
    <w:p w14:paraId="44DF08F7" w14:textId="170F94BD"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propósito del presente estudio es probar qué factores, han sido los motivadores principales del desarrollo de la industria del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en Estados Unidos en el periodo del año 2000 a 2016. Se ha elegido la teoría del neorrealismo en las relaciones internacionales. Se busca explicar </w:t>
      </w:r>
      <w:r w:rsidR="00ED77CD" w:rsidRPr="009F1996">
        <w:rPr>
          <w:rFonts w:ascii="Arial" w:hAnsi="Arial" w:cs="Arial"/>
          <w:szCs w:val="24"/>
        </w:rPr>
        <w:t xml:space="preserve">dicha </w:t>
      </w:r>
      <w:r w:rsidRPr="009F1996">
        <w:rPr>
          <w:rFonts w:ascii="Arial" w:hAnsi="Arial" w:cs="Arial"/>
          <w:szCs w:val="24"/>
        </w:rPr>
        <w:t>perspectiva el desarrollo de esta industria, buscando paralelismos entre los conceptos teóricos y los eventos en el periodo señalado.</w:t>
      </w:r>
    </w:p>
    <w:p w14:paraId="0B45BCD0" w14:textId="77777777" w:rsidR="009F1996" w:rsidRDefault="009F1996" w:rsidP="009F1996">
      <w:pPr>
        <w:spacing w:line="360" w:lineRule="auto"/>
        <w:rPr>
          <w:rFonts w:ascii="Arial" w:hAnsi="Arial" w:cs="Arial"/>
          <w:b/>
          <w:szCs w:val="24"/>
        </w:rPr>
      </w:pPr>
    </w:p>
    <w:p w14:paraId="3B67D7DA" w14:textId="77777777" w:rsidR="005D23CD" w:rsidRPr="00DF27F9" w:rsidRDefault="005D23CD" w:rsidP="00DF27F9">
      <w:pPr>
        <w:pStyle w:val="Ttulo2"/>
        <w:spacing w:after="240"/>
        <w:rPr>
          <w:color w:val="000000" w:themeColor="text1"/>
        </w:rPr>
      </w:pPr>
      <w:bookmarkStart w:id="7" w:name="_Toc499918289"/>
      <w:r w:rsidRPr="00DF27F9">
        <w:rPr>
          <w:color w:val="000000" w:themeColor="text1"/>
        </w:rPr>
        <w:t>Neorrealismo</w:t>
      </w:r>
      <w:bookmarkEnd w:id="7"/>
    </w:p>
    <w:p w14:paraId="19D0A428"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prefijo ‘neo’ en “neorrealismo” denota que la teoría es una reformulación de la tradición teórica anterior, el realismo. El realismo clásico es la primera construcción teórica en el campo de estudio de las Relaciones Internacionales (Chacón &amp; De Alba, 2014) y es el antecesor de la propuesta de Kenneth </w:t>
      </w:r>
      <w:proofErr w:type="spellStart"/>
      <w:r w:rsidRPr="009F1996">
        <w:rPr>
          <w:rFonts w:ascii="Arial" w:hAnsi="Arial" w:cs="Arial"/>
          <w:szCs w:val="24"/>
        </w:rPr>
        <w:t>Waltz</w:t>
      </w:r>
      <w:proofErr w:type="spellEnd"/>
      <w:r w:rsidRPr="009F1996">
        <w:rPr>
          <w:rFonts w:ascii="Arial" w:hAnsi="Arial" w:cs="Arial"/>
          <w:szCs w:val="24"/>
        </w:rPr>
        <w:t xml:space="preserve"> en 1979 (</w:t>
      </w:r>
      <w:proofErr w:type="spellStart"/>
      <w:r w:rsidRPr="009F1996">
        <w:rPr>
          <w:rFonts w:ascii="Arial" w:hAnsi="Arial" w:cs="Arial"/>
          <w:szCs w:val="24"/>
        </w:rPr>
        <w:t>Dannreuther</w:t>
      </w:r>
      <w:proofErr w:type="spellEnd"/>
      <w:r w:rsidRPr="009F1996">
        <w:rPr>
          <w:rFonts w:ascii="Arial" w:hAnsi="Arial" w:cs="Arial"/>
          <w:szCs w:val="24"/>
        </w:rPr>
        <w:t>, 2010) de crear un nuevo modelo teórico que formalizara el enfoque clásico que se encontraba falto de rigor científico, ya que reflexionaba desde la filosofía y la historia, sin tener método científico ni incluir datos comprobables (Barbé, 1990).</w:t>
      </w:r>
    </w:p>
    <w:p w14:paraId="743663D3"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realismo clásico y las vertientes que surgen de él intentan teorizar sobre el estudio de las relaciones internacionales así como de los factores que llevan a los Estados a crear su política exterior (Feng &amp; </w:t>
      </w:r>
      <w:proofErr w:type="spellStart"/>
      <w:r w:rsidRPr="009F1996">
        <w:rPr>
          <w:rFonts w:ascii="Arial" w:hAnsi="Arial" w:cs="Arial"/>
          <w:szCs w:val="24"/>
        </w:rPr>
        <w:t>Ruizhang</w:t>
      </w:r>
      <w:proofErr w:type="spellEnd"/>
      <w:r w:rsidRPr="009F1996">
        <w:rPr>
          <w:rFonts w:ascii="Arial" w:hAnsi="Arial" w:cs="Arial"/>
          <w:szCs w:val="24"/>
        </w:rPr>
        <w:t>, 2006).</w:t>
      </w:r>
    </w:p>
    <w:p w14:paraId="65A098ED"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En la teoría neorrealista, </w:t>
      </w:r>
      <w:proofErr w:type="spellStart"/>
      <w:r w:rsidRPr="009F1996">
        <w:rPr>
          <w:rFonts w:ascii="Arial" w:hAnsi="Arial" w:cs="Arial"/>
          <w:szCs w:val="24"/>
        </w:rPr>
        <w:t>Waltz</w:t>
      </w:r>
      <w:proofErr w:type="spellEnd"/>
      <w:r w:rsidRPr="009F1996">
        <w:rPr>
          <w:rFonts w:ascii="Arial" w:hAnsi="Arial" w:cs="Arial"/>
          <w:szCs w:val="24"/>
        </w:rPr>
        <w:t xml:space="preserve"> (1979) propone que la estructura del sistema internacional determina y limita las conductas y actividades de los Estados para que actúen en un contexto específico. La distribución de capacidades y poder entre Estados se establece bajo la posición de cada uno dentro del sistema y la condición de anarquía que predomina en la estructura de las relaciones internacionales (</w:t>
      </w:r>
      <w:proofErr w:type="spellStart"/>
      <w:r w:rsidRPr="009F1996">
        <w:rPr>
          <w:rFonts w:ascii="Arial" w:hAnsi="Arial" w:cs="Arial"/>
          <w:szCs w:val="24"/>
        </w:rPr>
        <w:t>Donnelly</w:t>
      </w:r>
      <w:proofErr w:type="spellEnd"/>
      <w:r w:rsidRPr="009F1996">
        <w:rPr>
          <w:rFonts w:ascii="Arial" w:hAnsi="Arial" w:cs="Arial"/>
          <w:szCs w:val="24"/>
        </w:rPr>
        <w:t>, 2009). Asimismo, la naturaleza interna de cada Estado, no tiene un impacto material en la estructura de las relaciones internacionales (</w:t>
      </w:r>
      <w:proofErr w:type="spellStart"/>
      <w:r w:rsidRPr="009F1996">
        <w:rPr>
          <w:rFonts w:ascii="Arial" w:hAnsi="Arial" w:cs="Arial"/>
          <w:szCs w:val="24"/>
        </w:rPr>
        <w:t>Dannreuther</w:t>
      </w:r>
      <w:proofErr w:type="spellEnd"/>
      <w:r w:rsidRPr="009F1996">
        <w:rPr>
          <w:rFonts w:ascii="Arial" w:hAnsi="Arial" w:cs="Arial"/>
          <w:szCs w:val="24"/>
        </w:rPr>
        <w:t>, 2010).</w:t>
      </w:r>
    </w:p>
    <w:p w14:paraId="5D179EED"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Dicho lo anterior, se pueden ordenar los elementos principales de la teoría neorrealista de la siguiente forma para su posterior definición y análisis: Estructura, Anarquía, Unidades, Poder, Seguridad e Interés Nacional.</w:t>
      </w:r>
    </w:p>
    <w:p w14:paraId="6E38DA56" w14:textId="746EC464" w:rsidR="005D23CD" w:rsidRPr="009F1996" w:rsidRDefault="005D23CD" w:rsidP="00DF27F9">
      <w:pPr>
        <w:pStyle w:val="Ttulo2"/>
        <w:spacing w:after="240"/>
      </w:pPr>
      <w:bookmarkStart w:id="8" w:name="_Toc499918290"/>
      <w:r w:rsidRPr="00DF27F9">
        <w:rPr>
          <w:color w:val="000000" w:themeColor="text1"/>
        </w:rPr>
        <w:lastRenderedPageBreak/>
        <w:t>Estructura</w:t>
      </w:r>
      <w:bookmarkEnd w:id="8"/>
    </w:p>
    <w:p w14:paraId="161D1932" w14:textId="5CC49686" w:rsidR="005D23CD" w:rsidRPr="009F1996" w:rsidRDefault="005D23CD" w:rsidP="005D23C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line="360" w:lineRule="auto"/>
        <w:rPr>
          <w:rFonts w:ascii="Arial" w:hAnsi="Arial" w:cs="Arial"/>
          <w:szCs w:val="24"/>
        </w:rPr>
      </w:pPr>
      <w:r w:rsidRPr="009F1996">
        <w:rPr>
          <w:rFonts w:ascii="Arial" w:hAnsi="Arial" w:cs="Arial"/>
          <w:szCs w:val="24"/>
        </w:rPr>
        <w:t>Los Estados son la principal unidad de análisis del neorrealismo. Su comportamiento es racional y se consideran en términos de igualdad desde que tienen un estatus de soberanos. Son iguales en necesidades por el constreñimiento de la estructura y se distinguen entre ellos por la forma de su estructura interna (</w:t>
      </w:r>
      <w:proofErr w:type="spellStart"/>
      <w:r w:rsidRPr="009F1996">
        <w:rPr>
          <w:rFonts w:ascii="Arial" w:hAnsi="Arial" w:cs="Arial"/>
          <w:szCs w:val="24"/>
        </w:rPr>
        <w:t>Waltz</w:t>
      </w:r>
      <w:proofErr w:type="spellEnd"/>
      <w:r w:rsidRPr="009F1996">
        <w:rPr>
          <w:rFonts w:ascii="Arial" w:hAnsi="Arial" w:cs="Arial"/>
          <w:szCs w:val="24"/>
        </w:rPr>
        <w:t xml:space="preserve">, 1990). Sin embargo, cada Estado --aun con su estatus intrínseco de igualdad frente a los demás-- tiene una posición diferente dentro de la estructura. Lo anterior determina su habilidad de alcanzar la satisfacción de sus necesidades. Por lo tanto, su comportamiento producirá diferentes resultados. </w:t>
      </w:r>
      <w:proofErr w:type="spellStart"/>
      <w:r w:rsidRPr="009F1996">
        <w:rPr>
          <w:rFonts w:ascii="Arial" w:hAnsi="Arial" w:cs="Arial"/>
          <w:szCs w:val="24"/>
        </w:rPr>
        <w:t>Waltz</w:t>
      </w:r>
      <w:proofErr w:type="spellEnd"/>
      <w:r w:rsidRPr="009F1996">
        <w:rPr>
          <w:rFonts w:ascii="Arial" w:hAnsi="Arial" w:cs="Arial"/>
          <w:szCs w:val="24"/>
        </w:rPr>
        <w:t xml:space="preserve"> (1979) lo explica como </w:t>
      </w:r>
      <w:r w:rsidR="00854601">
        <w:rPr>
          <w:rFonts w:ascii="Arial" w:hAnsi="Arial" w:cs="Arial"/>
          <w:szCs w:val="24"/>
        </w:rPr>
        <w:t xml:space="preserve">la </w:t>
      </w:r>
      <w:r w:rsidRPr="009F1996">
        <w:rPr>
          <w:rFonts w:ascii="Arial" w:hAnsi="Arial" w:cs="Arial"/>
          <w:szCs w:val="24"/>
        </w:rPr>
        <w:t>distribución de capacidades dentro del sistema internacional.</w:t>
      </w:r>
    </w:p>
    <w:p w14:paraId="755C41B1"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La estructura del sistema internacional surge de la interacción entre los Estados y es el escenario donde ocurren las interacciones entre los distintos actores (</w:t>
      </w:r>
      <w:proofErr w:type="spellStart"/>
      <w:r w:rsidRPr="009F1996">
        <w:rPr>
          <w:rFonts w:ascii="Arial" w:hAnsi="Arial" w:cs="Arial"/>
          <w:szCs w:val="24"/>
        </w:rPr>
        <w:t>Viotti</w:t>
      </w:r>
      <w:proofErr w:type="spellEnd"/>
      <w:r w:rsidRPr="009F1996">
        <w:rPr>
          <w:rFonts w:ascii="Arial" w:hAnsi="Arial" w:cs="Arial"/>
          <w:szCs w:val="24"/>
        </w:rPr>
        <w:t xml:space="preserve"> &amp; </w:t>
      </w:r>
      <w:proofErr w:type="spellStart"/>
      <w:r w:rsidRPr="009F1996">
        <w:rPr>
          <w:rFonts w:ascii="Arial" w:hAnsi="Arial" w:cs="Arial"/>
          <w:szCs w:val="24"/>
        </w:rPr>
        <w:t>Kaupp</w:t>
      </w:r>
      <w:proofErr w:type="spellEnd"/>
      <w:r w:rsidRPr="009F1996">
        <w:rPr>
          <w:rFonts w:ascii="Arial" w:hAnsi="Arial" w:cs="Arial"/>
          <w:szCs w:val="24"/>
        </w:rPr>
        <w:t>, 1999). Ésta constriñe o impulsa la interacción entre los Estados y otros actores no estatales (</w:t>
      </w:r>
      <w:proofErr w:type="spellStart"/>
      <w:r w:rsidRPr="009F1996">
        <w:rPr>
          <w:rFonts w:ascii="Arial" w:hAnsi="Arial" w:cs="Arial"/>
          <w:szCs w:val="24"/>
        </w:rPr>
        <w:t>Waltz</w:t>
      </w:r>
      <w:proofErr w:type="spellEnd"/>
      <w:r w:rsidRPr="009F1996">
        <w:rPr>
          <w:rFonts w:ascii="Arial" w:hAnsi="Arial" w:cs="Arial"/>
          <w:szCs w:val="24"/>
        </w:rPr>
        <w:t>, 1990) y conforme cambian las circunstancias internas o externas, las estructuras y los Estados tendrán mayor o menor peso en los resultados.</w:t>
      </w:r>
    </w:p>
    <w:p w14:paraId="6F511BC8" w14:textId="77777777" w:rsidR="005D23CD" w:rsidRPr="009F1996" w:rsidRDefault="005D23CD" w:rsidP="005D23CD">
      <w:pPr>
        <w:spacing w:line="360" w:lineRule="auto"/>
        <w:rPr>
          <w:rFonts w:ascii="Arial" w:hAnsi="Arial" w:cs="Arial"/>
          <w:szCs w:val="24"/>
        </w:rPr>
      </w:pPr>
      <w:proofErr w:type="spellStart"/>
      <w:r w:rsidRPr="009F1996">
        <w:rPr>
          <w:rFonts w:ascii="Arial" w:hAnsi="Arial" w:cs="Arial"/>
          <w:szCs w:val="24"/>
        </w:rPr>
        <w:t>Waltz</w:t>
      </w:r>
      <w:proofErr w:type="spellEnd"/>
      <w:r w:rsidRPr="009F1996">
        <w:rPr>
          <w:rFonts w:ascii="Arial" w:hAnsi="Arial" w:cs="Arial"/>
          <w:szCs w:val="24"/>
        </w:rPr>
        <w:t xml:space="preserve"> establece que el sistema político internacional en el neorrealismo es autónomo y cuenta con niveles estructurales y unitarios, distintos pero conectados entre sí debido a que las causas no son unidireccionales. Lo anterior resuelve el problema de la distinción de factores internos y externos en los sistemas políticos internacionales. De la misma manera, los medios y los fines se entienden de forma separada en el neorrealismo (</w:t>
      </w:r>
      <w:proofErr w:type="spellStart"/>
      <w:r w:rsidRPr="009F1996">
        <w:rPr>
          <w:rFonts w:ascii="Arial" w:hAnsi="Arial" w:cs="Arial"/>
          <w:szCs w:val="24"/>
        </w:rPr>
        <w:t>Waltz</w:t>
      </w:r>
      <w:proofErr w:type="spellEnd"/>
      <w:r w:rsidRPr="009F1996">
        <w:rPr>
          <w:rFonts w:ascii="Arial" w:hAnsi="Arial" w:cs="Arial"/>
          <w:szCs w:val="24"/>
        </w:rPr>
        <w:t xml:space="preserve"> 1990).</w:t>
      </w:r>
    </w:p>
    <w:p w14:paraId="15A3CADC"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neorrealismo se centra en la pregunta: ¿cómo la estructura del sistema político internacional puede distinguirse de las partes que interactúan? Una vez contestada la pregunta, se analizan los efectos de la estructura en las unidades de interacción, así como las variaciones en las unidades y cómo estas afectan los resultados aun cuando los resultados tienen causas estructurales o unitarias (Feng &amp; </w:t>
      </w:r>
      <w:proofErr w:type="spellStart"/>
      <w:r w:rsidRPr="009F1996">
        <w:rPr>
          <w:rFonts w:ascii="Arial" w:hAnsi="Arial" w:cs="Arial"/>
          <w:szCs w:val="24"/>
        </w:rPr>
        <w:t>Ruizhuang</w:t>
      </w:r>
      <w:proofErr w:type="spellEnd"/>
      <w:r w:rsidRPr="009F1996">
        <w:rPr>
          <w:rFonts w:ascii="Arial" w:hAnsi="Arial" w:cs="Arial"/>
          <w:szCs w:val="24"/>
        </w:rPr>
        <w:t>, 2006).</w:t>
      </w:r>
    </w:p>
    <w:p w14:paraId="47AA0F7F" w14:textId="557FCB81" w:rsidR="005D23CD" w:rsidRPr="009F1996" w:rsidRDefault="005D23CD" w:rsidP="005D23CD">
      <w:pPr>
        <w:spacing w:line="360" w:lineRule="auto"/>
        <w:rPr>
          <w:rFonts w:ascii="Arial" w:hAnsi="Arial" w:cs="Arial"/>
          <w:szCs w:val="24"/>
        </w:rPr>
      </w:pPr>
      <w:r w:rsidRPr="009F1996">
        <w:rPr>
          <w:rFonts w:ascii="Arial" w:hAnsi="Arial" w:cs="Arial"/>
          <w:szCs w:val="24"/>
        </w:rPr>
        <w:t xml:space="preserve">Según </w:t>
      </w:r>
      <w:proofErr w:type="spellStart"/>
      <w:r w:rsidRPr="009F1996">
        <w:rPr>
          <w:rFonts w:ascii="Arial" w:hAnsi="Arial" w:cs="Arial"/>
          <w:szCs w:val="24"/>
        </w:rPr>
        <w:t>Waltz</w:t>
      </w:r>
      <w:proofErr w:type="spellEnd"/>
      <w:r w:rsidRPr="009F1996">
        <w:rPr>
          <w:rFonts w:ascii="Arial" w:hAnsi="Arial" w:cs="Arial"/>
          <w:szCs w:val="24"/>
        </w:rPr>
        <w:t xml:space="preserve"> (1990)</w:t>
      </w:r>
      <w:r w:rsidR="00C67945">
        <w:rPr>
          <w:rFonts w:ascii="Arial" w:hAnsi="Arial" w:cs="Arial"/>
          <w:szCs w:val="24"/>
        </w:rPr>
        <w:t>,</w:t>
      </w:r>
      <w:r w:rsidRPr="009F1996">
        <w:rPr>
          <w:rFonts w:ascii="Arial" w:hAnsi="Arial" w:cs="Arial"/>
          <w:szCs w:val="24"/>
        </w:rPr>
        <w:t xml:space="preserve"> </w:t>
      </w:r>
      <w:r w:rsidR="00C67945">
        <w:rPr>
          <w:rFonts w:ascii="Arial" w:hAnsi="Arial" w:cs="Arial"/>
          <w:szCs w:val="24"/>
        </w:rPr>
        <w:t>e</w:t>
      </w:r>
      <w:r w:rsidRPr="009F1996">
        <w:rPr>
          <w:rFonts w:ascii="Arial" w:hAnsi="Arial" w:cs="Arial"/>
          <w:szCs w:val="24"/>
        </w:rPr>
        <w:t>l concepto de estructura se basa en el hecho de que las unidades se yuxtaponen y combinan</w:t>
      </w:r>
      <w:r w:rsidR="00C67945">
        <w:rPr>
          <w:rFonts w:ascii="Arial" w:hAnsi="Arial" w:cs="Arial"/>
          <w:szCs w:val="24"/>
        </w:rPr>
        <w:t>,</w:t>
      </w:r>
      <w:r w:rsidRPr="009F1996">
        <w:rPr>
          <w:rFonts w:ascii="Arial" w:hAnsi="Arial" w:cs="Arial"/>
          <w:szCs w:val="24"/>
        </w:rPr>
        <w:t xml:space="preserve"> causando que su comportamiento cambie en sus interacciones y produzca diferentes resultados. Las estructuras internacionales se definen por su principio de ordenamiento; por la distribución de capacidades entre unidades y la anarquía. Es decir, todos los sistemas estatales se parecen en que son anárquicos y no </w:t>
      </w:r>
      <w:r w:rsidRPr="009F1996">
        <w:rPr>
          <w:rFonts w:ascii="Arial" w:hAnsi="Arial" w:cs="Arial"/>
          <w:szCs w:val="24"/>
        </w:rPr>
        <w:lastRenderedPageBreak/>
        <w:t xml:space="preserve">estructuras jerárquicas (Wagner, 2010) aunque existen diferencias en la distribución del poder. </w:t>
      </w:r>
    </w:p>
    <w:p w14:paraId="4DDB2C82" w14:textId="77777777" w:rsidR="009F1996" w:rsidRDefault="009F1996" w:rsidP="005D23CD">
      <w:pPr>
        <w:spacing w:line="360" w:lineRule="auto"/>
        <w:ind w:firstLine="708"/>
        <w:rPr>
          <w:rFonts w:ascii="Arial" w:hAnsi="Arial" w:cs="Arial"/>
          <w:b/>
          <w:szCs w:val="24"/>
        </w:rPr>
      </w:pPr>
    </w:p>
    <w:p w14:paraId="6221501B" w14:textId="77777777" w:rsidR="005D23CD" w:rsidRPr="00DF27F9" w:rsidRDefault="005D23CD" w:rsidP="00DF27F9">
      <w:pPr>
        <w:pStyle w:val="Ttulo2"/>
        <w:spacing w:after="240"/>
        <w:rPr>
          <w:color w:val="000000" w:themeColor="text1"/>
        </w:rPr>
      </w:pPr>
      <w:bookmarkStart w:id="9" w:name="_Toc499918291"/>
      <w:r w:rsidRPr="00DF27F9">
        <w:rPr>
          <w:color w:val="000000" w:themeColor="text1"/>
        </w:rPr>
        <w:t>Anarquía</w:t>
      </w:r>
      <w:bookmarkEnd w:id="9"/>
    </w:p>
    <w:p w14:paraId="330AF4E6"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De acuerdo con el neorrealismo, la anarquía es el principio ordenante del sistema internacional, ya que no existe una autoridad suprema que regule las acciones de los Estados (</w:t>
      </w:r>
      <w:proofErr w:type="spellStart"/>
      <w:r w:rsidRPr="009F1996">
        <w:rPr>
          <w:rFonts w:ascii="Arial" w:hAnsi="Arial" w:cs="Arial"/>
          <w:szCs w:val="24"/>
        </w:rPr>
        <w:t>Wendt</w:t>
      </w:r>
      <w:proofErr w:type="spellEnd"/>
      <w:r w:rsidRPr="009F1996">
        <w:rPr>
          <w:rFonts w:ascii="Arial" w:hAnsi="Arial" w:cs="Arial"/>
          <w:szCs w:val="24"/>
        </w:rPr>
        <w:t xml:space="preserve">, 1992) derivando en un clima de ingobernabilidad, el cual se determina solamente por las acciones de cada uno de los estados dentro de su posición unitaria. Los Estados establecen mecanismos de ayuda propia en su búsqueda por sobrevivir (Brown &amp; </w:t>
      </w:r>
      <w:proofErr w:type="spellStart"/>
      <w:r w:rsidRPr="009F1996">
        <w:rPr>
          <w:rFonts w:ascii="Arial" w:hAnsi="Arial" w:cs="Arial"/>
          <w:szCs w:val="24"/>
        </w:rPr>
        <w:t>Ainley</w:t>
      </w:r>
      <w:proofErr w:type="spellEnd"/>
      <w:r w:rsidRPr="009F1996">
        <w:rPr>
          <w:rFonts w:ascii="Arial" w:hAnsi="Arial" w:cs="Arial"/>
          <w:szCs w:val="24"/>
        </w:rPr>
        <w:t>, 2009) encaminando sus políticas al deseo de la supervivencia.</w:t>
      </w:r>
    </w:p>
    <w:p w14:paraId="4661F445"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Las políticas que tenga el Estado al interior, en pro de su seguridad se realizarán con el fin del crecimiento de sus capacidades militares, políticas y económicas, al igual que al exterior, establecerán o crearán medios para favorecer su seguridad, ya sean alianzas, coaliciones o cualquier otro método con los </w:t>
      </w:r>
      <w:proofErr w:type="spellStart"/>
      <w:r w:rsidRPr="009F1996">
        <w:rPr>
          <w:rFonts w:ascii="Arial" w:hAnsi="Arial" w:cs="Arial"/>
          <w:szCs w:val="24"/>
        </w:rPr>
        <w:t>demas</w:t>
      </w:r>
      <w:proofErr w:type="spellEnd"/>
      <w:r w:rsidRPr="009F1996">
        <w:rPr>
          <w:rFonts w:ascii="Arial" w:hAnsi="Arial" w:cs="Arial"/>
          <w:szCs w:val="24"/>
        </w:rPr>
        <w:t xml:space="preserve"> Estados (</w:t>
      </w:r>
      <w:proofErr w:type="spellStart"/>
      <w:r w:rsidRPr="009F1996">
        <w:rPr>
          <w:rFonts w:ascii="Arial" w:hAnsi="Arial" w:cs="Arial"/>
          <w:szCs w:val="24"/>
        </w:rPr>
        <w:t>Doughert</w:t>
      </w:r>
      <w:proofErr w:type="spellEnd"/>
      <w:r w:rsidRPr="009F1996">
        <w:rPr>
          <w:rFonts w:ascii="Arial" w:hAnsi="Arial" w:cs="Arial"/>
          <w:szCs w:val="24"/>
        </w:rPr>
        <w:t xml:space="preserve"> &amp; </w:t>
      </w:r>
      <w:proofErr w:type="spellStart"/>
      <w:r w:rsidRPr="009F1996">
        <w:rPr>
          <w:rFonts w:ascii="Arial" w:hAnsi="Arial" w:cs="Arial"/>
          <w:szCs w:val="24"/>
        </w:rPr>
        <w:t>Pfaltzgraff</w:t>
      </w:r>
      <w:proofErr w:type="spellEnd"/>
      <w:r w:rsidRPr="009F1996">
        <w:rPr>
          <w:rFonts w:ascii="Arial" w:hAnsi="Arial" w:cs="Arial"/>
          <w:szCs w:val="24"/>
        </w:rPr>
        <w:t xml:space="preserve">, 2001). </w:t>
      </w:r>
    </w:p>
    <w:p w14:paraId="36E4D74E"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De acuerdo a </w:t>
      </w:r>
      <w:proofErr w:type="spellStart"/>
      <w:r w:rsidRPr="009F1996">
        <w:rPr>
          <w:rFonts w:ascii="Arial" w:hAnsi="Arial" w:cs="Arial"/>
          <w:szCs w:val="24"/>
        </w:rPr>
        <w:t>Grieco</w:t>
      </w:r>
      <w:proofErr w:type="spellEnd"/>
      <w:r w:rsidRPr="009F1996">
        <w:rPr>
          <w:rFonts w:ascii="Arial" w:hAnsi="Arial" w:cs="Arial"/>
          <w:szCs w:val="24"/>
        </w:rPr>
        <w:t xml:space="preserve"> (1988), los Estados van a buscar seguridad como respuesta al sistema anárquico y a la incertidumbre que encuentran en el sistema internacional. La incertidumbre limita la cooperación e induce a la competencia y al conflicto (Powell, 1994) fomentando la búsqueda de la obtención de poder.</w:t>
      </w:r>
    </w:p>
    <w:p w14:paraId="6C47637F" w14:textId="77777777" w:rsidR="009F1996" w:rsidRDefault="009F1996" w:rsidP="005D23CD">
      <w:pPr>
        <w:spacing w:line="360" w:lineRule="auto"/>
        <w:ind w:firstLine="708"/>
        <w:rPr>
          <w:rFonts w:ascii="Arial" w:hAnsi="Arial" w:cs="Arial"/>
          <w:b/>
          <w:szCs w:val="24"/>
        </w:rPr>
      </w:pPr>
    </w:p>
    <w:p w14:paraId="042495D2" w14:textId="77777777" w:rsidR="005D23CD" w:rsidRPr="00DF27F9" w:rsidRDefault="005D23CD" w:rsidP="00DF27F9">
      <w:pPr>
        <w:pStyle w:val="Ttulo2"/>
        <w:spacing w:after="240"/>
        <w:rPr>
          <w:color w:val="000000" w:themeColor="text1"/>
        </w:rPr>
      </w:pPr>
      <w:bookmarkStart w:id="10" w:name="_Toc499918292"/>
      <w:r w:rsidRPr="00DF27F9">
        <w:rPr>
          <w:color w:val="000000" w:themeColor="text1"/>
        </w:rPr>
        <w:t>Poder</w:t>
      </w:r>
      <w:bookmarkEnd w:id="10"/>
    </w:p>
    <w:p w14:paraId="0A943B89" w14:textId="2E79E631"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poder, para el realismo clásico, es el medio y también el fin, ya que asume que la naturaleza humana es intrínsecamente malvada (Feng &amp; </w:t>
      </w:r>
      <w:proofErr w:type="spellStart"/>
      <w:r w:rsidRPr="009F1996">
        <w:rPr>
          <w:rFonts w:ascii="Arial" w:hAnsi="Arial" w:cs="Arial"/>
          <w:szCs w:val="24"/>
        </w:rPr>
        <w:t>Ruizhuang</w:t>
      </w:r>
      <w:proofErr w:type="spellEnd"/>
      <w:r w:rsidRPr="009F1996">
        <w:rPr>
          <w:rFonts w:ascii="Arial" w:hAnsi="Arial" w:cs="Arial"/>
          <w:szCs w:val="24"/>
        </w:rPr>
        <w:t>, 2006), mientras que para el neorrealismo, el poder se busca no con la intención de poder</w:t>
      </w:r>
      <w:r w:rsidR="00C67945">
        <w:rPr>
          <w:rFonts w:ascii="Arial" w:hAnsi="Arial" w:cs="Arial"/>
          <w:szCs w:val="24"/>
        </w:rPr>
        <w:t>,</w:t>
      </w:r>
      <w:r w:rsidRPr="009F1996">
        <w:rPr>
          <w:rFonts w:ascii="Arial" w:hAnsi="Arial" w:cs="Arial"/>
          <w:szCs w:val="24"/>
        </w:rPr>
        <w:t xml:space="preserve"> </w:t>
      </w:r>
      <w:proofErr w:type="spellStart"/>
      <w:r w:rsidRPr="009F1996">
        <w:rPr>
          <w:rFonts w:ascii="Arial" w:hAnsi="Arial" w:cs="Arial"/>
          <w:szCs w:val="24"/>
        </w:rPr>
        <w:t>si no</w:t>
      </w:r>
      <w:proofErr w:type="spellEnd"/>
      <w:r w:rsidR="00C67945">
        <w:rPr>
          <w:rFonts w:ascii="Arial" w:hAnsi="Arial" w:cs="Arial"/>
          <w:szCs w:val="24"/>
        </w:rPr>
        <w:t xml:space="preserve"> para</w:t>
      </w:r>
      <w:r w:rsidRPr="009F1996">
        <w:rPr>
          <w:rFonts w:ascii="Arial" w:hAnsi="Arial" w:cs="Arial"/>
          <w:szCs w:val="24"/>
        </w:rPr>
        <w:t xml:space="preserve"> obtener seguridad. Para Hobbes, las tres causas de disputas son la competencia, la falta de seguridad o desconfianza y la gloria. La competencia lleva a pelear para ganar algo, la desconfianza </w:t>
      </w:r>
      <w:r w:rsidR="00455595">
        <w:rPr>
          <w:rFonts w:ascii="Arial" w:hAnsi="Arial" w:cs="Arial"/>
          <w:szCs w:val="24"/>
        </w:rPr>
        <w:t>obliga a</w:t>
      </w:r>
      <w:r w:rsidRPr="009F1996">
        <w:rPr>
          <w:rFonts w:ascii="Arial" w:hAnsi="Arial" w:cs="Arial"/>
          <w:szCs w:val="24"/>
        </w:rPr>
        <w:t xml:space="preserve"> mantener lo que se tiene y la gloria es</w:t>
      </w:r>
      <w:r w:rsidR="00367E4F" w:rsidRPr="009F1996">
        <w:rPr>
          <w:rFonts w:ascii="Arial" w:hAnsi="Arial" w:cs="Arial"/>
          <w:szCs w:val="24"/>
        </w:rPr>
        <w:t xml:space="preserve"> </w:t>
      </w:r>
      <w:r w:rsidRPr="009F1996">
        <w:rPr>
          <w:rFonts w:ascii="Arial" w:hAnsi="Arial" w:cs="Arial"/>
          <w:szCs w:val="24"/>
        </w:rPr>
        <w:t xml:space="preserve">luchar por una reputación. Tanto para </w:t>
      </w:r>
      <w:proofErr w:type="spellStart"/>
      <w:r w:rsidRPr="009F1996">
        <w:rPr>
          <w:rFonts w:ascii="Arial" w:hAnsi="Arial" w:cs="Arial"/>
          <w:szCs w:val="24"/>
        </w:rPr>
        <w:t>Morgenthau</w:t>
      </w:r>
      <w:proofErr w:type="spellEnd"/>
      <w:r w:rsidRPr="009F1996">
        <w:rPr>
          <w:rFonts w:ascii="Arial" w:hAnsi="Arial" w:cs="Arial"/>
          <w:szCs w:val="24"/>
        </w:rPr>
        <w:t xml:space="preserve"> como para Hobbes, (</w:t>
      </w:r>
      <w:proofErr w:type="spellStart"/>
      <w:r w:rsidRPr="009F1996">
        <w:rPr>
          <w:rFonts w:ascii="Arial" w:hAnsi="Arial" w:cs="Arial"/>
          <w:szCs w:val="24"/>
        </w:rPr>
        <w:t>Waltz</w:t>
      </w:r>
      <w:proofErr w:type="spellEnd"/>
      <w:r w:rsidRPr="009F1996">
        <w:rPr>
          <w:rFonts w:ascii="Arial" w:hAnsi="Arial" w:cs="Arial"/>
          <w:szCs w:val="24"/>
        </w:rPr>
        <w:t xml:space="preserve">, 1990) aun cuando se tiene suficiente poder y se es seguro en sus posesiones, siempre se puede desear mayor poder debido a </w:t>
      </w:r>
      <w:r w:rsidRPr="009F1996">
        <w:rPr>
          <w:rFonts w:ascii="Arial" w:hAnsi="Arial" w:cs="Arial"/>
          <w:szCs w:val="24"/>
        </w:rPr>
        <w:lastRenderedPageBreak/>
        <w:t>que se tiene un miedo de que otras naciones o cálculos erróneos lleven a otras naciones a adquirirlo.</w:t>
      </w:r>
    </w:p>
    <w:p w14:paraId="73BCAA9E"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De acuerdo a </w:t>
      </w:r>
      <w:proofErr w:type="spellStart"/>
      <w:r w:rsidRPr="009F1996">
        <w:rPr>
          <w:rFonts w:ascii="Arial" w:hAnsi="Arial" w:cs="Arial"/>
          <w:szCs w:val="24"/>
        </w:rPr>
        <w:t>Viotti</w:t>
      </w:r>
      <w:proofErr w:type="spellEnd"/>
      <w:r w:rsidRPr="009F1996">
        <w:rPr>
          <w:rFonts w:ascii="Arial" w:hAnsi="Arial" w:cs="Arial"/>
          <w:szCs w:val="24"/>
        </w:rPr>
        <w:t xml:space="preserve"> &amp; </w:t>
      </w:r>
      <w:proofErr w:type="spellStart"/>
      <w:r w:rsidRPr="009F1996">
        <w:rPr>
          <w:rFonts w:ascii="Arial" w:hAnsi="Arial" w:cs="Arial"/>
          <w:szCs w:val="24"/>
        </w:rPr>
        <w:t>Kauppi</w:t>
      </w:r>
      <w:proofErr w:type="spellEnd"/>
      <w:r w:rsidRPr="009F1996">
        <w:rPr>
          <w:rFonts w:ascii="Arial" w:hAnsi="Arial" w:cs="Arial"/>
          <w:szCs w:val="24"/>
        </w:rPr>
        <w:t xml:space="preserve"> (1999), el poder es la suma de las capacidades militares, económicas, tecnológicas y diplomáticas a disposición de un Estado.</w:t>
      </w:r>
    </w:p>
    <w:p w14:paraId="27EA63EA" w14:textId="77777777" w:rsidR="005D23CD" w:rsidRPr="009F1996" w:rsidRDefault="005D23CD" w:rsidP="005D23CD">
      <w:pPr>
        <w:spacing w:line="360" w:lineRule="auto"/>
        <w:ind w:firstLine="708"/>
        <w:rPr>
          <w:rFonts w:ascii="Arial" w:hAnsi="Arial" w:cs="Arial"/>
          <w:b/>
          <w:szCs w:val="24"/>
        </w:rPr>
      </w:pPr>
    </w:p>
    <w:p w14:paraId="6607CCDD" w14:textId="77777777" w:rsidR="005D23CD" w:rsidRPr="00DF27F9" w:rsidRDefault="005D23CD" w:rsidP="00DF27F9">
      <w:pPr>
        <w:pStyle w:val="Ttulo2"/>
        <w:spacing w:after="240"/>
        <w:rPr>
          <w:color w:val="000000" w:themeColor="text1"/>
        </w:rPr>
      </w:pPr>
      <w:bookmarkStart w:id="11" w:name="_Toc499918293"/>
      <w:r w:rsidRPr="00DF27F9">
        <w:rPr>
          <w:color w:val="000000" w:themeColor="text1"/>
        </w:rPr>
        <w:t>Seguridad</w:t>
      </w:r>
      <w:bookmarkEnd w:id="11"/>
    </w:p>
    <w:p w14:paraId="544B37B7" w14:textId="7BB1C1B2" w:rsidR="005D23CD" w:rsidRPr="009F1996" w:rsidRDefault="005D23CD" w:rsidP="005D23CD">
      <w:pPr>
        <w:spacing w:line="360" w:lineRule="auto"/>
        <w:rPr>
          <w:rFonts w:ascii="Arial" w:hAnsi="Arial" w:cs="Arial"/>
          <w:szCs w:val="24"/>
        </w:rPr>
      </w:pPr>
      <w:r w:rsidRPr="009F1996">
        <w:rPr>
          <w:rFonts w:ascii="Arial" w:hAnsi="Arial" w:cs="Arial"/>
          <w:szCs w:val="24"/>
        </w:rPr>
        <w:t>En el neorrealismo, se realiza un análisis a nivel sistémico sobre el objetivo de la naturaleza de la estructura internacional, donde el poder es el medio para la obtención de la seguridad estatal que da la certeza sobrevivencia a la unidad dentro de la estructura (</w:t>
      </w:r>
      <w:proofErr w:type="spellStart"/>
      <w:r w:rsidRPr="009F1996">
        <w:rPr>
          <w:rFonts w:ascii="Arial" w:hAnsi="Arial" w:cs="Arial"/>
          <w:szCs w:val="24"/>
        </w:rPr>
        <w:t>Dougherty</w:t>
      </w:r>
      <w:proofErr w:type="spellEnd"/>
      <w:r w:rsidRPr="009F1996">
        <w:rPr>
          <w:rFonts w:ascii="Arial" w:hAnsi="Arial" w:cs="Arial"/>
          <w:szCs w:val="24"/>
        </w:rPr>
        <w:t xml:space="preserve"> &amp; </w:t>
      </w:r>
      <w:proofErr w:type="spellStart"/>
      <w:r w:rsidRPr="009F1996">
        <w:rPr>
          <w:rFonts w:ascii="Arial" w:hAnsi="Arial" w:cs="Arial"/>
          <w:szCs w:val="24"/>
        </w:rPr>
        <w:t>Pfaltzgraff</w:t>
      </w:r>
      <w:proofErr w:type="spellEnd"/>
      <w:r w:rsidRPr="009F1996">
        <w:rPr>
          <w:rFonts w:ascii="Arial" w:hAnsi="Arial" w:cs="Arial"/>
          <w:szCs w:val="24"/>
        </w:rPr>
        <w:t xml:space="preserve">, 2001). Los Estados van a tomar las acciones que sean necesarias para que su permanencia en el tiempo sea asegurada. Mucho o poco poder </w:t>
      </w:r>
      <w:proofErr w:type="spellStart"/>
      <w:r w:rsidRPr="009F1996">
        <w:rPr>
          <w:rFonts w:ascii="Arial" w:hAnsi="Arial" w:cs="Arial"/>
          <w:szCs w:val="24"/>
        </w:rPr>
        <w:t>empuja</w:t>
      </w:r>
      <w:proofErr w:type="spellEnd"/>
      <w:r w:rsidRPr="009F1996">
        <w:rPr>
          <w:rFonts w:ascii="Arial" w:hAnsi="Arial" w:cs="Arial"/>
          <w:szCs w:val="24"/>
        </w:rPr>
        <w:t xml:space="preserve"> a los Estados a </w:t>
      </w:r>
      <w:r w:rsidR="00367E4F" w:rsidRPr="009F1996">
        <w:rPr>
          <w:rFonts w:ascii="Arial" w:hAnsi="Arial" w:cs="Arial"/>
          <w:szCs w:val="24"/>
        </w:rPr>
        <w:t>tomar</w:t>
      </w:r>
      <w:r w:rsidRPr="009F1996">
        <w:rPr>
          <w:rFonts w:ascii="Arial" w:hAnsi="Arial" w:cs="Arial"/>
          <w:szCs w:val="24"/>
        </w:rPr>
        <w:t xml:space="preserve"> diferentes riesgos. En situaciones cruciales, la mayor preocupación no es la obtención de poder si no la obtención de seguridad (</w:t>
      </w:r>
      <w:proofErr w:type="spellStart"/>
      <w:r w:rsidRPr="009F1996">
        <w:rPr>
          <w:rFonts w:ascii="Arial" w:hAnsi="Arial" w:cs="Arial"/>
          <w:szCs w:val="24"/>
        </w:rPr>
        <w:t>Waltz</w:t>
      </w:r>
      <w:proofErr w:type="spellEnd"/>
      <w:r w:rsidRPr="009F1996">
        <w:rPr>
          <w:rFonts w:ascii="Arial" w:hAnsi="Arial" w:cs="Arial"/>
          <w:szCs w:val="24"/>
        </w:rPr>
        <w:t xml:space="preserve">, 1990). </w:t>
      </w:r>
    </w:p>
    <w:p w14:paraId="64A543DD"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Para obtener seguridad, los Estados van a buscar cambiar al sistema internacional para alcanzar sus objetivos, siempre que los costos del cambio no excedan los beneficios. </w:t>
      </w:r>
      <w:proofErr w:type="spellStart"/>
      <w:r w:rsidRPr="009F1996">
        <w:rPr>
          <w:rFonts w:ascii="Arial" w:hAnsi="Arial" w:cs="Arial"/>
          <w:szCs w:val="24"/>
        </w:rPr>
        <w:t>Gilpin</w:t>
      </w:r>
      <w:proofErr w:type="spellEnd"/>
      <w:r w:rsidRPr="009F1996">
        <w:rPr>
          <w:rFonts w:ascii="Arial" w:hAnsi="Arial" w:cs="Arial"/>
          <w:szCs w:val="24"/>
        </w:rPr>
        <w:t xml:space="preserve"> reconoce que existe un control relativo de los estados (Feng &amp; </w:t>
      </w:r>
      <w:proofErr w:type="spellStart"/>
      <w:r w:rsidRPr="009F1996">
        <w:rPr>
          <w:rFonts w:ascii="Arial" w:hAnsi="Arial" w:cs="Arial"/>
          <w:szCs w:val="24"/>
        </w:rPr>
        <w:t>Ruizhuang</w:t>
      </w:r>
      <w:proofErr w:type="spellEnd"/>
      <w:r w:rsidRPr="009F1996">
        <w:rPr>
          <w:rFonts w:ascii="Arial" w:hAnsi="Arial" w:cs="Arial"/>
          <w:szCs w:val="24"/>
        </w:rPr>
        <w:t xml:space="preserve"> 2006) ya que si bien ninguno ha controlado totalmente el sistema internacional, los poderes predominantes se organizan y controlan los procesos de interacción entre los actores del sistema. </w:t>
      </w:r>
    </w:p>
    <w:p w14:paraId="33297411"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Asimismo, la obtención de seguridad en un sistema anárquico es de vital importancia para cualquier Estado ya que garantiza su supervivencia física (</w:t>
      </w:r>
      <w:proofErr w:type="spellStart"/>
      <w:r w:rsidRPr="009F1996">
        <w:rPr>
          <w:rFonts w:ascii="Arial" w:hAnsi="Arial" w:cs="Arial"/>
          <w:szCs w:val="24"/>
        </w:rPr>
        <w:t>Waltz</w:t>
      </w:r>
      <w:proofErr w:type="spellEnd"/>
      <w:r w:rsidRPr="009F1996">
        <w:rPr>
          <w:rFonts w:ascii="Arial" w:hAnsi="Arial" w:cs="Arial"/>
          <w:szCs w:val="24"/>
        </w:rPr>
        <w:t>, 1979). Barbé (1990) señala que para obtener seguridad es necesario desarrollar las capacidades y los elementos de poder que tiene el Estado. Bajo este contexto, el interés nacional es un concepto elusivo a la búsqueda de seguridad en tanto que los Estados buscan expandir sus capacidades frente a los estados rivales (</w:t>
      </w:r>
      <w:proofErr w:type="spellStart"/>
      <w:r w:rsidRPr="009F1996">
        <w:rPr>
          <w:rFonts w:ascii="Arial" w:hAnsi="Arial" w:cs="Arial"/>
          <w:szCs w:val="24"/>
        </w:rPr>
        <w:t>Viotti</w:t>
      </w:r>
      <w:proofErr w:type="spellEnd"/>
      <w:r w:rsidRPr="009F1996">
        <w:rPr>
          <w:rFonts w:ascii="Arial" w:hAnsi="Arial" w:cs="Arial"/>
          <w:szCs w:val="24"/>
        </w:rPr>
        <w:t xml:space="preserve"> &amp; </w:t>
      </w:r>
      <w:proofErr w:type="spellStart"/>
      <w:r w:rsidRPr="009F1996">
        <w:rPr>
          <w:rFonts w:ascii="Arial" w:hAnsi="Arial" w:cs="Arial"/>
          <w:szCs w:val="24"/>
        </w:rPr>
        <w:t>Kauppi</w:t>
      </w:r>
      <w:proofErr w:type="spellEnd"/>
      <w:r w:rsidRPr="009F1996">
        <w:rPr>
          <w:rFonts w:ascii="Arial" w:hAnsi="Arial" w:cs="Arial"/>
          <w:szCs w:val="24"/>
        </w:rPr>
        <w:t xml:space="preserve"> 1999). </w:t>
      </w:r>
    </w:p>
    <w:p w14:paraId="09C0EB09" w14:textId="77777777" w:rsidR="009F1996" w:rsidRDefault="009F1996" w:rsidP="005D23CD">
      <w:pPr>
        <w:spacing w:line="360" w:lineRule="auto"/>
        <w:ind w:firstLine="708"/>
        <w:rPr>
          <w:rFonts w:ascii="Arial" w:hAnsi="Arial" w:cs="Arial"/>
          <w:b/>
          <w:szCs w:val="24"/>
        </w:rPr>
      </w:pPr>
    </w:p>
    <w:p w14:paraId="5856708A" w14:textId="77777777" w:rsidR="005D23CD" w:rsidRPr="00DF27F9" w:rsidRDefault="005D23CD" w:rsidP="00DF27F9">
      <w:pPr>
        <w:pStyle w:val="Ttulo2"/>
        <w:spacing w:after="240"/>
        <w:rPr>
          <w:color w:val="000000" w:themeColor="text1"/>
        </w:rPr>
      </w:pPr>
      <w:bookmarkStart w:id="12" w:name="_Toc499918294"/>
      <w:r w:rsidRPr="00DF27F9">
        <w:rPr>
          <w:color w:val="000000" w:themeColor="text1"/>
        </w:rPr>
        <w:lastRenderedPageBreak/>
        <w:t>Teoría neorrealista y la política de seguridad energética de Estados Unidos</w:t>
      </w:r>
      <w:bookmarkEnd w:id="12"/>
    </w:p>
    <w:p w14:paraId="07283919" w14:textId="15809FF3" w:rsidR="005D23CD" w:rsidRPr="009F1996" w:rsidRDefault="005D23CD" w:rsidP="005D23CD">
      <w:pPr>
        <w:spacing w:line="360" w:lineRule="auto"/>
        <w:rPr>
          <w:rFonts w:ascii="Arial" w:hAnsi="Arial" w:cs="Arial"/>
          <w:szCs w:val="24"/>
        </w:rPr>
      </w:pPr>
      <w:r w:rsidRPr="009F1996">
        <w:rPr>
          <w:rFonts w:ascii="Arial" w:hAnsi="Arial" w:cs="Arial"/>
          <w:szCs w:val="24"/>
        </w:rPr>
        <w:t>Mucha de la literatura sobre política internacional en energía adopta implícitamente un enfoque neorrealista y geopolítico (</w:t>
      </w:r>
      <w:proofErr w:type="spellStart"/>
      <w:r w:rsidRPr="009F1996">
        <w:rPr>
          <w:rFonts w:ascii="Arial" w:hAnsi="Arial" w:cs="Arial"/>
          <w:szCs w:val="24"/>
        </w:rPr>
        <w:t>Dannreuther</w:t>
      </w:r>
      <w:proofErr w:type="spellEnd"/>
      <w:r w:rsidRPr="009F1996">
        <w:rPr>
          <w:rFonts w:ascii="Arial" w:hAnsi="Arial" w:cs="Arial"/>
          <w:szCs w:val="24"/>
        </w:rPr>
        <w:t>, 2010)</w:t>
      </w:r>
      <w:r w:rsidR="00455595">
        <w:rPr>
          <w:rFonts w:ascii="Arial" w:hAnsi="Arial" w:cs="Arial"/>
          <w:szCs w:val="24"/>
        </w:rPr>
        <w:t>,</w:t>
      </w:r>
      <w:r w:rsidRPr="009F1996">
        <w:rPr>
          <w:rFonts w:ascii="Arial" w:hAnsi="Arial" w:cs="Arial"/>
          <w:szCs w:val="24"/>
        </w:rPr>
        <w:t xml:space="preserve"> ya que parte de argumentos que integran </w:t>
      </w:r>
      <w:r w:rsidR="00455595">
        <w:rPr>
          <w:rFonts w:ascii="Arial" w:hAnsi="Arial" w:cs="Arial"/>
          <w:szCs w:val="24"/>
        </w:rPr>
        <w:t>estos</w:t>
      </w:r>
      <w:r w:rsidRPr="009F1996">
        <w:rPr>
          <w:rFonts w:ascii="Arial" w:hAnsi="Arial" w:cs="Arial"/>
          <w:szCs w:val="24"/>
        </w:rPr>
        <w:t xml:space="preserve"> elementos teóricos. </w:t>
      </w:r>
    </w:p>
    <w:p w14:paraId="2D233B31" w14:textId="0284DEF5"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Entre ellos se toma en cuenta el acceso y control de recursos naturales, tales como el acceso a fuentes energéticas, que son un ingrediente clave para el poder e interés nacional. El control de recursos se torna cada vez más difícil desde que los recursos se están volviendo escasos e inseguros. En este sentido se pueden tomar en cuenta diversas tesis como la del </w:t>
      </w:r>
      <w:proofErr w:type="spellStart"/>
      <w:r w:rsidRPr="009F1996">
        <w:rPr>
          <w:rFonts w:ascii="Arial" w:hAnsi="Arial" w:cs="Arial"/>
          <w:i/>
          <w:szCs w:val="24"/>
        </w:rPr>
        <w:t>peak</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w:t>
      </w:r>
      <w:proofErr w:type="spellStart"/>
      <w:r w:rsidRPr="009F1996">
        <w:rPr>
          <w:rFonts w:ascii="Arial" w:hAnsi="Arial" w:cs="Arial"/>
          <w:i/>
          <w:szCs w:val="24"/>
        </w:rPr>
        <w:t>resource</w:t>
      </w:r>
      <w:proofErr w:type="spellEnd"/>
      <w:r w:rsidRPr="009F1996">
        <w:rPr>
          <w:rFonts w:ascii="Arial" w:hAnsi="Arial" w:cs="Arial"/>
          <w:i/>
          <w:szCs w:val="24"/>
        </w:rPr>
        <w:t xml:space="preserve"> curse </w:t>
      </w:r>
      <w:r w:rsidRPr="009F1996">
        <w:rPr>
          <w:rFonts w:ascii="Arial" w:hAnsi="Arial" w:cs="Arial"/>
          <w:szCs w:val="24"/>
        </w:rPr>
        <w:t>o las guerras por recursos, que están ligadas a una amenaza a la seguridad nacional de los Estados. Para prevenir la disrupción de energéticos y asegurarlos, los Estados incrementarán su competencia por el control de los mismos, lo que lleva a que el conflicto y las guerras se vuelvan altamente probables en una condición de anarquía.</w:t>
      </w:r>
    </w:p>
    <w:p w14:paraId="3BA288BD" w14:textId="1A3BBAB5" w:rsidR="005D23CD" w:rsidRPr="009F1996" w:rsidRDefault="005D23CD" w:rsidP="005D23CD">
      <w:pPr>
        <w:spacing w:line="360" w:lineRule="auto"/>
        <w:rPr>
          <w:rFonts w:ascii="Arial" w:hAnsi="Arial" w:cs="Arial"/>
          <w:szCs w:val="24"/>
        </w:rPr>
      </w:pPr>
      <w:r w:rsidRPr="009F1996">
        <w:rPr>
          <w:rFonts w:ascii="Arial" w:hAnsi="Arial" w:cs="Arial"/>
          <w:szCs w:val="24"/>
        </w:rPr>
        <w:t xml:space="preserve">De acuerdo con </w:t>
      </w:r>
      <w:proofErr w:type="spellStart"/>
      <w:r w:rsidRPr="009F1996">
        <w:rPr>
          <w:rFonts w:ascii="Arial" w:hAnsi="Arial" w:cs="Arial"/>
          <w:szCs w:val="24"/>
        </w:rPr>
        <w:t>Deutch</w:t>
      </w:r>
      <w:proofErr w:type="spellEnd"/>
      <w:r w:rsidRPr="009F1996">
        <w:rPr>
          <w:rFonts w:ascii="Arial" w:hAnsi="Arial" w:cs="Arial"/>
          <w:szCs w:val="24"/>
        </w:rPr>
        <w:t xml:space="preserve"> et al. </w:t>
      </w:r>
      <w:r w:rsidR="00455595">
        <w:rPr>
          <w:rFonts w:ascii="Arial" w:hAnsi="Arial" w:cs="Arial"/>
          <w:szCs w:val="24"/>
        </w:rPr>
        <w:t>(</w:t>
      </w:r>
      <w:proofErr w:type="gramStart"/>
      <w:r w:rsidR="00455595">
        <w:rPr>
          <w:rFonts w:ascii="Arial" w:hAnsi="Arial" w:cs="Arial"/>
          <w:szCs w:val="24"/>
        </w:rPr>
        <w:t>c</w:t>
      </w:r>
      <w:r w:rsidRPr="009F1996">
        <w:rPr>
          <w:rFonts w:ascii="Arial" w:hAnsi="Arial" w:cs="Arial"/>
          <w:szCs w:val="24"/>
        </w:rPr>
        <w:t>itado</w:t>
      </w:r>
      <w:proofErr w:type="gramEnd"/>
      <w:r w:rsidRPr="009F1996">
        <w:rPr>
          <w:rFonts w:ascii="Arial" w:hAnsi="Arial" w:cs="Arial"/>
          <w:szCs w:val="24"/>
        </w:rPr>
        <w:t xml:space="preserve"> en </w:t>
      </w:r>
      <w:proofErr w:type="spellStart"/>
      <w:r w:rsidRPr="009F1996">
        <w:rPr>
          <w:rFonts w:ascii="Arial" w:hAnsi="Arial" w:cs="Arial"/>
          <w:szCs w:val="24"/>
        </w:rPr>
        <w:t>Glaser</w:t>
      </w:r>
      <w:proofErr w:type="spellEnd"/>
      <w:r w:rsidR="00455595">
        <w:rPr>
          <w:rFonts w:ascii="Arial" w:hAnsi="Arial" w:cs="Arial"/>
          <w:szCs w:val="24"/>
        </w:rPr>
        <w:t>,</w:t>
      </w:r>
      <w:r w:rsidRPr="009F1996">
        <w:rPr>
          <w:rFonts w:ascii="Arial" w:hAnsi="Arial" w:cs="Arial"/>
          <w:szCs w:val="24"/>
        </w:rPr>
        <w:t xml:space="preserve"> 2013), la definición de seguridad energética es el suministro confiable y costeable de energía. Las definiciones han cambiado conforme el curso de la historia. Desde la crisis petrolera de 1973 por el embargo de la Organización de Países Exportadores de Petróleo (OPEP) comenzaron las preocupaciones sobre posibles conflictos causados por disrupciones en el suministro de energéticos o su escasez de oferta (</w:t>
      </w:r>
      <w:proofErr w:type="spellStart"/>
      <w:r w:rsidRPr="009F1996">
        <w:rPr>
          <w:rFonts w:ascii="Arial" w:hAnsi="Arial" w:cs="Arial"/>
          <w:szCs w:val="24"/>
        </w:rPr>
        <w:t>Peters</w:t>
      </w:r>
      <w:proofErr w:type="spellEnd"/>
      <w:r w:rsidRPr="009F1996">
        <w:rPr>
          <w:rFonts w:ascii="Arial" w:hAnsi="Arial" w:cs="Arial"/>
          <w:szCs w:val="24"/>
        </w:rPr>
        <w:t>, 2011). Los Estados occidentales aceptaron su</w:t>
      </w:r>
      <w:r w:rsidR="00455595">
        <w:rPr>
          <w:rFonts w:ascii="Arial" w:hAnsi="Arial" w:cs="Arial"/>
          <w:szCs w:val="24"/>
        </w:rPr>
        <w:t xml:space="preserve"> </w:t>
      </w:r>
      <w:r w:rsidRPr="009F1996">
        <w:rPr>
          <w:rFonts w:ascii="Arial" w:hAnsi="Arial" w:cs="Arial"/>
          <w:szCs w:val="24"/>
        </w:rPr>
        <w:t xml:space="preserve">dependencia sobre los </w:t>
      </w:r>
      <w:proofErr w:type="spellStart"/>
      <w:r w:rsidRPr="009F1996">
        <w:rPr>
          <w:rFonts w:ascii="Arial" w:hAnsi="Arial" w:cs="Arial"/>
          <w:i/>
          <w:szCs w:val="24"/>
        </w:rPr>
        <w:t>commodities</w:t>
      </w:r>
      <w:proofErr w:type="spellEnd"/>
      <w:r w:rsidRPr="009F1996">
        <w:rPr>
          <w:rFonts w:ascii="Arial" w:hAnsi="Arial" w:cs="Arial"/>
          <w:szCs w:val="24"/>
        </w:rPr>
        <w:t xml:space="preserve"> y los recursos del mundo </w:t>
      </w:r>
      <w:r w:rsidR="00455595">
        <w:rPr>
          <w:rFonts w:ascii="Arial" w:hAnsi="Arial" w:cs="Arial"/>
          <w:szCs w:val="24"/>
        </w:rPr>
        <w:t xml:space="preserve">no </w:t>
      </w:r>
      <w:r w:rsidRPr="009F1996">
        <w:rPr>
          <w:rFonts w:ascii="Arial" w:hAnsi="Arial" w:cs="Arial"/>
          <w:szCs w:val="24"/>
        </w:rPr>
        <w:t>desarrollado, y se proyectó la posibilidad de enfrentamientos armados en términos de necesidad del manejo de recursos. Es por ello que el suministro energético se considera como un asunto de seguridad nacional, se incluye dentro de las estrategias nacionales de relaciones exteriores, e incluso se incluye la posibilidad de contraatacar y asegurar el suministro por la vía militar (</w:t>
      </w:r>
      <w:proofErr w:type="spellStart"/>
      <w:r w:rsidRPr="009F1996">
        <w:rPr>
          <w:rFonts w:ascii="Arial" w:hAnsi="Arial" w:cs="Arial"/>
          <w:szCs w:val="24"/>
        </w:rPr>
        <w:t>Peters</w:t>
      </w:r>
      <w:proofErr w:type="spellEnd"/>
      <w:r w:rsidRPr="009F1996">
        <w:rPr>
          <w:rFonts w:ascii="Arial" w:hAnsi="Arial" w:cs="Arial"/>
          <w:szCs w:val="24"/>
        </w:rPr>
        <w:t xml:space="preserve">, 2011). </w:t>
      </w:r>
    </w:p>
    <w:p w14:paraId="65648E81" w14:textId="77777777" w:rsidR="005D23CD" w:rsidRPr="009F1996" w:rsidRDefault="005D23CD" w:rsidP="005D23CD">
      <w:pPr>
        <w:spacing w:line="360" w:lineRule="auto"/>
        <w:ind w:right="49"/>
        <w:rPr>
          <w:rFonts w:ascii="Arial" w:hAnsi="Arial" w:cs="Arial"/>
          <w:szCs w:val="24"/>
        </w:rPr>
      </w:pPr>
      <w:r w:rsidRPr="009F1996">
        <w:rPr>
          <w:rFonts w:ascii="Arial" w:hAnsi="Arial" w:cs="Arial"/>
          <w:szCs w:val="24"/>
        </w:rPr>
        <w:t xml:space="preserve">Según Morse &amp; </w:t>
      </w:r>
      <w:proofErr w:type="spellStart"/>
      <w:r w:rsidRPr="009F1996">
        <w:rPr>
          <w:rFonts w:ascii="Arial" w:hAnsi="Arial" w:cs="Arial"/>
          <w:szCs w:val="24"/>
        </w:rPr>
        <w:t>Mayers</w:t>
      </w:r>
      <w:proofErr w:type="spellEnd"/>
      <w:r w:rsidRPr="009F1996">
        <w:rPr>
          <w:rFonts w:ascii="Arial" w:hAnsi="Arial" w:cs="Arial"/>
          <w:szCs w:val="24"/>
        </w:rPr>
        <w:t xml:space="preserve"> (2001) el reto en energía para el Siglo XX es que el sector energético se encuentra en una condición crítica. Específicamente, para EE.UU. el potencial aumento de disrupciones tendrá un impacto en su política de seguridad nacional y política exterior. El petróleo es el único tipo de energía que EE.UU. importa en grandes cantidades y los requerimientos petroleros estadounidenses han influenciado su </w:t>
      </w:r>
      <w:r w:rsidRPr="009F1996">
        <w:rPr>
          <w:rFonts w:ascii="Arial" w:hAnsi="Arial" w:cs="Arial"/>
          <w:szCs w:val="24"/>
        </w:rPr>
        <w:lastRenderedPageBreak/>
        <w:t>estrategia y política de seguridad por décadas (</w:t>
      </w:r>
      <w:proofErr w:type="spellStart"/>
      <w:r w:rsidRPr="009F1996">
        <w:rPr>
          <w:rFonts w:ascii="Arial" w:hAnsi="Arial" w:cs="Arial"/>
          <w:szCs w:val="24"/>
        </w:rPr>
        <w:t>Glaser</w:t>
      </w:r>
      <w:proofErr w:type="spellEnd"/>
      <w:r w:rsidRPr="009F1996">
        <w:rPr>
          <w:rFonts w:ascii="Arial" w:hAnsi="Arial" w:cs="Arial"/>
          <w:szCs w:val="24"/>
        </w:rPr>
        <w:t>, 2013). Por lo tanto, muchos análisis (</w:t>
      </w:r>
      <w:proofErr w:type="spellStart"/>
      <w:r w:rsidRPr="009F1996">
        <w:rPr>
          <w:rFonts w:ascii="Arial" w:hAnsi="Arial" w:cs="Arial"/>
          <w:szCs w:val="24"/>
        </w:rPr>
        <w:t>Glaser</w:t>
      </w:r>
      <w:proofErr w:type="spellEnd"/>
      <w:r w:rsidRPr="009F1996">
        <w:rPr>
          <w:rFonts w:ascii="Arial" w:hAnsi="Arial" w:cs="Arial"/>
          <w:szCs w:val="24"/>
        </w:rPr>
        <w:t xml:space="preserve">, 2013), se enfocan en que los requerimientos energéticos de otros Estados son impactados por las necesidades de seguridad estadounidense. </w:t>
      </w:r>
    </w:p>
    <w:p w14:paraId="5DBBCE84" w14:textId="5C40F5A2" w:rsidR="005D23CD" w:rsidRPr="009F1996" w:rsidRDefault="005D23CD" w:rsidP="005D23CD">
      <w:pPr>
        <w:spacing w:line="360" w:lineRule="auto"/>
        <w:ind w:right="49"/>
        <w:rPr>
          <w:rFonts w:ascii="Arial" w:hAnsi="Arial" w:cs="Arial"/>
          <w:szCs w:val="24"/>
        </w:rPr>
      </w:pPr>
      <w:r w:rsidRPr="009F1996">
        <w:rPr>
          <w:rFonts w:ascii="Arial" w:hAnsi="Arial" w:cs="Arial"/>
          <w:szCs w:val="24"/>
        </w:rPr>
        <w:t xml:space="preserve">Además de las amenazas y vulnerabilidades que se puedan reconocer </w:t>
      </w:r>
      <w:r w:rsidR="00455595">
        <w:rPr>
          <w:rFonts w:ascii="Arial" w:hAnsi="Arial" w:cs="Arial"/>
          <w:szCs w:val="24"/>
        </w:rPr>
        <w:t>−</w:t>
      </w:r>
      <w:r w:rsidRPr="009F1996">
        <w:rPr>
          <w:rFonts w:ascii="Arial" w:hAnsi="Arial" w:cs="Arial"/>
          <w:szCs w:val="24"/>
        </w:rPr>
        <w:t>como la seguridad física de las líneas de suministro, el incremento del precio del petróleo y los costos económicos de la disrupción en regiones estratégicas</w:t>
      </w:r>
      <w:r w:rsidR="00455595">
        <w:rPr>
          <w:rFonts w:ascii="Arial" w:hAnsi="Arial" w:cs="Arial"/>
          <w:szCs w:val="24"/>
        </w:rPr>
        <w:t>−</w:t>
      </w:r>
      <w:r w:rsidRPr="009F1996">
        <w:rPr>
          <w:rFonts w:ascii="Arial" w:hAnsi="Arial" w:cs="Arial"/>
          <w:szCs w:val="24"/>
        </w:rPr>
        <w:t>, el alto consumo energético dentro del país es una variable que afecta enormemente a la dependencia hacia las importaciones por parte de Estados Unidos (</w:t>
      </w:r>
      <w:proofErr w:type="spellStart"/>
      <w:r w:rsidRPr="009F1996">
        <w:rPr>
          <w:rFonts w:ascii="Arial" w:hAnsi="Arial" w:cs="Arial"/>
          <w:szCs w:val="24"/>
        </w:rPr>
        <w:t>Klare</w:t>
      </w:r>
      <w:proofErr w:type="spellEnd"/>
      <w:r w:rsidRPr="009F1996">
        <w:rPr>
          <w:rFonts w:ascii="Arial" w:hAnsi="Arial" w:cs="Arial"/>
          <w:szCs w:val="24"/>
        </w:rPr>
        <w:t>, 2014).</w:t>
      </w:r>
    </w:p>
    <w:p w14:paraId="08EE8E20" w14:textId="77777777" w:rsidR="005D23CD" w:rsidRPr="009F1996" w:rsidRDefault="005D23CD" w:rsidP="005D23CD">
      <w:pPr>
        <w:spacing w:line="360" w:lineRule="auto"/>
        <w:ind w:right="49"/>
        <w:rPr>
          <w:rFonts w:ascii="Arial" w:hAnsi="Arial" w:cs="Arial"/>
          <w:szCs w:val="24"/>
        </w:rPr>
      </w:pPr>
      <w:r w:rsidRPr="009F1996">
        <w:rPr>
          <w:rFonts w:ascii="Arial" w:hAnsi="Arial" w:cs="Arial"/>
          <w:szCs w:val="24"/>
        </w:rPr>
        <w:t>La confianza en el petróleo importado afecta la seguridad nacional (</w:t>
      </w:r>
      <w:proofErr w:type="spellStart"/>
      <w:r w:rsidRPr="009F1996">
        <w:rPr>
          <w:rFonts w:ascii="Arial" w:hAnsi="Arial" w:cs="Arial"/>
          <w:szCs w:val="24"/>
        </w:rPr>
        <w:t>Glaser</w:t>
      </w:r>
      <w:proofErr w:type="spellEnd"/>
      <w:r w:rsidRPr="009F1996">
        <w:rPr>
          <w:rFonts w:ascii="Arial" w:hAnsi="Arial" w:cs="Arial"/>
          <w:szCs w:val="24"/>
        </w:rPr>
        <w:t>, 2013) y vuelve a EE.UU. vulnerable a las fluctuaciones en la producción y distribución del petróleo, afectando su prosperidad económica, su capacidad militar de defensa y consecuentemente su capacidad de negociación frente a otros Estados en momentos de conflicto.</w:t>
      </w:r>
    </w:p>
    <w:p w14:paraId="713B3A64" w14:textId="3F7CBB23" w:rsidR="002C4CB8" w:rsidRDefault="005D23CD" w:rsidP="00613578">
      <w:pPr>
        <w:spacing w:line="360" w:lineRule="auto"/>
        <w:ind w:right="49"/>
        <w:rPr>
          <w:rFonts w:ascii="Arial" w:hAnsi="Arial" w:cs="Arial"/>
          <w:szCs w:val="24"/>
        </w:rPr>
      </w:pPr>
      <w:r w:rsidRPr="009F1996">
        <w:rPr>
          <w:rFonts w:ascii="Arial" w:hAnsi="Arial" w:cs="Arial"/>
          <w:szCs w:val="24"/>
        </w:rPr>
        <w:t xml:space="preserve">Es </w:t>
      </w:r>
      <w:r w:rsidR="00455595">
        <w:rPr>
          <w:rFonts w:ascii="Arial" w:hAnsi="Arial" w:cs="Arial"/>
          <w:szCs w:val="24"/>
        </w:rPr>
        <w:t xml:space="preserve">por esto que </w:t>
      </w:r>
      <w:r w:rsidRPr="009F1996">
        <w:rPr>
          <w:rFonts w:ascii="Arial" w:hAnsi="Arial" w:cs="Arial"/>
          <w:szCs w:val="24"/>
        </w:rPr>
        <w:t xml:space="preserve">se busca </w:t>
      </w:r>
      <w:r w:rsidR="00455595">
        <w:rPr>
          <w:rFonts w:ascii="Arial" w:hAnsi="Arial" w:cs="Arial"/>
          <w:szCs w:val="24"/>
        </w:rPr>
        <w:t>analizar si</w:t>
      </w:r>
      <w:r w:rsidRPr="009F1996">
        <w:rPr>
          <w:rFonts w:ascii="Arial" w:hAnsi="Arial" w:cs="Arial"/>
          <w:szCs w:val="24"/>
        </w:rPr>
        <w:t xml:space="preserve"> el desarrollo de la industria del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r w:rsidRPr="009F1996">
        <w:rPr>
          <w:rFonts w:ascii="Arial" w:hAnsi="Arial" w:cs="Arial"/>
          <w:szCs w:val="24"/>
        </w:rPr>
        <w:t>en EE.UU. en el siglo XX y XXI es un esfuerzo sistemático del gobierno federal por dejar de depender de fuentes energéticas externas y garantizar la seguridad nacional por medio de la obtención de recursos energéticos. Esto está ligado a la búsqueda de poder con el fin último de la seguridad dentro de un sistema anárquico que no permite la certidumbre de permanencia y suministro de recursos para el Estado.</w:t>
      </w:r>
      <w:r w:rsidR="002C4CB8">
        <w:rPr>
          <w:rFonts w:ascii="Arial" w:hAnsi="Arial" w:cs="Arial"/>
          <w:szCs w:val="24"/>
        </w:rPr>
        <w:t xml:space="preserve"> </w:t>
      </w:r>
    </w:p>
    <w:p w14:paraId="49058153" w14:textId="3464906B" w:rsidR="009F1996" w:rsidRPr="009F1996" w:rsidRDefault="002C4CB8" w:rsidP="00613578">
      <w:pPr>
        <w:spacing w:line="360" w:lineRule="auto"/>
        <w:ind w:right="49"/>
        <w:rPr>
          <w:lang w:eastAsia="en-US"/>
        </w:rPr>
      </w:pPr>
      <w:r>
        <w:rPr>
          <w:rFonts w:ascii="Arial" w:hAnsi="Arial" w:cs="Arial"/>
        </w:rPr>
        <w:t>La hipótesis que se busca probar es la contraria a la interpretación neorrealista, en un intento por probar la pertinencia de la teoría para explicar el fenómeno. Esto es, que e</w:t>
      </w:r>
      <w:r w:rsidRPr="009F1996">
        <w:rPr>
          <w:rFonts w:ascii="Arial" w:hAnsi="Arial" w:cs="Arial"/>
        </w:rPr>
        <w:t xml:space="preserve">l desarrollo de la industria del </w:t>
      </w:r>
      <w:proofErr w:type="spellStart"/>
      <w:r w:rsidRPr="004E3427">
        <w:rPr>
          <w:rFonts w:ascii="Arial" w:hAnsi="Arial" w:cs="Arial"/>
          <w:i/>
        </w:rPr>
        <w:t>shale</w:t>
      </w:r>
      <w:proofErr w:type="spellEnd"/>
      <w:r w:rsidRPr="004E3427">
        <w:rPr>
          <w:rFonts w:ascii="Arial" w:hAnsi="Arial" w:cs="Arial"/>
          <w:i/>
        </w:rPr>
        <w:t xml:space="preserve"> </w:t>
      </w:r>
      <w:proofErr w:type="spellStart"/>
      <w:r w:rsidRPr="004E3427">
        <w:rPr>
          <w:rFonts w:ascii="Arial" w:hAnsi="Arial" w:cs="Arial"/>
          <w:i/>
        </w:rPr>
        <w:t>oil</w:t>
      </w:r>
      <w:proofErr w:type="spellEnd"/>
      <w:r w:rsidRPr="009F1996">
        <w:rPr>
          <w:rFonts w:ascii="Arial" w:hAnsi="Arial" w:cs="Arial"/>
        </w:rPr>
        <w:t xml:space="preserve"> en EE.UU. se dio gracias a los incent</w:t>
      </w:r>
      <w:r>
        <w:rPr>
          <w:rFonts w:ascii="Arial" w:hAnsi="Arial" w:cs="Arial"/>
        </w:rPr>
        <w:t>ivos gubernamentales federales, pero</w:t>
      </w:r>
      <w:r w:rsidRPr="009F1996">
        <w:rPr>
          <w:rFonts w:ascii="Arial" w:hAnsi="Arial" w:cs="Arial"/>
        </w:rPr>
        <w:t xml:space="preserve"> como una respuesta a los intereses de grupo relativos a la industria</w:t>
      </w:r>
      <w:r>
        <w:rPr>
          <w:rFonts w:ascii="Arial" w:hAnsi="Arial" w:cs="Arial"/>
        </w:rPr>
        <w:t xml:space="preserve"> (no necesariamente vinculados a la seguridad nacional)</w:t>
      </w:r>
      <w:r w:rsidRPr="009F1996">
        <w:rPr>
          <w:rFonts w:ascii="Arial" w:hAnsi="Arial" w:cs="Arial"/>
        </w:rPr>
        <w:t>.</w:t>
      </w:r>
    </w:p>
    <w:p w14:paraId="12AB8FB1" w14:textId="77777777" w:rsidR="005D23CD" w:rsidRPr="009F1996" w:rsidRDefault="005D23CD" w:rsidP="005D23CD">
      <w:pPr>
        <w:spacing w:line="360" w:lineRule="auto"/>
        <w:rPr>
          <w:rFonts w:ascii="Arial" w:hAnsi="Arial" w:cs="Arial"/>
          <w:szCs w:val="24"/>
        </w:rPr>
      </w:pPr>
      <w:r w:rsidRPr="009F1996">
        <w:rPr>
          <w:rFonts w:ascii="Arial" w:hAnsi="Arial" w:cs="Arial"/>
          <w:szCs w:val="24"/>
        </w:rPr>
        <w:t xml:space="preserve">La metodología que se utilizará en la presente investigación utilizará fuentes documentales, se centrará en el caso de Estados Unidos y sus variables serán no experimentales y simples ya que utilizará solamente dos variables en la hipótesis. </w:t>
      </w:r>
    </w:p>
    <w:p w14:paraId="5AB4426E" w14:textId="0BD10BD3" w:rsidR="005D23CD" w:rsidRPr="009F1996" w:rsidRDefault="005D23CD" w:rsidP="005D23CD">
      <w:pPr>
        <w:spacing w:line="360" w:lineRule="auto"/>
        <w:rPr>
          <w:rFonts w:ascii="Arial" w:hAnsi="Arial" w:cs="Arial"/>
          <w:szCs w:val="24"/>
        </w:rPr>
      </w:pPr>
      <w:r w:rsidRPr="009F1996">
        <w:rPr>
          <w:rFonts w:ascii="Arial" w:hAnsi="Arial" w:cs="Arial"/>
          <w:szCs w:val="24"/>
        </w:rPr>
        <w:t xml:space="preserve">El nivel de medición será cualitativo ya que la investigación </w:t>
      </w:r>
      <w:r w:rsidR="00151C20" w:rsidRPr="009F1996">
        <w:rPr>
          <w:rFonts w:ascii="Arial" w:hAnsi="Arial" w:cs="Arial"/>
          <w:szCs w:val="24"/>
        </w:rPr>
        <w:t>se centra</w:t>
      </w:r>
      <w:r w:rsidRPr="009F1996">
        <w:rPr>
          <w:rFonts w:ascii="Arial" w:hAnsi="Arial" w:cs="Arial"/>
          <w:szCs w:val="24"/>
        </w:rPr>
        <w:t xml:space="preserve"> en un nivel de a</w:t>
      </w:r>
      <w:r w:rsidR="00151C20" w:rsidRPr="009F1996">
        <w:rPr>
          <w:rFonts w:ascii="Arial" w:hAnsi="Arial" w:cs="Arial"/>
          <w:szCs w:val="24"/>
        </w:rPr>
        <w:t>nálisis político</w:t>
      </w:r>
      <w:r w:rsidR="0002756C">
        <w:rPr>
          <w:rFonts w:ascii="Arial" w:hAnsi="Arial" w:cs="Arial"/>
          <w:szCs w:val="24"/>
        </w:rPr>
        <w:t>.</w:t>
      </w:r>
      <w:r w:rsidRPr="009F1996">
        <w:rPr>
          <w:rFonts w:ascii="Arial" w:hAnsi="Arial" w:cs="Arial"/>
          <w:szCs w:val="24"/>
        </w:rPr>
        <w:t xml:space="preserve"> </w:t>
      </w:r>
      <w:r w:rsidR="0002756C">
        <w:rPr>
          <w:rFonts w:ascii="Arial" w:hAnsi="Arial" w:cs="Arial"/>
          <w:szCs w:val="24"/>
        </w:rPr>
        <w:t>S</w:t>
      </w:r>
      <w:r w:rsidRPr="009F1996">
        <w:rPr>
          <w:rFonts w:ascii="Arial" w:hAnsi="Arial" w:cs="Arial"/>
          <w:szCs w:val="24"/>
        </w:rPr>
        <w:t xml:space="preserve">e realizará una búsqueda de evidencia de un esfuerzo gubernamental sistemático para el fomento de la industria </w:t>
      </w:r>
      <w:r w:rsidR="00151C20" w:rsidRPr="009F1996">
        <w:rPr>
          <w:rFonts w:ascii="Arial" w:hAnsi="Arial" w:cs="Arial"/>
          <w:szCs w:val="24"/>
        </w:rPr>
        <w:t xml:space="preserve">y en el segundo capítulo, se revisará la </w:t>
      </w:r>
      <w:r w:rsidR="00151C20" w:rsidRPr="009F1996">
        <w:rPr>
          <w:rFonts w:ascii="Arial" w:hAnsi="Arial" w:cs="Arial"/>
          <w:szCs w:val="24"/>
        </w:rPr>
        <w:lastRenderedPageBreak/>
        <w:t>influencia de diversos grupos con intereses en la industria para la aprobación de la legislación</w:t>
      </w:r>
      <w:r w:rsidR="00FF165D" w:rsidRPr="009F1996">
        <w:rPr>
          <w:rFonts w:ascii="Arial" w:hAnsi="Arial" w:cs="Arial"/>
          <w:szCs w:val="24"/>
        </w:rPr>
        <w:t xml:space="preserve"> que incentiva la industria. </w:t>
      </w:r>
    </w:p>
    <w:p w14:paraId="50655A97" w14:textId="344D7EC6" w:rsidR="005D23CD" w:rsidRPr="009F1996" w:rsidRDefault="005D23CD" w:rsidP="005D23CD">
      <w:pPr>
        <w:spacing w:line="360" w:lineRule="auto"/>
        <w:rPr>
          <w:rFonts w:ascii="Arial" w:hAnsi="Arial" w:cs="Arial"/>
          <w:szCs w:val="24"/>
        </w:rPr>
      </w:pPr>
      <w:r w:rsidRPr="009F1996">
        <w:rPr>
          <w:rFonts w:ascii="Arial" w:hAnsi="Arial" w:cs="Arial"/>
          <w:szCs w:val="24"/>
        </w:rPr>
        <w:t>El análisis incluirá un nivel descriptivo y explicativo</w:t>
      </w:r>
      <w:r w:rsidR="0002756C">
        <w:rPr>
          <w:rFonts w:ascii="Arial" w:hAnsi="Arial" w:cs="Arial"/>
          <w:szCs w:val="24"/>
        </w:rPr>
        <w:t>,</w:t>
      </w:r>
      <w:r w:rsidRPr="009F1996">
        <w:rPr>
          <w:rFonts w:ascii="Arial" w:hAnsi="Arial" w:cs="Arial"/>
          <w:szCs w:val="24"/>
        </w:rPr>
        <w:t xml:space="preserve"> </w:t>
      </w:r>
      <w:r w:rsidR="0002756C">
        <w:rPr>
          <w:rFonts w:ascii="Arial" w:hAnsi="Arial" w:cs="Arial"/>
          <w:szCs w:val="24"/>
        </w:rPr>
        <w:t>y</w:t>
      </w:r>
      <w:r w:rsidRPr="009F1996">
        <w:rPr>
          <w:rFonts w:ascii="Arial" w:hAnsi="Arial" w:cs="Arial"/>
          <w:szCs w:val="24"/>
        </w:rPr>
        <w:t xml:space="preserve"> no </w:t>
      </w:r>
      <w:r w:rsidR="0002756C">
        <w:rPr>
          <w:rFonts w:ascii="Arial" w:hAnsi="Arial" w:cs="Arial"/>
          <w:szCs w:val="24"/>
        </w:rPr>
        <w:t>habrá</w:t>
      </w:r>
      <w:r w:rsidR="0002756C" w:rsidRPr="009F1996">
        <w:rPr>
          <w:rFonts w:ascii="Arial" w:hAnsi="Arial" w:cs="Arial"/>
          <w:szCs w:val="24"/>
        </w:rPr>
        <w:t xml:space="preserve"> </w:t>
      </w:r>
      <w:r w:rsidRPr="009F1996">
        <w:rPr>
          <w:rFonts w:ascii="Arial" w:hAnsi="Arial" w:cs="Arial"/>
          <w:szCs w:val="24"/>
        </w:rPr>
        <w:t xml:space="preserve">una participación por parte del investigador en el caso de la investigación, </w:t>
      </w:r>
      <w:r w:rsidR="0002756C">
        <w:rPr>
          <w:rFonts w:ascii="Arial" w:hAnsi="Arial" w:cs="Arial"/>
          <w:szCs w:val="24"/>
        </w:rPr>
        <w:t>con un</w:t>
      </w:r>
      <w:r w:rsidRPr="009F1996">
        <w:rPr>
          <w:rFonts w:ascii="Arial" w:hAnsi="Arial" w:cs="Arial"/>
          <w:szCs w:val="24"/>
        </w:rPr>
        <w:t xml:space="preserve"> grado de interferencia</w:t>
      </w:r>
      <w:r w:rsidR="0002756C">
        <w:rPr>
          <w:rFonts w:ascii="Arial" w:hAnsi="Arial" w:cs="Arial"/>
          <w:szCs w:val="24"/>
        </w:rPr>
        <w:t xml:space="preserve"> </w:t>
      </w:r>
      <w:r w:rsidRPr="009F1996">
        <w:rPr>
          <w:rFonts w:ascii="Arial" w:hAnsi="Arial" w:cs="Arial"/>
          <w:szCs w:val="24"/>
        </w:rPr>
        <w:t xml:space="preserve">nula. </w:t>
      </w:r>
    </w:p>
    <w:p w14:paraId="29CEB573" w14:textId="3B5CEA73" w:rsidR="005D23CD" w:rsidRDefault="005D23CD" w:rsidP="004E3427">
      <w:pPr>
        <w:spacing w:line="360" w:lineRule="auto"/>
      </w:pPr>
      <w:r w:rsidRPr="009F1996">
        <w:rPr>
          <w:rFonts w:ascii="Arial" w:hAnsi="Arial" w:cs="Arial"/>
          <w:szCs w:val="24"/>
        </w:rPr>
        <w:t>La temporalidad del problema a investigar será actual</w:t>
      </w:r>
      <w:r w:rsidR="0002756C">
        <w:rPr>
          <w:rFonts w:ascii="Arial" w:hAnsi="Arial" w:cs="Arial"/>
          <w:szCs w:val="24"/>
        </w:rPr>
        <w:t>,</w:t>
      </w:r>
      <w:r w:rsidRPr="009F1996">
        <w:rPr>
          <w:rFonts w:ascii="Arial" w:hAnsi="Arial" w:cs="Arial"/>
          <w:szCs w:val="24"/>
        </w:rPr>
        <w:t xml:space="preserve"> con una revisión histórica para mayor comprensión de los hechos</w:t>
      </w:r>
      <w:r w:rsidR="0002756C">
        <w:rPr>
          <w:rFonts w:ascii="Arial" w:hAnsi="Arial" w:cs="Arial"/>
          <w:szCs w:val="24"/>
        </w:rPr>
        <w:t>.</w:t>
      </w:r>
      <w:r w:rsidRPr="009F1996">
        <w:rPr>
          <w:rFonts w:ascii="Arial" w:hAnsi="Arial" w:cs="Arial"/>
          <w:szCs w:val="24"/>
        </w:rPr>
        <w:t xml:space="preserve"> </w:t>
      </w:r>
      <w:r w:rsidR="0002756C">
        <w:rPr>
          <w:rFonts w:ascii="Arial" w:hAnsi="Arial" w:cs="Arial"/>
          <w:szCs w:val="24"/>
        </w:rPr>
        <w:t>Y</w:t>
      </w:r>
      <w:r w:rsidRPr="009F1996">
        <w:rPr>
          <w:rFonts w:ascii="Arial" w:hAnsi="Arial" w:cs="Arial"/>
          <w:szCs w:val="24"/>
        </w:rPr>
        <w:t xml:space="preserve"> la temporalidad de obtención de datos será transversal de acuerdo a los hechos más relevantes para la investigación. Finalmente, el método d</w:t>
      </w:r>
      <w:r w:rsidR="009F1996">
        <w:rPr>
          <w:rFonts w:ascii="Arial" w:hAnsi="Arial" w:cs="Arial"/>
          <w:szCs w:val="24"/>
        </w:rPr>
        <w:t>e investigación será deductivo.</w:t>
      </w:r>
    </w:p>
    <w:p w14:paraId="7272C6F2" w14:textId="77777777" w:rsidR="004E3427" w:rsidRDefault="004E3427" w:rsidP="004E3427">
      <w:pPr>
        <w:spacing w:line="360" w:lineRule="auto"/>
        <w:rPr>
          <w:rFonts w:ascii="Arial" w:hAnsi="Arial" w:cs="Arial"/>
          <w:b/>
          <w:szCs w:val="24"/>
        </w:rPr>
      </w:pPr>
    </w:p>
    <w:p w14:paraId="7C2880E3" w14:textId="77777777" w:rsidR="004E3427" w:rsidRPr="00DF27F9" w:rsidRDefault="004E3427" w:rsidP="00DF27F9">
      <w:pPr>
        <w:pStyle w:val="Ttulo2"/>
        <w:spacing w:after="240"/>
        <w:rPr>
          <w:color w:val="000000" w:themeColor="text1"/>
        </w:rPr>
      </w:pPr>
      <w:bookmarkStart w:id="13" w:name="_Toc499918295"/>
      <w:r w:rsidRPr="00DF27F9">
        <w:rPr>
          <w:color w:val="000000" w:themeColor="text1"/>
        </w:rPr>
        <w:t>Definiciones y clasificación del petróleo</w:t>
      </w:r>
      <w:bookmarkEnd w:id="13"/>
    </w:p>
    <w:p w14:paraId="38E56F9D" w14:textId="41634E06" w:rsidR="004E3427" w:rsidRPr="009F1996" w:rsidRDefault="004E3427" w:rsidP="004E3427">
      <w:pPr>
        <w:tabs>
          <w:tab w:val="left" w:pos="1701"/>
        </w:tabs>
        <w:spacing w:line="360" w:lineRule="auto"/>
        <w:rPr>
          <w:rFonts w:ascii="Arial" w:hAnsi="Arial" w:cs="Arial"/>
          <w:szCs w:val="24"/>
        </w:rPr>
      </w:pPr>
      <w:r w:rsidRPr="009F1996">
        <w:rPr>
          <w:rFonts w:ascii="Arial" w:hAnsi="Arial" w:cs="Arial"/>
          <w:szCs w:val="24"/>
        </w:rPr>
        <w:t>El Sistema de Manejo de Recursos Petrole</w:t>
      </w:r>
      <w:r w:rsidR="004E699A">
        <w:rPr>
          <w:rFonts w:ascii="Arial" w:hAnsi="Arial" w:cs="Arial"/>
          <w:szCs w:val="24"/>
        </w:rPr>
        <w:t>ros (PRMS, por sus siglas en in</w:t>
      </w:r>
      <w:r w:rsidRPr="009F1996">
        <w:rPr>
          <w:rFonts w:ascii="Arial" w:hAnsi="Arial" w:cs="Arial"/>
          <w:szCs w:val="24"/>
        </w:rPr>
        <w:t>g</w:t>
      </w:r>
      <w:r w:rsidR="004E699A">
        <w:rPr>
          <w:rFonts w:ascii="Arial" w:hAnsi="Arial" w:cs="Arial"/>
          <w:szCs w:val="24"/>
        </w:rPr>
        <w:t>l</w:t>
      </w:r>
      <w:r w:rsidRPr="009F1996">
        <w:rPr>
          <w:rFonts w:ascii="Arial" w:hAnsi="Arial" w:cs="Arial"/>
          <w:szCs w:val="24"/>
        </w:rPr>
        <w:t>és) reúne el consenso de diversas asociaciones y sociedades</w:t>
      </w:r>
      <w:r w:rsidRPr="009F1996">
        <w:rPr>
          <w:rStyle w:val="Refdenotaalpie"/>
          <w:rFonts w:ascii="Arial" w:hAnsi="Arial" w:cs="Arial"/>
          <w:szCs w:val="24"/>
        </w:rPr>
        <w:footnoteReference w:id="4"/>
      </w:r>
      <w:r w:rsidRPr="009F1996">
        <w:rPr>
          <w:rFonts w:ascii="Arial" w:hAnsi="Arial" w:cs="Arial"/>
          <w:szCs w:val="24"/>
        </w:rPr>
        <w:t xml:space="preserve"> de la industria petrolera. La necesidad de desarrollar definiciones sobre el tipo de reservas petroleras y los tipos de petróleo surgen al inicio de la Primera Guerra Mundial cuando el gobierno estadounidense creó el Comité Nacional del Servicio Petrolero de Guerra (NPWSC, por sus siglas en inglés) con el fin de asegurar los suministros suficientes para el combate. Una vez terminada la guerra, en 1937 el NPWSC se transformó en el Instituto Americano del Petróleo (API). La Sociedad de Ingenieros Petroleros (SPE) se involucró hasta 1962, debido a motivos comerciales, ya que inversionistas y bancos tenían la necesidad de homogeneizar definiciones.</w:t>
      </w:r>
    </w:p>
    <w:p w14:paraId="54F7AA48" w14:textId="77777777" w:rsidR="004E3427" w:rsidRPr="009F1996" w:rsidRDefault="004E3427" w:rsidP="004E3427">
      <w:pPr>
        <w:tabs>
          <w:tab w:val="left" w:pos="1701"/>
        </w:tabs>
        <w:spacing w:line="360" w:lineRule="auto"/>
        <w:rPr>
          <w:rFonts w:ascii="Arial" w:hAnsi="Arial" w:cs="Arial"/>
          <w:szCs w:val="24"/>
        </w:rPr>
      </w:pPr>
      <w:r w:rsidRPr="009F1996">
        <w:rPr>
          <w:rFonts w:ascii="Arial" w:hAnsi="Arial" w:cs="Arial"/>
          <w:szCs w:val="24"/>
        </w:rPr>
        <w:t>El PRMS es un sistema que provee las bases para la clasificación y categorización de las reservas y recursos petroleros</w:t>
      </w:r>
      <w:r>
        <w:rPr>
          <w:rFonts w:ascii="Arial" w:hAnsi="Arial" w:cs="Arial"/>
          <w:szCs w:val="24"/>
        </w:rPr>
        <w:t>.</w:t>
      </w:r>
      <w:r w:rsidRPr="009F1996">
        <w:rPr>
          <w:rFonts w:ascii="Arial" w:hAnsi="Arial" w:cs="Arial"/>
          <w:szCs w:val="24"/>
        </w:rPr>
        <w:t xml:space="preserve"> </w:t>
      </w:r>
      <w:r>
        <w:rPr>
          <w:rFonts w:ascii="Arial" w:hAnsi="Arial" w:cs="Arial"/>
          <w:szCs w:val="24"/>
        </w:rPr>
        <w:t>T</w:t>
      </w:r>
      <w:r w:rsidRPr="009F1996">
        <w:rPr>
          <w:rFonts w:ascii="Arial" w:hAnsi="Arial" w:cs="Arial"/>
          <w:szCs w:val="24"/>
        </w:rPr>
        <w:t xml:space="preserve">iene un enfoque comercial que clasifica los estimados de cantidades recuperables en ventas. Clasifica así la posibilidad de la comercialización de  las reservas en reservas prospectivas, reservas contingentes y reservas (probadas, probables y posibles). La categorización de los recursos petroleros considera al petróleo convencional y no convencional. Tanto la clasificación de las reservas como la categorización de los recursos son modificables en el tiempo de acuerdo a las </w:t>
      </w:r>
      <w:r w:rsidRPr="009F1996">
        <w:rPr>
          <w:rFonts w:ascii="Arial" w:hAnsi="Arial" w:cs="Arial"/>
          <w:szCs w:val="24"/>
        </w:rPr>
        <w:lastRenderedPageBreak/>
        <w:t>innovaciones tecnológicas y los cambios en la industria, por lo que el PRMS continúa en evolución.</w:t>
      </w:r>
    </w:p>
    <w:p w14:paraId="3C4C7A9A" w14:textId="77777777" w:rsidR="004E3427" w:rsidRPr="009F1996" w:rsidRDefault="004E3427" w:rsidP="004E3427">
      <w:pPr>
        <w:tabs>
          <w:tab w:val="left" w:pos="1701"/>
        </w:tabs>
        <w:spacing w:line="360" w:lineRule="auto"/>
        <w:rPr>
          <w:rFonts w:ascii="Arial" w:hAnsi="Arial" w:cs="Arial"/>
          <w:szCs w:val="24"/>
        </w:rPr>
      </w:pPr>
      <w:r w:rsidRPr="009F1996">
        <w:rPr>
          <w:rFonts w:ascii="Arial" w:hAnsi="Arial" w:cs="Arial"/>
          <w:szCs w:val="24"/>
        </w:rPr>
        <w:t>El término ‘petróleo no convencional’ se refiere a la geología de donde se encuentra el recurso (</w:t>
      </w:r>
      <w:proofErr w:type="spellStart"/>
      <w:r w:rsidRPr="009F1996">
        <w:rPr>
          <w:rFonts w:ascii="Arial" w:hAnsi="Arial" w:cs="Arial"/>
          <w:szCs w:val="24"/>
        </w:rPr>
        <w:t>Ratner</w:t>
      </w:r>
      <w:proofErr w:type="spellEnd"/>
      <w:r w:rsidRPr="009F1996">
        <w:rPr>
          <w:rFonts w:ascii="Arial" w:hAnsi="Arial" w:cs="Arial"/>
          <w:szCs w:val="24"/>
        </w:rPr>
        <w:t>, 2014). La Sociedad de Ingenieros Petroleros (SPE) describe los recursos no convencionales como acumulaciones petroleras impregnadas en un área extensa. Se les conoce como depósitos de tipo continuo o formaciones apretadas (</w:t>
      </w:r>
      <w:proofErr w:type="spellStart"/>
      <w:r w:rsidRPr="009F1996">
        <w:rPr>
          <w:rFonts w:ascii="Arial" w:hAnsi="Arial" w:cs="Arial"/>
          <w:szCs w:val="24"/>
        </w:rPr>
        <w:t>tight</w:t>
      </w:r>
      <w:proofErr w:type="spellEnd"/>
      <w:r w:rsidRPr="009F1996">
        <w:rPr>
          <w:rFonts w:ascii="Arial" w:hAnsi="Arial" w:cs="Arial"/>
          <w:szCs w:val="24"/>
        </w:rPr>
        <w:t>) ya que el petróleo convencional ocurre en reservas de yacimientos carbonatados con piedras porosas areniscas y permeables; mientras que en las reservas no convencionales, a pesar de que puede haber presencia de formaciones porosas y otros sedimentos de reservas, el tamaño diminuto de los poros y la falta de permeabilidad las hacen resistentes al flujo de hidrocarburos. De esta forma el petróleo y gas permanecen en la roca de origen (</w:t>
      </w:r>
      <w:proofErr w:type="spellStart"/>
      <w:r w:rsidRPr="009F1996">
        <w:rPr>
          <w:rFonts w:ascii="Arial" w:hAnsi="Arial" w:cs="Arial"/>
          <w:szCs w:val="24"/>
        </w:rPr>
        <w:t>Ratner</w:t>
      </w:r>
      <w:proofErr w:type="spellEnd"/>
      <w:r w:rsidRPr="009F1996">
        <w:rPr>
          <w:rFonts w:ascii="Arial" w:hAnsi="Arial" w:cs="Arial"/>
          <w:szCs w:val="24"/>
        </w:rPr>
        <w:t>, 2014).</w:t>
      </w:r>
    </w:p>
    <w:p w14:paraId="5D0835BE"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De acuerdo al Departamento de Estado de EE.UU, falta elaborar una definición estricta de lo que es el petróleo no convencional, ya que están emergiendo nuevos tipos de petróleo (convencional, transitorio, no convencional) clasificados según la forma de extracción y procesamiento. Ya que la composición del petróleo está cambiando, consecuentemente cambian los procesos de refinación. No obstante, se espera que los productos derivados del petróleo permanezcan relativamente sin cambios en su apariencia y uso a pesar de los florecientes cambios en su calidad.</w:t>
      </w:r>
    </w:p>
    <w:p w14:paraId="1F02A506"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 xml:space="preserve">El Departamento de Energía de EE.UU. divide el petróleo no convencional en cuatro tipos: pesado, extra pesado, bituminoso y </w:t>
      </w:r>
      <w:proofErr w:type="spellStart"/>
      <w:r w:rsidRPr="009F1996">
        <w:rPr>
          <w:rFonts w:ascii="Arial" w:hAnsi="Arial" w:cs="Arial"/>
          <w:szCs w:val="24"/>
        </w:rPr>
        <w:t>shale</w:t>
      </w:r>
      <w:proofErr w:type="spellEnd"/>
      <w:r w:rsidRPr="009F1996">
        <w:rPr>
          <w:rFonts w:ascii="Arial" w:hAnsi="Arial" w:cs="Arial"/>
          <w:szCs w:val="24"/>
        </w:rPr>
        <w:t>; aunque en algunos análisis se incluye el gas a líquidos, el cual se obtiene mediante procesos que convierten el gas natural a petróleo (Forrest, 2012).</w:t>
      </w:r>
    </w:p>
    <w:p w14:paraId="43819957"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La composición del petróleo convencional es rica en hidrógeno con relativamente menos cadenas de hidrocarburos, menos átomos de carbono, de C1 a C60 y menos peso molecular que la mayoría del petróleo no convencional. La energía se concentra en el hidrógeno por lo que el petróleo convencional es más productivo que el no convencional.</w:t>
      </w:r>
    </w:p>
    <w:p w14:paraId="5DE4875B"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 xml:space="preserve">El petróleo no convencional tiende a ser pesado, complejo, con alto contenido de carbono, y localizado muy debajo de la tierra, atrapado estrechamente. En general, entre más pesado sea el petróleo, mayor será la huella de carbono que emita por contener un mayor </w:t>
      </w:r>
      <w:r w:rsidRPr="009F1996">
        <w:rPr>
          <w:rFonts w:ascii="Arial" w:hAnsi="Arial" w:cs="Arial"/>
          <w:szCs w:val="24"/>
        </w:rPr>
        <w:lastRenderedPageBreak/>
        <w:t>contenido de carbón. Esto deriva en que se necesitan procesos más complejos e intensos para  su refinación, con mayor cantidad de aditivos y mayor utilización de energía.</w:t>
      </w:r>
    </w:p>
    <w:p w14:paraId="2329855A"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Entre más pesado sea el petróleo, más difícil es extraerlo, pues se necesitan inyecciones de gas y otras  técnicas invasivas debido a su viscosidad. Esto encarece los costos de extracción, además de que el precio de venta del crudo pesado es menor (Hughes, 2013).</w:t>
      </w:r>
    </w:p>
    <w:p w14:paraId="0AED98A1"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 xml:space="preserve">El petróleo </w:t>
      </w:r>
      <w:proofErr w:type="spellStart"/>
      <w:r w:rsidRPr="009F1996">
        <w:rPr>
          <w:rFonts w:ascii="Arial" w:hAnsi="Arial" w:cs="Arial"/>
          <w:szCs w:val="24"/>
        </w:rPr>
        <w:t>shale</w:t>
      </w:r>
      <w:proofErr w:type="spellEnd"/>
      <w:r w:rsidRPr="009F1996">
        <w:rPr>
          <w:rFonts w:ascii="Arial" w:hAnsi="Arial" w:cs="Arial"/>
          <w:szCs w:val="24"/>
        </w:rPr>
        <w:t xml:space="preserve">, considerado petróleo no convencional, es crudo inmaduro que no ha estado en el subsuelo el tiempo suficiente para terminar su proceso de formación. Está compuesto en mayor medida por arcilla, sales, limo y un porcentaje menor de materia orgánica: queroseno y un porcentaje todavía menor de bitumen soluble. Al igual que las arenas bituminosas, el petróleo </w:t>
      </w:r>
      <w:proofErr w:type="spellStart"/>
      <w:r w:rsidRPr="009F1996">
        <w:rPr>
          <w:rFonts w:ascii="Arial" w:hAnsi="Arial" w:cs="Arial"/>
          <w:szCs w:val="24"/>
        </w:rPr>
        <w:t>shale</w:t>
      </w:r>
      <w:proofErr w:type="spellEnd"/>
      <w:r w:rsidRPr="009F1996">
        <w:rPr>
          <w:rFonts w:ascii="Arial" w:hAnsi="Arial" w:cs="Arial"/>
          <w:szCs w:val="24"/>
        </w:rPr>
        <w:t xml:space="preserve"> tiene un contenido similar al </w:t>
      </w:r>
      <w:r>
        <w:rPr>
          <w:rFonts w:ascii="Arial" w:hAnsi="Arial" w:cs="Arial"/>
          <w:szCs w:val="24"/>
        </w:rPr>
        <w:t>sulfuro</w:t>
      </w:r>
      <w:r w:rsidRPr="009F1996">
        <w:rPr>
          <w:rFonts w:ascii="Arial" w:hAnsi="Arial" w:cs="Arial"/>
          <w:szCs w:val="24"/>
        </w:rPr>
        <w:t xml:space="preserve"> (Hughes, 2013).</w:t>
      </w:r>
    </w:p>
    <w:p w14:paraId="5804FE2D"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 xml:space="preserve">La localización de los recursos también cambia cuando se habla de petróleo no convencional. Los recursos no se concentran en el Medio Oriente, África o Rusia. Los yacimientos de petróleo no convencional del siglo veintiuno se encuentran en el Hemisferio Occidental. De acuerdo a la International </w:t>
      </w:r>
      <w:proofErr w:type="spellStart"/>
      <w:r w:rsidRPr="009F1996">
        <w:rPr>
          <w:rFonts w:ascii="Arial" w:hAnsi="Arial" w:cs="Arial"/>
          <w:szCs w:val="24"/>
        </w:rPr>
        <w:t>Energy</w:t>
      </w:r>
      <w:proofErr w:type="spellEnd"/>
      <w:r w:rsidRPr="009F1996">
        <w:rPr>
          <w:rFonts w:ascii="Arial" w:hAnsi="Arial" w:cs="Arial"/>
          <w:szCs w:val="24"/>
        </w:rPr>
        <w:t xml:space="preserve"> Agency (IEA), Norte América es el hogar de las reservas más grandes de recursos no convencionales</w:t>
      </w:r>
      <w:r>
        <w:rPr>
          <w:rFonts w:ascii="Arial" w:hAnsi="Arial" w:cs="Arial"/>
          <w:szCs w:val="24"/>
        </w:rPr>
        <w:t>.</w:t>
      </w:r>
      <w:r w:rsidRPr="009F1996">
        <w:rPr>
          <w:rFonts w:ascii="Arial" w:hAnsi="Arial" w:cs="Arial"/>
          <w:szCs w:val="24"/>
        </w:rPr>
        <w:t xml:space="preserve"> </w:t>
      </w:r>
      <w:r>
        <w:rPr>
          <w:rFonts w:ascii="Arial" w:hAnsi="Arial" w:cs="Arial"/>
          <w:szCs w:val="24"/>
        </w:rPr>
        <w:t>S</w:t>
      </w:r>
      <w:r w:rsidRPr="009F1996">
        <w:rPr>
          <w:rFonts w:ascii="Arial" w:hAnsi="Arial" w:cs="Arial"/>
          <w:szCs w:val="24"/>
        </w:rPr>
        <w:t xml:space="preserve">e </w:t>
      </w:r>
      <w:r>
        <w:rPr>
          <w:rFonts w:ascii="Arial" w:hAnsi="Arial" w:cs="Arial"/>
          <w:szCs w:val="24"/>
        </w:rPr>
        <w:t xml:space="preserve">estima que Norte América tiene </w:t>
      </w:r>
      <w:r w:rsidRPr="009F1996">
        <w:rPr>
          <w:rFonts w:ascii="Arial" w:hAnsi="Arial" w:cs="Arial"/>
          <w:szCs w:val="24"/>
        </w:rPr>
        <w:t xml:space="preserve">50 por ciento más </w:t>
      </w:r>
      <w:r>
        <w:rPr>
          <w:rFonts w:ascii="Arial" w:hAnsi="Arial" w:cs="Arial"/>
          <w:szCs w:val="24"/>
        </w:rPr>
        <w:t xml:space="preserve">en </w:t>
      </w:r>
      <w:r w:rsidRPr="009F1996">
        <w:rPr>
          <w:rFonts w:ascii="Arial" w:hAnsi="Arial" w:cs="Arial"/>
          <w:szCs w:val="24"/>
        </w:rPr>
        <w:t xml:space="preserve">reservas no convencionales que Medio Oriente </w:t>
      </w:r>
      <w:r>
        <w:rPr>
          <w:rFonts w:ascii="Arial" w:hAnsi="Arial" w:cs="Arial"/>
          <w:szCs w:val="24"/>
        </w:rPr>
        <w:t>en</w:t>
      </w:r>
      <w:r w:rsidRPr="009F1996">
        <w:rPr>
          <w:rFonts w:ascii="Arial" w:hAnsi="Arial" w:cs="Arial"/>
          <w:szCs w:val="24"/>
        </w:rPr>
        <w:t xml:space="preserve"> reservas convencionales. De acuerdo al número de reservas de petróleo no convencional, la segunda región con mayor cantidad es  Europa del Este, Eurasia y Latinoamérica (Gordon, 2011).</w:t>
      </w:r>
    </w:p>
    <w:p w14:paraId="5297EC33" w14:textId="77777777" w:rsidR="004E3427" w:rsidRPr="009F1996" w:rsidRDefault="004E3427" w:rsidP="004E3427">
      <w:pPr>
        <w:tabs>
          <w:tab w:val="left" w:pos="1701"/>
        </w:tabs>
        <w:spacing w:line="360" w:lineRule="auto"/>
        <w:rPr>
          <w:rFonts w:ascii="Arial" w:hAnsi="Arial" w:cs="Arial"/>
          <w:szCs w:val="24"/>
        </w:rPr>
      </w:pPr>
      <w:r w:rsidRPr="009F1996">
        <w:rPr>
          <w:rFonts w:ascii="Arial" w:hAnsi="Arial" w:cs="Arial"/>
          <w:szCs w:val="24"/>
        </w:rPr>
        <w:t xml:space="preserve">Para la industria de petróleo y gas en EE.UU., de acuerdo con la U.S. </w:t>
      </w:r>
      <w:proofErr w:type="spellStart"/>
      <w:r w:rsidRPr="009F1996">
        <w:rPr>
          <w:rFonts w:ascii="Arial" w:hAnsi="Arial" w:cs="Arial"/>
          <w:szCs w:val="24"/>
        </w:rPr>
        <w:t>Energy</w:t>
      </w:r>
      <w:proofErr w:type="spellEnd"/>
      <w:r w:rsidRPr="009F1996">
        <w:rPr>
          <w:rFonts w:ascii="Arial" w:hAnsi="Arial" w:cs="Arial"/>
          <w:szCs w:val="24"/>
        </w:rPr>
        <w:t xml:space="preserve"> </w:t>
      </w:r>
      <w:proofErr w:type="spellStart"/>
      <w:r w:rsidRPr="009F1996">
        <w:rPr>
          <w:rFonts w:ascii="Arial" w:hAnsi="Arial" w:cs="Arial"/>
          <w:szCs w:val="24"/>
        </w:rPr>
        <w:t>Information</w:t>
      </w:r>
      <w:proofErr w:type="spellEnd"/>
      <w:r w:rsidRPr="009F1996">
        <w:rPr>
          <w:rFonts w:ascii="Arial" w:hAnsi="Arial" w:cs="Arial"/>
          <w:szCs w:val="24"/>
        </w:rPr>
        <w:t xml:space="preserve"> and </w:t>
      </w:r>
      <w:proofErr w:type="spellStart"/>
      <w:r w:rsidRPr="009F1996">
        <w:rPr>
          <w:rFonts w:ascii="Arial" w:hAnsi="Arial" w:cs="Arial"/>
          <w:szCs w:val="24"/>
        </w:rPr>
        <w:t>Petroleum</w:t>
      </w:r>
      <w:proofErr w:type="spellEnd"/>
      <w:r w:rsidRPr="009F1996">
        <w:rPr>
          <w:rFonts w:ascii="Arial" w:hAnsi="Arial" w:cs="Arial"/>
          <w:szCs w:val="24"/>
        </w:rPr>
        <w:t xml:space="preserve"> </w:t>
      </w:r>
      <w:proofErr w:type="spellStart"/>
      <w:r w:rsidRPr="009F1996">
        <w:rPr>
          <w:rFonts w:ascii="Arial" w:hAnsi="Arial" w:cs="Arial"/>
          <w:szCs w:val="24"/>
        </w:rPr>
        <w:t>Administration</w:t>
      </w:r>
      <w:proofErr w:type="spellEnd"/>
      <w:r w:rsidRPr="009F1996">
        <w:rPr>
          <w:rFonts w:ascii="Arial" w:hAnsi="Arial" w:cs="Arial"/>
          <w:szCs w:val="24"/>
        </w:rPr>
        <w:t xml:space="preserve"> (EIA), el término </w:t>
      </w:r>
      <w:r>
        <w:rPr>
          <w:rFonts w:ascii="Arial" w:hAnsi="Arial" w:cs="Arial"/>
          <w:szCs w:val="24"/>
        </w:rPr>
        <w:t>‘</w:t>
      </w:r>
      <w:proofErr w:type="spellStart"/>
      <w:r w:rsidRPr="009F1996">
        <w:rPr>
          <w:rFonts w:ascii="Arial" w:hAnsi="Arial" w:cs="Arial"/>
          <w:szCs w:val="24"/>
        </w:rPr>
        <w:t>tight</w:t>
      </w:r>
      <w:proofErr w:type="spellEnd"/>
      <w:r w:rsidRPr="009F1996">
        <w:rPr>
          <w:rFonts w:ascii="Arial" w:hAnsi="Arial" w:cs="Arial"/>
          <w:szCs w:val="24"/>
        </w:rPr>
        <w:t xml:space="preserve"> </w:t>
      </w:r>
      <w:proofErr w:type="spellStart"/>
      <w:r w:rsidRPr="009F1996">
        <w:rPr>
          <w:rFonts w:ascii="Arial" w:hAnsi="Arial" w:cs="Arial"/>
          <w:szCs w:val="24"/>
        </w:rPr>
        <w:t>oil</w:t>
      </w:r>
      <w:proofErr w:type="spellEnd"/>
      <w:r>
        <w:rPr>
          <w:rFonts w:ascii="Arial" w:hAnsi="Arial" w:cs="Arial"/>
          <w:szCs w:val="24"/>
        </w:rPr>
        <w:t>’</w:t>
      </w:r>
      <w:r w:rsidRPr="009F1996">
        <w:rPr>
          <w:rFonts w:ascii="Arial" w:hAnsi="Arial" w:cs="Arial"/>
          <w:szCs w:val="24"/>
        </w:rPr>
        <w:t xml:space="preserve"> se utiliza para referirse a la extracción de petróleo que proviene de diferentes formaciones geológicas que incluyen principalmente la baja permeabilidad de formaciones rocosas. El uso del término </w:t>
      </w:r>
      <w:proofErr w:type="spellStart"/>
      <w:r w:rsidRPr="009F1996">
        <w:rPr>
          <w:rFonts w:ascii="Arial" w:hAnsi="Arial" w:cs="Arial"/>
          <w:szCs w:val="24"/>
        </w:rPr>
        <w:t>tight</w:t>
      </w:r>
      <w:proofErr w:type="spellEnd"/>
      <w:r w:rsidRPr="009F1996">
        <w:rPr>
          <w:rFonts w:ascii="Arial" w:hAnsi="Arial" w:cs="Arial"/>
          <w:szCs w:val="24"/>
        </w:rPr>
        <w:t xml:space="preserve"> </w:t>
      </w:r>
      <w:proofErr w:type="spellStart"/>
      <w:r w:rsidRPr="009F1996">
        <w:rPr>
          <w:rFonts w:ascii="Arial" w:hAnsi="Arial" w:cs="Arial"/>
          <w:szCs w:val="24"/>
        </w:rPr>
        <w:t>oil</w:t>
      </w:r>
      <w:proofErr w:type="spellEnd"/>
      <w:r w:rsidRPr="009F1996">
        <w:rPr>
          <w:rFonts w:ascii="Arial" w:hAnsi="Arial" w:cs="Arial"/>
          <w:szCs w:val="24"/>
        </w:rPr>
        <w:t xml:space="preserve"> tiene un significado más informal debido a que la EIA adoptó la convención social de que éste se utilice para todos los recursos, reservas y producción asociados a las formaciones de baja permeabilidad que produzcan petróleo. Dicha convención incluye las formaciones </w:t>
      </w:r>
      <w:proofErr w:type="spellStart"/>
      <w:r w:rsidRPr="009F1996">
        <w:rPr>
          <w:rFonts w:ascii="Arial" w:hAnsi="Arial" w:cs="Arial"/>
          <w:szCs w:val="24"/>
        </w:rPr>
        <w:t>shale</w:t>
      </w:r>
      <w:proofErr w:type="spellEnd"/>
      <w:r w:rsidRPr="009F1996">
        <w:rPr>
          <w:rFonts w:ascii="Arial" w:hAnsi="Arial" w:cs="Arial"/>
          <w:szCs w:val="24"/>
        </w:rPr>
        <w:t xml:space="preserve"> (EIA, 2015).</w:t>
      </w:r>
    </w:p>
    <w:p w14:paraId="294D30ED" w14:textId="77777777" w:rsidR="004E3427" w:rsidRDefault="004E3427" w:rsidP="004E3427">
      <w:pPr>
        <w:spacing w:line="360" w:lineRule="auto"/>
        <w:rPr>
          <w:rFonts w:ascii="Arial" w:hAnsi="Arial" w:cs="Arial"/>
          <w:szCs w:val="24"/>
        </w:rPr>
      </w:pPr>
      <w:r w:rsidRPr="009F1996">
        <w:rPr>
          <w:rFonts w:ascii="Arial" w:hAnsi="Arial" w:cs="Arial"/>
          <w:szCs w:val="24"/>
        </w:rPr>
        <w:t xml:space="preserve">Ahora bien, es preciso hacer algunas aclaraciones en cuanto a la terminología de las formaciones </w:t>
      </w:r>
      <w:proofErr w:type="spellStart"/>
      <w:r w:rsidRPr="009F1996">
        <w:rPr>
          <w:rFonts w:ascii="Arial" w:hAnsi="Arial" w:cs="Arial"/>
          <w:szCs w:val="24"/>
        </w:rPr>
        <w:t>shale</w:t>
      </w:r>
      <w:proofErr w:type="spellEnd"/>
      <w:r w:rsidRPr="009F1996">
        <w:rPr>
          <w:rFonts w:ascii="Arial" w:hAnsi="Arial" w:cs="Arial"/>
          <w:szCs w:val="24"/>
        </w:rPr>
        <w:t xml:space="preserve"> y su utilización en cuanto a la presente investigación. De acuerdo con Colorado </w:t>
      </w:r>
      <w:proofErr w:type="spellStart"/>
      <w:r w:rsidRPr="009F1996">
        <w:rPr>
          <w:rFonts w:ascii="Arial" w:hAnsi="Arial" w:cs="Arial"/>
          <w:szCs w:val="24"/>
        </w:rPr>
        <w:t>oil</w:t>
      </w:r>
      <w:proofErr w:type="spellEnd"/>
      <w:r w:rsidRPr="009F1996">
        <w:rPr>
          <w:rFonts w:ascii="Arial" w:hAnsi="Arial" w:cs="Arial"/>
          <w:szCs w:val="24"/>
        </w:rPr>
        <w:t xml:space="preserve"> &amp; Gas </w:t>
      </w:r>
      <w:proofErr w:type="spellStart"/>
      <w:r w:rsidRPr="009F1996">
        <w:rPr>
          <w:rFonts w:ascii="Arial" w:hAnsi="Arial" w:cs="Arial"/>
          <w:szCs w:val="24"/>
        </w:rPr>
        <w:t>Association</w:t>
      </w:r>
      <w:proofErr w:type="spellEnd"/>
      <w:r w:rsidRPr="009F1996">
        <w:rPr>
          <w:rFonts w:ascii="Arial" w:hAnsi="Arial" w:cs="Arial"/>
          <w:szCs w:val="24"/>
        </w:rPr>
        <w:t xml:space="preserve"> (2013), los términos </w:t>
      </w:r>
      <w:proofErr w:type="spellStart"/>
      <w:r w:rsidRPr="009F1996">
        <w:rPr>
          <w:rFonts w:ascii="Arial" w:hAnsi="Arial" w:cs="Arial"/>
          <w:i/>
          <w:szCs w:val="24"/>
        </w:rPr>
        <w:t>oil</w:t>
      </w:r>
      <w:proofErr w:type="spellEnd"/>
      <w:r w:rsidRPr="009F1996">
        <w:rPr>
          <w:rFonts w:ascii="Arial" w:hAnsi="Arial" w:cs="Arial"/>
          <w:i/>
          <w:szCs w:val="24"/>
        </w:rPr>
        <w:t xml:space="preserve"> </w:t>
      </w:r>
      <w:proofErr w:type="spellStart"/>
      <w:r w:rsidRPr="009F1996">
        <w:rPr>
          <w:rFonts w:ascii="Arial" w:hAnsi="Arial" w:cs="Arial"/>
          <w:i/>
          <w:szCs w:val="24"/>
        </w:rPr>
        <w:t>shale</w:t>
      </w:r>
      <w:proofErr w:type="spellEnd"/>
      <w:r w:rsidRPr="009F1996">
        <w:rPr>
          <w:rFonts w:ascii="Arial" w:hAnsi="Arial" w:cs="Arial"/>
          <w:i/>
          <w:szCs w:val="24"/>
        </w:rPr>
        <w:t xml:space="preserve"> </w:t>
      </w:r>
      <w:r w:rsidRPr="009F1996">
        <w:rPr>
          <w:rFonts w:ascii="Arial" w:hAnsi="Arial" w:cs="Arial"/>
          <w:szCs w:val="24"/>
        </w:rPr>
        <w:t xml:space="preserve">y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i/>
          <w:szCs w:val="24"/>
        </w:rPr>
        <w:t xml:space="preserve">  </w:t>
      </w:r>
      <w:r w:rsidRPr="009F1996">
        <w:rPr>
          <w:rFonts w:ascii="Arial" w:hAnsi="Arial" w:cs="Arial"/>
          <w:szCs w:val="24"/>
        </w:rPr>
        <w:t xml:space="preserve">tienen significados diferentes.  El </w:t>
      </w:r>
      <w:proofErr w:type="spellStart"/>
      <w:r w:rsidRPr="009F1996">
        <w:rPr>
          <w:rFonts w:ascii="Arial" w:hAnsi="Arial" w:cs="Arial"/>
          <w:i/>
          <w:szCs w:val="24"/>
        </w:rPr>
        <w:t>oil</w:t>
      </w:r>
      <w:proofErr w:type="spellEnd"/>
      <w:r w:rsidRPr="009F1996">
        <w:rPr>
          <w:rFonts w:ascii="Arial" w:hAnsi="Arial" w:cs="Arial"/>
          <w:i/>
          <w:szCs w:val="24"/>
        </w:rPr>
        <w:t xml:space="preserve"> </w:t>
      </w:r>
      <w:proofErr w:type="spellStart"/>
      <w:r w:rsidRPr="009F1996">
        <w:rPr>
          <w:rFonts w:ascii="Arial" w:hAnsi="Arial" w:cs="Arial"/>
          <w:i/>
          <w:szCs w:val="24"/>
        </w:rPr>
        <w:t>shale</w:t>
      </w:r>
      <w:proofErr w:type="spellEnd"/>
      <w:r w:rsidRPr="009F1996">
        <w:rPr>
          <w:rFonts w:ascii="Arial" w:hAnsi="Arial" w:cs="Arial"/>
          <w:szCs w:val="24"/>
        </w:rPr>
        <w:t xml:space="preserve">  es una roca sedimentaria que contiene </w:t>
      </w:r>
      <w:proofErr w:type="spellStart"/>
      <w:r w:rsidRPr="009F1996">
        <w:rPr>
          <w:rFonts w:ascii="Arial" w:hAnsi="Arial" w:cs="Arial"/>
          <w:szCs w:val="24"/>
        </w:rPr>
        <w:t>kerogeno</w:t>
      </w:r>
      <w:proofErr w:type="spellEnd"/>
      <w:r w:rsidRPr="009F1996">
        <w:rPr>
          <w:rFonts w:ascii="Arial" w:hAnsi="Arial" w:cs="Arial"/>
          <w:szCs w:val="24"/>
        </w:rPr>
        <w:t xml:space="preserve">, un </w:t>
      </w:r>
      <w:r w:rsidRPr="009F1996">
        <w:rPr>
          <w:rFonts w:ascii="Arial" w:hAnsi="Arial" w:cs="Arial"/>
          <w:szCs w:val="24"/>
        </w:rPr>
        <w:lastRenderedPageBreak/>
        <w:t xml:space="preserve">compuesto orgánico sólido. Para procesar el </w:t>
      </w:r>
      <w:proofErr w:type="spellStart"/>
      <w:r w:rsidRPr="009F1996">
        <w:rPr>
          <w:rFonts w:ascii="Arial" w:hAnsi="Arial" w:cs="Arial"/>
          <w:szCs w:val="24"/>
        </w:rPr>
        <w:t>kerogeno</w:t>
      </w:r>
      <w:proofErr w:type="spellEnd"/>
      <w:r w:rsidRPr="009F1996">
        <w:rPr>
          <w:rFonts w:ascii="Arial" w:hAnsi="Arial" w:cs="Arial"/>
          <w:szCs w:val="24"/>
        </w:rPr>
        <w:t xml:space="preserve"> se utiliza un proceso llamado </w:t>
      </w:r>
      <w:proofErr w:type="spellStart"/>
      <w:r w:rsidRPr="009F1996">
        <w:rPr>
          <w:rFonts w:ascii="Arial" w:hAnsi="Arial" w:cs="Arial"/>
          <w:i/>
          <w:szCs w:val="24"/>
        </w:rPr>
        <w:t>retorting</w:t>
      </w:r>
      <w:proofErr w:type="spellEnd"/>
      <w:r w:rsidRPr="009F1996">
        <w:rPr>
          <w:rFonts w:ascii="Arial" w:hAnsi="Arial" w:cs="Arial"/>
          <w:szCs w:val="24"/>
        </w:rPr>
        <w:t xml:space="preserve">. Este proceso produce vapor de una mezcla de hidrocarburos que cuando se condensan producen petróleo; se refina para crear lubricantes y combustibles líquidos.  Por su parte 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es petróleo atrapado en rocas de baja porosidad y permeabilidad. Comúnmente en piedras </w:t>
      </w:r>
      <w:proofErr w:type="spellStart"/>
      <w:r w:rsidRPr="009F1996">
        <w:rPr>
          <w:rFonts w:ascii="Arial" w:hAnsi="Arial" w:cs="Arial"/>
          <w:i/>
          <w:szCs w:val="24"/>
        </w:rPr>
        <w:t>shale</w:t>
      </w:r>
      <w:proofErr w:type="spellEnd"/>
      <w:r w:rsidRPr="009F1996">
        <w:rPr>
          <w:rFonts w:ascii="Arial" w:hAnsi="Arial" w:cs="Arial"/>
          <w:szCs w:val="24"/>
        </w:rPr>
        <w:t xml:space="preserve">, </w:t>
      </w:r>
      <w:proofErr w:type="spellStart"/>
      <w:r w:rsidRPr="009F1996">
        <w:rPr>
          <w:rFonts w:ascii="Arial" w:hAnsi="Arial" w:cs="Arial"/>
          <w:i/>
          <w:szCs w:val="24"/>
        </w:rPr>
        <w:t>silistone</w:t>
      </w:r>
      <w:proofErr w:type="spellEnd"/>
      <w:r w:rsidRPr="009F1996">
        <w:rPr>
          <w:rFonts w:ascii="Arial" w:hAnsi="Arial" w:cs="Arial"/>
          <w:i/>
          <w:szCs w:val="24"/>
        </w:rPr>
        <w:t xml:space="preserve"> </w:t>
      </w:r>
      <w:proofErr w:type="spellStart"/>
      <w:r w:rsidRPr="009F1996">
        <w:rPr>
          <w:rFonts w:ascii="Arial" w:hAnsi="Arial" w:cs="Arial"/>
          <w:i/>
          <w:szCs w:val="24"/>
        </w:rPr>
        <w:t>limestone</w:t>
      </w:r>
      <w:proofErr w:type="spellEnd"/>
      <w:r w:rsidRPr="009F1996">
        <w:rPr>
          <w:rFonts w:ascii="Arial" w:hAnsi="Arial" w:cs="Arial"/>
          <w:szCs w:val="24"/>
        </w:rPr>
        <w:t xml:space="preserve"> o </w:t>
      </w:r>
      <w:proofErr w:type="spellStart"/>
      <w:r w:rsidRPr="009F1996">
        <w:rPr>
          <w:rFonts w:ascii="Arial" w:hAnsi="Arial" w:cs="Arial"/>
          <w:i/>
          <w:szCs w:val="24"/>
        </w:rPr>
        <w:t>dolomite</w:t>
      </w:r>
      <w:proofErr w:type="spellEnd"/>
      <w:r w:rsidRPr="009F1996">
        <w:rPr>
          <w:rFonts w:ascii="Arial" w:hAnsi="Arial" w:cs="Arial"/>
          <w:szCs w:val="24"/>
        </w:rPr>
        <w:t xml:space="preserve">, que residen a una milla por debajo de la superficie terrestre. El </w:t>
      </w:r>
      <w:proofErr w:type="spellStart"/>
      <w:r w:rsidRPr="009F1996">
        <w:rPr>
          <w:rFonts w:ascii="Arial" w:hAnsi="Arial" w:cs="Arial"/>
          <w:szCs w:val="24"/>
        </w:rPr>
        <w:t>kerogeno</w:t>
      </w:r>
      <w:proofErr w:type="spellEnd"/>
      <w:r w:rsidRPr="009F1996">
        <w:rPr>
          <w:rFonts w:ascii="Arial" w:hAnsi="Arial" w:cs="Arial"/>
          <w:szCs w:val="24"/>
        </w:rPr>
        <w:t xml:space="preserve"> que contienen estas rocas ya se ha convertido en petróleo o gas debido a la profundidad a la que se encuentran. Es por ello que la técnica de extracción utilizada es fracturación hidráulica y perforación horizontal aunque su refinación es igual al petróleo convencional. El </w:t>
      </w:r>
      <w:proofErr w:type="spellStart"/>
      <w:r w:rsidRPr="009F1996">
        <w:rPr>
          <w:rFonts w:ascii="Arial" w:hAnsi="Arial" w:cs="Arial"/>
          <w:i/>
          <w:szCs w:val="24"/>
        </w:rPr>
        <w:t>shale</w:t>
      </w:r>
      <w:proofErr w:type="spellEnd"/>
      <w:r w:rsidRPr="009F1996">
        <w:rPr>
          <w:rFonts w:ascii="Arial" w:hAnsi="Arial" w:cs="Arial"/>
          <w:i/>
          <w:szCs w:val="24"/>
        </w:rPr>
        <w:t xml:space="preserve"> </w:t>
      </w:r>
      <w:proofErr w:type="spellStart"/>
      <w:r w:rsidRPr="009F1996">
        <w:rPr>
          <w:rFonts w:ascii="Arial" w:hAnsi="Arial" w:cs="Arial"/>
          <w:i/>
          <w:szCs w:val="24"/>
        </w:rPr>
        <w:t>oil</w:t>
      </w:r>
      <w:proofErr w:type="spellEnd"/>
      <w:r w:rsidRPr="009F1996">
        <w:rPr>
          <w:rFonts w:ascii="Arial" w:hAnsi="Arial" w:cs="Arial"/>
          <w:szCs w:val="24"/>
        </w:rPr>
        <w:t xml:space="preserve"> se categoriza generalmente como crudo ligero y dulce. </w:t>
      </w:r>
    </w:p>
    <w:p w14:paraId="115ACA1E" w14:textId="77777777" w:rsidR="004E3427" w:rsidRPr="009F1996" w:rsidRDefault="004E3427" w:rsidP="004E3427">
      <w:pPr>
        <w:spacing w:line="360" w:lineRule="auto"/>
        <w:rPr>
          <w:rFonts w:ascii="Arial" w:hAnsi="Arial" w:cs="Arial"/>
          <w:szCs w:val="24"/>
        </w:rPr>
      </w:pPr>
      <w:r w:rsidRPr="009F1996">
        <w:rPr>
          <w:rFonts w:ascii="Arial" w:hAnsi="Arial" w:cs="Arial"/>
          <w:szCs w:val="24"/>
        </w:rPr>
        <w:t xml:space="preserve">Una vez explicado lo anterior, se puede observar que en la revisión de la legislación y las políticas relativas a incentivar la industria del petróleo no convencional, no se hace una clara diferencia sobre los términos planteados anteriormente, sino que se engloba al petróleo no convencional dentro de la política pública que va a incentivar su producción. El objetivo de gran parte de la legislación estadounidense es crear alternativas a la importación y reducción de la dependencia de recursos petroleros extranjeros por lo que la clasificación de recursos pasa a segundo plano. </w:t>
      </w:r>
      <w:r w:rsidRPr="009F1996" w:rsidDel="00B418F1">
        <w:rPr>
          <w:rFonts w:ascii="Arial" w:hAnsi="Arial" w:cs="Arial"/>
          <w:szCs w:val="24"/>
        </w:rPr>
        <w:t xml:space="preserve"> </w:t>
      </w:r>
      <w:r w:rsidRPr="009F1996">
        <w:rPr>
          <w:rFonts w:ascii="Arial" w:hAnsi="Arial" w:cs="Arial"/>
          <w:szCs w:val="24"/>
        </w:rPr>
        <w:t xml:space="preserve"> </w:t>
      </w:r>
    </w:p>
    <w:p w14:paraId="7A13C24F" w14:textId="77777777" w:rsidR="005D23CD" w:rsidRPr="00A8506F" w:rsidRDefault="005D23CD" w:rsidP="005D23CD">
      <w:pPr>
        <w:spacing w:line="360" w:lineRule="auto"/>
        <w:rPr>
          <w:rFonts w:ascii="Times New Roman" w:eastAsia="Times New Roman" w:hAnsi="Times New Roman" w:cs="Times New Roman"/>
          <w:b/>
          <w:color w:val="000000"/>
          <w:szCs w:val="24"/>
          <w:lang w:eastAsia="es-MX"/>
        </w:rPr>
      </w:pPr>
    </w:p>
    <w:p w14:paraId="6312401E" w14:textId="77777777" w:rsidR="005D23CD" w:rsidRPr="00A8506F" w:rsidRDefault="005D23CD" w:rsidP="005D23CD">
      <w:pPr>
        <w:spacing w:line="360" w:lineRule="auto"/>
        <w:rPr>
          <w:rFonts w:ascii="Times New Roman" w:eastAsia="Times New Roman" w:hAnsi="Times New Roman" w:cs="Times New Roman"/>
          <w:b/>
          <w:color w:val="000000"/>
          <w:szCs w:val="24"/>
          <w:lang w:eastAsia="es-MX"/>
        </w:rPr>
      </w:pPr>
    </w:p>
    <w:p w14:paraId="4E329CA2" w14:textId="77777777" w:rsidR="005D23CD" w:rsidRDefault="005D23CD" w:rsidP="005D23CD">
      <w:r w:rsidRPr="00A65B54">
        <w:rPr>
          <w:rFonts w:ascii="Times New Roman" w:eastAsia="Times New Roman" w:hAnsi="Times New Roman" w:cs="Times New Roman"/>
          <w:b/>
          <w:color w:val="000000"/>
          <w:szCs w:val="24"/>
          <w:lang w:eastAsia="es-MX"/>
        </w:rPr>
        <w:br w:type="page"/>
      </w:r>
    </w:p>
    <w:p w14:paraId="63ED6297" w14:textId="77777777" w:rsidR="005D23CD" w:rsidRDefault="005D23CD">
      <w:pPr>
        <w:rPr>
          <w:b/>
        </w:rPr>
      </w:pPr>
    </w:p>
    <w:p w14:paraId="34257217" w14:textId="0DE9F875" w:rsidR="00D50ABA" w:rsidRPr="00DF27F9" w:rsidRDefault="002F6212" w:rsidP="00DF27F9">
      <w:pPr>
        <w:pStyle w:val="Ttulo1"/>
        <w:jc w:val="center"/>
        <w:rPr>
          <w:color w:val="000000" w:themeColor="text1"/>
        </w:rPr>
      </w:pPr>
      <w:bookmarkStart w:id="14" w:name="_Toc499918296"/>
      <w:r w:rsidRPr="00DF27F9">
        <w:rPr>
          <w:color w:val="000000" w:themeColor="text1"/>
        </w:rPr>
        <w:t xml:space="preserve">Capítulo 1: Interpretación neorrealista de los incentivos estatales para el desarrollo del </w:t>
      </w:r>
      <w:proofErr w:type="spellStart"/>
      <w:r w:rsidRPr="00DF27F9">
        <w:rPr>
          <w:color w:val="000000" w:themeColor="text1"/>
        </w:rPr>
        <w:t>shale</w:t>
      </w:r>
      <w:proofErr w:type="spellEnd"/>
      <w:r w:rsidRPr="00DF27F9">
        <w:rPr>
          <w:color w:val="000000" w:themeColor="text1"/>
        </w:rPr>
        <w:t xml:space="preserve"> </w:t>
      </w:r>
      <w:proofErr w:type="spellStart"/>
      <w:r w:rsidRPr="00DF27F9">
        <w:rPr>
          <w:color w:val="000000" w:themeColor="text1"/>
        </w:rPr>
        <w:t>oil</w:t>
      </w:r>
      <w:bookmarkEnd w:id="14"/>
      <w:proofErr w:type="spellEnd"/>
    </w:p>
    <w:p w14:paraId="1B96B260" w14:textId="77777777" w:rsidR="002F6212" w:rsidRPr="002F6212" w:rsidRDefault="002F6212">
      <w:pPr>
        <w:rPr>
          <w:b/>
        </w:rPr>
      </w:pPr>
    </w:p>
    <w:p w14:paraId="7F45D46E" w14:textId="77777777" w:rsidR="002F6212" w:rsidRPr="00DF27F9" w:rsidRDefault="002F6212" w:rsidP="00DF27F9">
      <w:pPr>
        <w:pStyle w:val="Ttulo2"/>
        <w:spacing w:after="240"/>
        <w:rPr>
          <w:color w:val="000000" w:themeColor="text1"/>
        </w:rPr>
      </w:pPr>
      <w:bookmarkStart w:id="15" w:name="_Toc499918297"/>
      <w:r w:rsidRPr="00DF27F9">
        <w:rPr>
          <w:color w:val="000000" w:themeColor="text1"/>
        </w:rPr>
        <w:t>Antecedentes</w:t>
      </w:r>
      <w:bookmarkEnd w:id="15"/>
    </w:p>
    <w:p w14:paraId="34F36BB5" w14:textId="3E0A549A" w:rsidR="005973C3" w:rsidRPr="00123331" w:rsidRDefault="005973C3" w:rsidP="005973C3">
      <w:pPr>
        <w:spacing w:line="360" w:lineRule="auto"/>
        <w:rPr>
          <w:rFonts w:ascii="Arial" w:hAnsi="Arial" w:cs="Arial"/>
          <w:szCs w:val="24"/>
        </w:rPr>
      </w:pPr>
      <w:r w:rsidRPr="00123331">
        <w:rPr>
          <w:rFonts w:ascii="Arial" w:hAnsi="Arial" w:cs="Arial"/>
          <w:szCs w:val="24"/>
        </w:rPr>
        <w:t>El embargo petrolero de la Organización de Países Exportadores de Petróleo (OPEP) se conoce por habe</w:t>
      </w:r>
      <w:r w:rsidR="003F6DA8">
        <w:rPr>
          <w:rFonts w:ascii="Arial" w:hAnsi="Arial" w:cs="Arial"/>
          <w:szCs w:val="24"/>
        </w:rPr>
        <w:t>r detonado un intenso interés por</w:t>
      </w:r>
      <w:r w:rsidRPr="00123331">
        <w:rPr>
          <w:rFonts w:ascii="Arial" w:hAnsi="Arial" w:cs="Arial"/>
          <w:szCs w:val="24"/>
        </w:rPr>
        <w:t xml:space="preserve"> la industria del </w:t>
      </w:r>
      <w:r w:rsidR="0036652C">
        <w:rPr>
          <w:rFonts w:ascii="Arial" w:hAnsi="Arial" w:cs="Arial"/>
          <w:i/>
          <w:szCs w:val="24"/>
        </w:rPr>
        <w:t>petróleo</w:t>
      </w:r>
      <w:r w:rsidRPr="00123331">
        <w:rPr>
          <w:rFonts w:ascii="Arial" w:hAnsi="Arial" w:cs="Arial"/>
          <w:i/>
          <w:szCs w:val="24"/>
        </w:rPr>
        <w:t xml:space="preserve"> </w:t>
      </w:r>
      <w:proofErr w:type="spellStart"/>
      <w:r w:rsidRPr="00123331">
        <w:rPr>
          <w:rFonts w:ascii="Arial" w:hAnsi="Arial" w:cs="Arial"/>
          <w:i/>
          <w:szCs w:val="24"/>
        </w:rPr>
        <w:t>shale</w:t>
      </w:r>
      <w:proofErr w:type="spellEnd"/>
      <w:r w:rsidRPr="00123331">
        <w:rPr>
          <w:rFonts w:ascii="Arial" w:hAnsi="Arial" w:cs="Arial"/>
          <w:szCs w:val="24"/>
        </w:rPr>
        <w:t xml:space="preserve"> y donde la mayoría de los avances tecnológicos tuvieron lugar gracias a numerosos proyectos que se llevaron a cabo en tierras federales con la injerencia gubernamental en la dirección técnica y por medio de subsidios. </w:t>
      </w:r>
    </w:p>
    <w:p w14:paraId="7977E062" w14:textId="43721F6D" w:rsidR="005973C3" w:rsidRPr="00123331" w:rsidRDefault="005973C3" w:rsidP="005973C3">
      <w:pPr>
        <w:spacing w:line="360" w:lineRule="auto"/>
        <w:rPr>
          <w:rFonts w:ascii="Arial" w:hAnsi="Arial" w:cs="Arial"/>
          <w:szCs w:val="24"/>
        </w:rPr>
      </w:pPr>
      <w:r w:rsidRPr="00123331">
        <w:rPr>
          <w:rFonts w:ascii="Arial" w:hAnsi="Arial" w:cs="Arial"/>
          <w:szCs w:val="24"/>
        </w:rPr>
        <w:t>En 1973 se dio la primera crisis del petróleo</w:t>
      </w:r>
      <w:r w:rsidR="003F6DA8">
        <w:rPr>
          <w:rFonts w:ascii="Arial" w:hAnsi="Arial" w:cs="Arial"/>
          <w:szCs w:val="24"/>
        </w:rPr>
        <w:t>, consecuencia de</w:t>
      </w:r>
      <w:r w:rsidRPr="00123331">
        <w:rPr>
          <w:rFonts w:ascii="Arial" w:hAnsi="Arial" w:cs="Arial"/>
          <w:szCs w:val="24"/>
        </w:rPr>
        <w:t xml:space="preserve"> la decisión de </w:t>
      </w:r>
      <w:r w:rsidR="0036652C">
        <w:rPr>
          <w:rFonts w:ascii="Arial" w:hAnsi="Arial" w:cs="Arial"/>
          <w:szCs w:val="24"/>
        </w:rPr>
        <w:t xml:space="preserve">los miembros de </w:t>
      </w:r>
      <w:r w:rsidRPr="00123331">
        <w:rPr>
          <w:rFonts w:ascii="Arial" w:hAnsi="Arial" w:cs="Arial"/>
          <w:szCs w:val="24"/>
        </w:rPr>
        <w:t xml:space="preserve">la OPEP </w:t>
      </w:r>
      <w:r w:rsidR="003F6DA8">
        <w:rPr>
          <w:rFonts w:ascii="Arial" w:hAnsi="Arial" w:cs="Arial"/>
          <w:szCs w:val="24"/>
        </w:rPr>
        <w:t>para</w:t>
      </w:r>
      <w:r w:rsidRPr="00123331">
        <w:rPr>
          <w:rFonts w:ascii="Arial" w:hAnsi="Arial" w:cs="Arial"/>
          <w:szCs w:val="24"/>
        </w:rPr>
        <w:t xml:space="preserve"> dejar de exportar petróleo a aquellos países que </w:t>
      </w:r>
      <w:r w:rsidR="0036652C">
        <w:rPr>
          <w:rFonts w:ascii="Arial" w:hAnsi="Arial" w:cs="Arial"/>
          <w:szCs w:val="24"/>
        </w:rPr>
        <w:t xml:space="preserve">habían </w:t>
      </w:r>
      <w:r w:rsidRPr="00123331">
        <w:rPr>
          <w:rFonts w:ascii="Arial" w:hAnsi="Arial" w:cs="Arial"/>
          <w:szCs w:val="24"/>
        </w:rPr>
        <w:t xml:space="preserve">apoyado a Israel durante la Guerra del </w:t>
      </w:r>
      <w:proofErr w:type="spellStart"/>
      <w:r w:rsidRPr="00123331">
        <w:rPr>
          <w:rFonts w:ascii="Arial" w:hAnsi="Arial" w:cs="Arial"/>
          <w:szCs w:val="24"/>
        </w:rPr>
        <w:t>Yom</w:t>
      </w:r>
      <w:proofErr w:type="spellEnd"/>
      <w:r w:rsidRPr="00123331">
        <w:rPr>
          <w:rFonts w:ascii="Arial" w:hAnsi="Arial" w:cs="Arial"/>
          <w:szCs w:val="24"/>
        </w:rPr>
        <w:t xml:space="preserve"> </w:t>
      </w:r>
      <w:proofErr w:type="spellStart"/>
      <w:r w:rsidRPr="00123331">
        <w:rPr>
          <w:rFonts w:ascii="Arial" w:hAnsi="Arial" w:cs="Arial"/>
          <w:szCs w:val="24"/>
        </w:rPr>
        <w:t>Kippur</w:t>
      </w:r>
      <w:proofErr w:type="spellEnd"/>
      <w:r w:rsidRPr="00123331">
        <w:rPr>
          <w:rFonts w:ascii="Arial" w:hAnsi="Arial" w:cs="Arial"/>
          <w:szCs w:val="24"/>
        </w:rPr>
        <w:t xml:space="preserve">  </w:t>
      </w:r>
      <w:r w:rsidRPr="00F521D3">
        <w:rPr>
          <w:rFonts w:ascii="Arial" w:hAnsi="Arial" w:cs="Arial"/>
          <w:szCs w:val="24"/>
        </w:rPr>
        <w:t>(Miller, 2015</w:t>
      </w:r>
      <w:r w:rsidRPr="00123331">
        <w:rPr>
          <w:rFonts w:ascii="Arial" w:hAnsi="Arial" w:cs="Arial"/>
          <w:szCs w:val="24"/>
        </w:rPr>
        <w:t>)</w:t>
      </w:r>
      <w:r>
        <w:rPr>
          <w:rFonts w:ascii="Arial" w:hAnsi="Arial" w:cs="Arial"/>
          <w:szCs w:val="24"/>
        </w:rPr>
        <w:t>.</w:t>
      </w:r>
      <w:r w:rsidRPr="00123331">
        <w:rPr>
          <w:rFonts w:ascii="Arial" w:hAnsi="Arial" w:cs="Arial"/>
          <w:szCs w:val="24"/>
        </w:rPr>
        <w:t xml:space="preserve"> Esta decisión afectó</w:t>
      </w:r>
      <w:r w:rsidR="003F6DA8">
        <w:rPr>
          <w:rFonts w:ascii="Arial" w:hAnsi="Arial" w:cs="Arial"/>
          <w:szCs w:val="24"/>
        </w:rPr>
        <w:t>,</w:t>
      </w:r>
      <w:r w:rsidRPr="00123331">
        <w:rPr>
          <w:rFonts w:ascii="Arial" w:hAnsi="Arial" w:cs="Arial"/>
          <w:szCs w:val="24"/>
        </w:rPr>
        <w:t xml:space="preserve"> entre otros estados, a EE.UU.</w:t>
      </w:r>
      <w:r w:rsidR="003F6DA8">
        <w:rPr>
          <w:rFonts w:ascii="Arial" w:hAnsi="Arial" w:cs="Arial"/>
          <w:szCs w:val="24"/>
        </w:rPr>
        <w:t>,</w:t>
      </w:r>
      <w:r w:rsidRPr="00123331">
        <w:rPr>
          <w:rFonts w:ascii="Arial" w:hAnsi="Arial" w:cs="Arial"/>
          <w:szCs w:val="24"/>
        </w:rPr>
        <w:t xml:space="preserve"> que dependía </w:t>
      </w:r>
      <w:r w:rsidR="00871F1C">
        <w:rPr>
          <w:rFonts w:ascii="Arial" w:hAnsi="Arial" w:cs="Arial"/>
          <w:szCs w:val="24"/>
        </w:rPr>
        <w:t xml:space="preserve">en gran </w:t>
      </w:r>
      <w:r w:rsidR="007D3B75">
        <w:rPr>
          <w:rFonts w:ascii="Arial" w:hAnsi="Arial" w:cs="Arial"/>
          <w:szCs w:val="24"/>
        </w:rPr>
        <w:t>medida</w:t>
      </w:r>
      <w:r w:rsidR="00871F1C">
        <w:rPr>
          <w:rFonts w:ascii="Arial" w:hAnsi="Arial" w:cs="Arial"/>
          <w:szCs w:val="24"/>
        </w:rPr>
        <w:t xml:space="preserve"> </w:t>
      </w:r>
      <w:r w:rsidR="0036652C">
        <w:rPr>
          <w:rFonts w:ascii="Arial" w:hAnsi="Arial" w:cs="Arial"/>
          <w:szCs w:val="24"/>
        </w:rPr>
        <w:t xml:space="preserve">de la importación de petróleo de miembros de la OPEP. </w:t>
      </w:r>
      <w:r w:rsidRPr="00123331">
        <w:rPr>
          <w:rFonts w:ascii="Arial" w:hAnsi="Arial" w:cs="Arial"/>
          <w:szCs w:val="24"/>
        </w:rPr>
        <w:t xml:space="preserve">La decisión causó un incremento en el precio internacional del petróleo  con una pérdida de alrededor de </w:t>
      </w:r>
      <w:r w:rsidR="003F6DA8">
        <w:rPr>
          <w:rFonts w:ascii="Arial" w:hAnsi="Arial" w:cs="Arial"/>
          <w:szCs w:val="24"/>
        </w:rPr>
        <w:t xml:space="preserve">un millón </w:t>
      </w:r>
      <w:r w:rsidRPr="00123331">
        <w:rPr>
          <w:rFonts w:ascii="Arial" w:hAnsi="Arial" w:cs="Arial"/>
          <w:szCs w:val="24"/>
        </w:rPr>
        <w:t>de barriles al día del total de las importaciones. El embargo causó un desabasto del 5% del total del consumo estadounidense de 1973</w:t>
      </w:r>
      <w:r w:rsidR="0036652C">
        <w:rPr>
          <w:rFonts w:ascii="Arial" w:hAnsi="Arial" w:cs="Arial"/>
          <w:szCs w:val="24"/>
        </w:rPr>
        <w:t xml:space="preserve"> </w:t>
      </w:r>
      <w:r w:rsidRPr="00F521D3">
        <w:rPr>
          <w:rFonts w:ascii="Arial" w:hAnsi="Arial" w:cs="Arial"/>
          <w:szCs w:val="24"/>
        </w:rPr>
        <w:t>(Miller, 2015</w:t>
      </w:r>
      <w:r w:rsidRPr="00123331">
        <w:rPr>
          <w:rFonts w:ascii="Arial" w:hAnsi="Arial" w:cs="Arial"/>
          <w:szCs w:val="24"/>
        </w:rPr>
        <w:t>)</w:t>
      </w:r>
      <w:r>
        <w:rPr>
          <w:rFonts w:ascii="Arial" w:hAnsi="Arial" w:cs="Arial"/>
          <w:szCs w:val="24"/>
        </w:rPr>
        <w:t>.</w:t>
      </w:r>
    </w:p>
    <w:p w14:paraId="06E80372" w14:textId="332608A7" w:rsidR="005973C3" w:rsidRPr="00123331" w:rsidRDefault="005973C3" w:rsidP="005973C3">
      <w:pPr>
        <w:spacing w:line="360" w:lineRule="auto"/>
        <w:rPr>
          <w:rFonts w:ascii="Arial" w:hAnsi="Arial" w:cs="Arial"/>
          <w:szCs w:val="24"/>
        </w:rPr>
      </w:pPr>
      <w:r w:rsidRPr="00123331">
        <w:rPr>
          <w:rFonts w:ascii="Arial" w:hAnsi="Arial" w:cs="Arial"/>
          <w:szCs w:val="24"/>
        </w:rPr>
        <w:t>Posterior al embargo, las administraciones federales</w:t>
      </w:r>
      <w:r w:rsidR="00130F9F">
        <w:rPr>
          <w:rFonts w:ascii="Arial" w:hAnsi="Arial" w:cs="Arial"/>
          <w:szCs w:val="24"/>
        </w:rPr>
        <w:t xml:space="preserve"> estadounidenses</w:t>
      </w:r>
      <w:r w:rsidRPr="00123331">
        <w:rPr>
          <w:rFonts w:ascii="Arial" w:hAnsi="Arial" w:cs="Arial"/>
          <w:szCs w:val="24"/>
        </w:rPr>
        <w:t xml:space="preserve"> implementaron regulaciones que buscaban mitigar el impacto de cualquier disrupción futura. Las opciones para encarar dicha amenaza incluye</w:t>
      </w:r>
      <w:r w:rsidR="00130F9F">
        <w:rPr>
          <w:rFonts w:ascii="Arial" w:hAnsi="Arial" w:cs="Arial"/>
          <w:szCs w:val="24"/>
        </w:rPr>
        <w:t>ron</w:t>
      </w:r>
      <w:r w:rsidRPr="00123331">
        <w:rPr>
          <w:rFonts w:ascii="Arial" w:hAnsi="Arial" w:cs="Arial"/>
          <w:szCs w:val="24"/>
        </w:rPr>
        <w:t xml:space="preserve"> el incremento de la producción petrolera </w:t>
      </w:r>
      <w:r w:rsidR="00130F9F">
        <w:rPr>
          <w:rFonts w:ascii="Arial" w:hAnsi="Arial" w:cs="Arial"/>
          <w:szCs w:val="24"/>
        </w:rPr>
        <w:t>interna</w:t>
      </w:r>
      <w:r w:rsidRPr="00123331">
        <w:rPr>
          <w:rFonts w:ascii="Arial" w:hAnsi="Arial" w:cs="Arial"/>
          <w:szCs w:val="24"/>
        </w:rPr>
        <w:t xml:space="preserve">, mejoras de la eficiencia energética </w:t>
      </w:r>
      <w:r w:rsidR="00130F9F">
        <w:rPr>
          <w:rFonts w:ascii="Arial" w:hAnsi="Arial" w:cs="Arial"/>
          <w:szCs w:val="24"/>
        </w:rPr>
        <w:t>y</w:t>
      </w:r>
      <w:r w:rsidRPr="00123331">
        <w:rPr>
          <w:rFonts w:ascii="Arial" w:hAnsi="Arial" w:cs="Arial"/>
          <w:szCs w:val="24"/>
        </w:rPr>
        <w:t xml:space="preserve"> el reemplazo del petróleo con combustibles alternativos. </w:t>
      </w:r>
    </w:p>
    <w:p w14:paraId="0DD8D900" w14:textId="4A4EC743" w:rsidR="005973C3" w:rsidRPr="00123331" w:rsidRDefault="00130F9F" w:rsidP="005973C3">
      <w:pPr>
        <w:spacing w:line="360" w:lineRule="auto"/>
        <w:rPr>
          <w:rFonts w:ascii="Arial" w:hAnsi="Arial" w:cs="Arial"/>
          <w:szCs w:val="24"/>
        </w:rPr>
      </w:pPr>
      <w:r>
        <w:rPr>
          <w:rFonts w:ascii="Arial" w:hAnsi="Arial" w:cs="Arial"/>
          <w:szCs w:val="24"/>
        </w:rPr>
        <w:t xml:space="preserve">El </w:t>
      </w:r>
      <w:r w:rsidR="005973C3" w:rsidRPr="00123331">
        <w:rPr>
          <w:rFonts w:ascii="Arial" w:hAnsi="Arial" w:cs="Arial"/>
          <w:szCs w:val="24"/>
        </w:rPr>
        <w:t xml:space="preserve">gobierno de Richard M. Nixon introdujo la </w:t>
      </w:r>
      <w:proofErr w:type="spellStart"/>
      <w:r w:rsidR="005973C3" w:rsidRPr="00123331">
        <w:rPr>
          <w:rFonts w:ascii="Arial" w:hAnsi="Arial" w:cs="Arial"/>
          <w:i/>
          <w:szCs w:val="24"/>
        </w:rPr>
        <w:t>Emergency</w:t>
      </w:r>
      <w:proofErr w:type="spellEnd"/>
      <w:r w:rsidR="005973C3" w:rsidRPr="00123331">
        <w:rPr>
          <w:rFonts w:ascii="Arial" w:hAnsi="Arial" w:cs="Arial"/>
          <w:i/>
          <w:szCs w:val="24"/>
        </w:rPr>
        <w:t xml:space="preserve"> </w:t>
      </w:r>
      <w:proofErr w:type="spellStart"/>
      <w:r w:rsidR="005973C3" w:rsidRPr="00123331">
        <w:rPr>
          <w:rFonts w:ascii="Arial" w:hAnsi="Arial" w:cs="Arial"/>
          <w:i/>
          <w:szCs w:val="24"/>
        </w:rPr>
        <w:t>Petroleum</w:t>
      </w:r>
      <w:proofErr w:type="spellEnd"/>
      <w:r w:rsidR="005973C3" w:rsidRPr="00123331">
        <w:rPr>
          <w:rFonts w:ascii="Arial" w:hAnsi="Arial" w:cs="Arial"/>
          <w:i/>
          <w:szCs w:val="24"/>
        </w:rPr>
        <w:t xml:space="preserve"> </w:t>
      </w:r>
      <w:proofErr w:type="spellStart"/>
      <w:r w:rsidR="005973C3" w:rsidRPr="00123331">
        <w:rPr>
          <w:rFonts w:ascii="Arial" w:hAnsi="Arial" w:cs="Arial"/>
          <w:i/>
          <w:szCs w:val="24"/>
        </w:rPr>
        <w:t>Allocation</w:t>
      </w:r>
      <w:proofErr w:type="spellEnd"/>
      <w:r w:rsidR="005973C3" w:rsidRPr="00123331">
        <w:rPr>
          <w:rFonts w:ascii="Arial" w:hAnsi="Arial" w:cs="Arial"/>
          <w:i/>
          <w:szCs w:val="24"/>
        </w:rPr>
        <w:t xml:space="preserve"> </w:t>
      </w:r>
      <w:proofErr w:type="spellStart"/>
      <w:r w:rsidR="005973C3" w:rsidRPr="00123331">
        <w:rPr>
          <w:rFonts w:ascii="Arial" w:hAnsi="Arial" w:cs="Arial"/>
          <w:i/>
          <w:szCs w:val="24"/>
        </w:rPr>
        <w:t>Act</w:t>
      </w:r>
      <w:proofErr w:type="spellEnd"/>
      <w:r w:rsidR="005973C3" w:rsidRPr="00123331">
        <w:rPr>
          <w:rFonts w:ascii="Arial" w:hAnsi="Arial" w:cs="Arial"/>
          <w:i/>
          <w:szCs w:val="24"/>
        </w:rPr>
        <w:t xml:space="preserve"> </w:t>
      </w:r>
      <w:r w:rsidR="005973C3" w:rsidRPr="00123331">
        <w:rPr>
          <w:rFonts w:ascii="Arial" w:hAnsi="Arial" w:cs="Arial"/>
          <w:szCs w:val="24"/>
        </w:rPr>
        <w:t xml:space="preserve"> que</w:t>
      </w:r>
      <w:r w:rsidR="0036652C">
        <w:rPr>
          <w:rFonts w:ascii="Arial" w:hAnsi="Arial" w:cs="Arial"/>
          <w:szCs w:val="24"/>
        </w:rPr>
        <w:t>,</w:t>
      </w:r>
      <w:r w:rsidR="005973C3" w:rsidRPr="00123331">
        <w:rPr>
          <w:rFonts w:ascii="Arial" w:hAnsi="Arial" w:cs="Arial"/>
          <w:szCs w:val="24"/>
        </w:rPr>
        <w:t xml:space="preserve"> aunque nunca fue aprobada por el congreso, h</w:t>
      </w:r>
      <w:r>
        <w:rPr>
          <w:rFonts w:ascii="Arial" w:hAnsi="Arial" w:cs="Arial"/>
          <w:szCs w:val="24"/>
        </w:rPr>
        <w:t>izo</w:t>
      </w:r>
      <w:r w:rsidR="005973C3" w:rsidRPr="00123331">
        <w:rPr>
          <w:rFonts w:ascii="Arial" w:hAnsi="Arial" w:cs="Arial"/>
          <w:szCs w:val="24"/>
        </w:rPr>
        <w:t xml:space="preserve"> evidente que la crisis petrolera de 1973 estaba afectando el </w:t>
      </w:r>
      <w:r w:rsidR="005973C3">
        <w:rPr>
          <w:rFonts w:ascii="Arial" w:hAnsi="Arial" w:cs="Arial"/>
          <w:szCs w:val="24"/>
        </w:rPr>
        <w:t xml:space="preserve">suministro de petróleo y con ello </w:t>
      </w:r>
      <w:r>
        <w:rPr>
          <w:rFonts w:ascii="Arial" w:hAnsi="Arial" w:cs="Arial"/>
          <w:szCs w:val="24"/>
        </w:rPr>
        <w:t xml:space="preserve">a </w:t>
      </w:r>
      <w:r w:rsidR="005973C3">
        <w:rPr>
          <w:rFonts w:ascii="Arial" w:hAnsi="Arial" w:cs="Arial"/>
          <w:szCs w:val="24"/>
        </w:rPr>
        <w:t>las industrias dependientes del recurso, comprometiendo</w:t>
      </w:r>
      <w:r w:rsidR="005973C3" w:rsidRPr="00123331">
        <w:rPr>
          <w:rFonts w:ascii="Arial" w:hAnsi="Arial" w:cs="Arial"/>
          <w:szCs w:val="24"/>
        </w:rPr>
        <w:t xml:space="preserve"> el sistema de salud, seguridad y bienestar </w:t>
      </w:r>
      <w:r w:rsidR="005973C3" w:rsidRPr="0064116C">
        <w:rPr>
          <w:rFonts w:ascii="Arial" w:hAnsi="Arial" w:cs="Arial"/>
          <w:szCs w:val="24"/>
        </w:rPr>
        <w:t>(</w:t>
      </w:r>
      <w:bookmarkStart w:id="16" w:name="OLE_LINK1"/>
      <w:bookmarkStart w:id="17" w:name="OLE_LINK2"/>
      <w:proofErr w:type="spellStart"/>
      <w:r w:rsidR="005973C3">
        <w:rPr>
          <w:rFonts w:ascii="Arial" w:hAnsi="Arial" w:cs="Arial"/>
          <w:szCs w:val="24"/>
        </w:rPr>
        <w:t>Emergency</w:t>
      </w:r>
      <w:proofErr w:type="spellEnd"/>
      <w:r w:rsidR="005973C3">
        <w:rPr>
          <w:rFonts w:ascii="Arial" w:hAnsi="Arial" w:cs="Arial"/>
          <w:szCs w:val="24"/>
        </w:rPr>
        <w:t xml:space="preserve"> </w:t>
      </w:r>
      <w:proofErr w:type="spellStart"/>
      <w:r w:rsidR="005973C3">
        <w:rPr>
          <w:rFonts w:ascii="Arial" w:hAnsi="Arial" w:cs="Arial"/>
          <w:szCs w:val="24"/>
        </w:rPr>
        <w:t>Petroleum</w:t>
      </w:r>
      <w:proofErr w:type="spellEnd"/>
      <w:r w:rsidR="005973C3">
        <w:rPr>
          <w:rFonts w:ascii="Arial" w:hAnsi="Arial" w:cs="Arial"/>
          <w:szCs w:val="24"/>
        </w:rPr>
        <w:t xml:space="preserve"> </w:t>
      </w:r>
      <w:proofErr w:type="spellStart"/>
      <w:r w:rsidR="005973C3">
        <w:rPr>
          <w:rFonts w:ascii="Arial" w:hAnsi="Arial" w:cs="Arial"/>
          <w:szCs w:val="24"/>
        </w:rPr>
        <w:t>Allocation</w:t>
      </w:r>
      <w:proofErr w:type="spellEnd"/>
      <w:r w:rsidR="005973C3">
        <w:rPr>
          <w:rFonts w:ascii="Arial" w:hAnsi="Arial" w:cs="Arial"/>
          <w:szCs w:val="24"/>
        </w:rPr>
        <w:t xml:space="preserve"> </w:t>
      </w:r>
      <w:proofErr w:type="spellStart"/>
      <w:r w:rsidR="005973C3">
        <w:rPr>
          <w:rFonts w:ascii="Arial" w:hAnsi="Arial" w:cs="Arial"/>
          <w:szCs w:val="24"/>
        </w:rPr>
        <w:t>Act</w:t>
      </w:r>
      <w:proofErr w:type="spellEnd"/>
      <w:r w:rsidR="005973C3">
        <w:rPr>
          <w:rFonts w:ascii="Arial" w:hAnsi="Arial" w:cs="Arial"/>
          <w:szCs w:val="24"/>
        </w:rPr>
        <w:t>, 1973</w:t>
      </w:r>
      <w:r w:rsidR="005973C3" w:rsidRPr="0064116C">
        <w:rPr>
          <w:rFonts w:ascii="Arial" w:hAnsi="Arial" w:cs="Arial"/>
          <w:szCs w:val="24"/>
        </w:rPr>
        <w:t>).</w:t>
      </w:r>
      <w:bookmarkEnd w:id="16"/>
      <w:bookmarkEnd w:id="17"/>
    </w:p>
    <w:p w14:paraId="53098B66" w14:textId="22C71A35" w:rsidR="005973C3" w:rsidRDefault="005973C3" w:rsidP="005973C3">
      <w:pPr>
        <w:spacing w:line="360" w:lineRule="auto"/>
        <w:rPr>
          <w:rFonts w:ascii="Arial" w:hAnsi="Arial" w:cs="Arial"/>
          <w:szCs w:val="24"/>
        </w:rPr>
      </w:pPr>
      <w:r w:rsidRPr="00123331">
        <w:rPr>
          <w:rFonts w:ascii="Arial" w:hAnsi="Arial" w:cs="Arial"/>
          <w:szCs w:val="24"/>
        </w:rPr>
        <w:lastRenderedPageBreak/>
        <w:t>Posteriormente, el presidente Gerald Ford tomó medidas de prevención ante la crisis con un proyecto de ley que sí se aprobó; convirtiéndose</w:t>
      </w:r>
      <w:r w:rsidR="00871F1C">
        <w:rPr>
          <w:rFonts w:ascii="Arial" w:hAnsi="Arial" w:cs="Arial"/>
          <w:szCs w:val="24"/>
        </w:rPr>
        <w:t xml:space="preserve"> así</w:t>
      </w:r>
      <w:r w:rsidRPr="00123331">
        <w:rPr>
          <w:rFonts w:ascii="Arial" w:hAnsi="Arial" w:cs="Arial"/>
          <w:szCs w:val="24"/>
        </w:rPr>
        <w:t xml:space="preserve"> en el primer presidente de EE.UU. que pus</w:t>
      </w:r>
      <w:r w:rsidR="00130F9F">
        <w:rPr>
          <w:rFonts w:ascii="Arial" w:hAnsi="Arial" w:cs="Arial"/>
          <w:szCs w:val="24"/>
        </w:rPr>
        <w:t>o</w:t>
      </w:r>
      <w:r w:rsidRPr="00123331">
        <w:rPr>
          <w:rFonts w:ascii="Arial" w:hAnsi="Arial" w:cs="Arial"/>
          <w:szCs w:val="24"/>
        </w:rPr>
        <w:t xml:space="preserve"> sobre la mesa el tema de la dependencia energética </w:t>
      </w:r>
      <w:r w:rsidRPr="00F521D3">
        <w:rPr>
          <w:rFonts w:ascii="Arial" w:hAnsi="Arial" w:cs="Arial"/>
          <w:szCs w:val="24"/>
        </w:rPr>
        <w:t>(</w:t>
      </w:r>
      <w:bookmarkStart w:id="18" w:name="OLE_LINK3"/>
      <w:bookmarkStart w:id="19" w:name="OLE_LINK4"/>
      <w:r w:rsidRPr="00F521D3">
        <w:rPr>
          <w:rFonts w:ascii="Arial" w:hAnsi="Arial" w:cs="Arial"/>
          <w:szCs w:val="24"/>
        </w:rPr>
        <w:t>Friedman, 2007</w:t>
      </w:r>
      <w:bookmarkEnd w:id="18"/>
      <w:bookmarkEnd w:id="19"/>
      <w:r w:rsidRPr="00F521D3">
        <w:rPr>
          <w:rFonts w:ascii="Arial" w:hAnsi="Arial" w:cs="Arial"/>
          <w:szCs w:val="24"/>
        </w:rPr>
        <w:t>)</w:t>
      </w:r>
      <w:r w:rsidR="00871F1C">
        <w:rPr>
          <w:rFonts w:ascii="Arial" w:hAnsi="Arial" w:cs="Arial"/>
          <w:szCs w:val="24"/>
        </w:rPr>
        <w:t xml:space="preserve">.  La dependencia </w:t>
      </w:r>
      <w:r w:rsidR="00130F9F">
        <w:rPr>
          <w:rFonts w:ascii="Arial" w:hAnsi="Arial" w:cs="Arial"/>
          <w:szCs w:val="24"/>
        </w:rPr>
        <w:t xml:space="preserve">era </w:t>
      </w:r>
      <w:r w:rsidR="00871F1C">
        <w:rPr>
          <w:rFonts w:ascii="Arial" w:hAnsi="Arial" w:cs="Arial"/>
          <w:szCs w:val="24"/>
        </w:rPr>
        <w:t>evidente</w:t>
      </w:r>
      <w:r w:rsidR="00150FA4">
        <w:rPr>
          <w:rFonts w:ascii="Arial" w:hAnsi="Arial" w:cs="Arial"/>
          <w:szCs w:val="24"/>
        </w:rPr>
        <w:t>,</w:t>
      </w:r>
      <w:r w:rsidR="00871F1C">
        <w:rPr>
          <w:rFonts w:ascii="Arial" w:hAnsi="Arial" w:cs="Arial"/>
          <w:szCs w:val="24"/>
        </w:rPr>
        <w:t xml:space="preserve"> </w:t>
      </w:r>
      <w:r w:rsidR="00150FA4">
        <w:rPr>
          <w:rFonts w:ascii="Arial" w:hAnsi="Arial" w:cs="Arial"/>
          <w:szCs w:val="24"/>
        </w:rPr>
        <w:t>pues</w:t>
      </w:r>
      <w:r w:rsidRPr="00123331">
        <w:rPr>
          <w:rFonts w:ascii="Arial" w:hAnsi="Arial" w:cs="Arial"/>
          <w:szCs w:val="24"/>
        </w:rPr>
        <w:t xml:space="preserve"> en ese momento </w:t>
      </w:r>
      <w:r w:rsidR="00150FA4">
        <w:rPr>
          <w:rFonts w:ascii="Arial" w:hAnsi="Arial" w:cs="Arial"/>
          <w:szCs w:val="24"/>
        </w:rPr>
        <w:t>el</w:t>
      </w:r>
      <w:r w:rsidRPr="00123331">
        <w:rPr>
          <w:rFonts w:ascii="Arial" w:hAnsi="Arial" w:cs="Arial"/>
          <w:szCs w:val="24"/>
        </w:rPr>
        <w:t xml:space="preserve"> país </w:t>
      </w:r>
      <w:r w:rsidR="00871F1C">
        <w:rPr>
          <w:rFonts w:ascii="Arial" w:hAnsi="Arial" w:cs="Arial"/>
          <w:szCs w:val="24"/>
        </w:rPr>
        <w:t>importaba</w:t>
      </w:r>
      <w:r w:rsidRPr="00123331">
        <w:rPr>
          <w:rFonts w:ascii="Arial" w:hAnsi="Arial" w:cs="Arial"/>
          <w:szCs w:val="24"/>
        </w:rPr>
        <w:t xml:space="preserve"> grandes cantidades de </w:t>
      </w:r>
      <w:r w:rsidR="00871F1C">
        <w:rPr>
          <w:rFonts w:ascii="Arial" w:hAnsi="Arial" w:cs="Arial"/>
          <w:szCs w:val="24"/>
        </w:rPr>
        <w:t xml:space="preserve">petróleo </w:t>
      </w:r>
      <w:r w:rsidRPr="00123331">
        <w:rPr>
          <w:rFonts w:ascii="Arial" w:hAnsi="Arial" w:cs="Arial"/>
          <w:szCs w:val="24"/>
        </w:rPr>
        <w:t>y</w:t>
      </w:r>
      <w:r w:rsidR="00871F1C">
        <w:rPr>
          <w:rFonts w:ascii="Arial" w:hAnsi="Arial" w:cs="Arial"/>
          <w:szCs w:val="24"/>
        </w:rPr>
        <w:t xml:space="preserve"> con dicha legislación</w:t>
      </w:r>
      <w:r w:rsidRPr="00123331">
        <w:rPr>
          <w:rFonts w:ascii="Arial" w:hAnsi="Arial" w:cs="Arial"/>
          <w:szCs w:val="24"/>
        </w:rPr>
        <w:t xml:space="preserve"> busc</w:t>
      </w:r>
      <w:r w:rsidR="00130F9F">
        <w:rPr>
          <w:rFonts w:ascii="Arial" w:hAnsi="Arial" w:cs="Arial"/>
          <w:szCs w:val="24"/>
        </w:rPr>
        <w:t>ó</w:t>
      </w:r>
      <w:r w:rsidRPr="00123331">
        <w:rPr>
          <w:rFonts w:ascii="Arial" w:hAnsi="Arial" w:cs="Arial"/>
          <w:szCs w:val="24"/>
        </w:rPr>
        <w:t xml:space="preserve"> contrarrestar los efectos negativos </w:t>
      </w:r>
      <w:r w:rsidR="00130F9F">
        <w:rPr>
          <w:rFonts w:ascii="Arial" w:hAnsi="Arial" w:cs="Arial"/>
          <w:szCs w:val="24"/>
        </w:rPr>
        <w:t>de</w:t>
      </w:r>
      <w:r w:rsidRPr="00123331">
        <w:rPr>
          <w:rFonts w:ascii="Arial" w:hAnsi="Arial" w:cs="Arial"/>
          <w:szCs w:val="24"/>
        </w:rPr>
        <w:t xml:space="preserve"> la crisis energética </w:t>
      </w:r>
      <w:r w:rsidR="00130F9F">
        <w:rPr>
          <w:rFonts w:ascii="Arial" w:hAnsi="Arial" w:cs="Arial"/>
          <w:szCs w:val="24"/>
        </w:rPr>
        <w:t xml:space="preserve">sobre </w:t>
      </w:r>
      <w:r w:rsidRPr="00123331">
        <w:rPr>
          <w:rFonts w:ascii="Arial" w:hAnsi="Arial" w:cs="Arial"/>
          <w:szCs w:val="24"/>
        </w:rPr>
        <w:t>la economía estadounidense. Para 1985</w:t>
      </w:r>
      <w:r w:rsidR="00150FA4">
        <w:rPr>
          <w:rFonts w:ascii="Arial" w:hAnsi="Arial" w:cs="Arial"/>
          <w:szCs w:val="24"/>
        </w:rPr>
        <w:t>,</w:t>
      </w:r>
      <w:r w:rsidRPr="00123331">
        <w:rPr>
          <w:rFonts w:ascii="Arial" w:hAnsi="Arial" w:cs="Arial"/>
          <w:szCs w:val="24"/>
        </w:rPr>
        <w:t xml:space="preserve"> con la </w:t>
      </w:r>
      <w:proofErr w:type="spellStart"/>
      <w:r w:rsidRPr="00123331">
        <w:rPr>
          <w:rFonts w:ascii="Arial" w:hAnsi="Arial" w:cs="Arial"/>
          <w:i/>
          <w:szCs w:val="24"/>
        </w:rPr>
        <w:t>Energy</w:t>
      </w:r>
      <w:proofErr w:type="spellEnd"/>
      <w:r w:rsidRPr="00123331">
        <w:rPr>
          <w:rFonts w:ascii="Arial" w:hAnsi="Arial" w:cs="Arial"/>
          <w:i/>
          <w:szCs w:val="24"/>
        </w:rPr>
        <w:t xml:space="preserve"> </w:t>
      </w:r>
      <w:proofErr w:type="spellStart"/>
      <w:r>
        <w:rPr>
          <w:rFonts w:ascii="Arial" w:hAnsi="Arial" w:cs="Arial"/>
          <w:i/>
          <w:szCs w:val="24"/>
        </w:rPr>
        <w:t>Policy</w:t>
      </w:r>
      <w:proofErr w:type="spellEnd"/>
      <w:r>
        <w:rPr>
          <w:rFonts w:ascii="Arial" w:hAnsi="Arial" w:cs="Arial"/>
          <w:i/>
          <w:szCs w:val="24"/>
        </w:rPr>
        <w:t xml:space="preserve"> and </w:t>
      </w:r>
      <w:proofErr w:type="spellStart"/>
      <w:r>
        <w:rPr>
          <w:rFonts w:ascii="Arial" w:hAnsi="Arial" w:cs="Arial"/>
          <w:i/>
          <w:szCs w:val="24"/>
        </w:rPr>
        <w:t>Conservation</w:t>
      </w:r>
      <w:proofErr w:type="spellEnd"/>
      <w:r>
        <w:rPr>
          <w:rFonts w:ascii="Arial" w:hAnsi="Arial" w:cs="Arial"/>
          <w:i/>
          <w:szCs w:val="24"/>
        </w:rPr>
        <w:t xml:space="preserve"> </w:t>
      </w:r>
      <w:r w:rsidRPr="00123331">
        <w:rPr>
          <w:rFonts w:ascii="Arial" w:hAnsi="Arial" w:cs="Arial"/>
          <w:i/>
          <w:szCs w:val="24"/>
        </w:rPr>
        <w:t xml:space="preserve"> </w:t>
      </w:r>
      <w:proofErr w:type="spellStart"/>
      <w:r w:rsidRPr="00123331">
        <w:rPr>
          <w:rFonts w:ascii="Arial" w:hAnsi="Arial" w:cs="Arial"/>
          <w:i/>
          <w:szCs w:val="24"/>
        </w:rPr>
        <w:t>Act</w:t>
      </w:r>
      <w:proofErr w:type="spellEnd"/>
      <w:r w:rsidR="00150FA4">
        <w:rPr>
          <w:rFonts w:ascii="Arial" w:hAnsi="Arial" w:cs="Arial"/>
          <w:i/>
          <w:szCs w:val="24"/>
        </w:rPr>
        <w:t>,</w:t>
      </w:r>
      <w:r w:rsidRPr="00123331">
        <w:rPr>
          <w:rFonts w:ascii="Arial" w:hAnsi="Arial" w:cs="Arial"/>
          <w:i/>
          <w:szCs w:val="24"/>
        </w:rPr>
        <w:t xml:space="preserve"> </w:t>
      </w:r>
      <w:r w:rsidRPr="00123331">
        <w:rPr>
          <w:rFonts w:ascii="Arial" w:hAnsi="Arial" w:cs="Arial"/>
          <w:szCs w:val="24"/>
        </w:rPr>
        <w:t>se planeaba alcanzar la independencia energética.</w:t>
      </w:r>
    </w:p>
    <w:p w14:paraId="0F3B3FD6" w14:textId="77777777" w:rsidR="009F1996" w:rsidRDefault="009F1996" w:rsidP="005973C3">
      <w:pPr>
        <w:spacing w:line="360" w:lineRule="auto"/>
        <w:rPr>
          <w:rFonts w:ascii="Arial" w:hAnsi="Arial" w:cs="Arial"/>
          <w:b/>
          <w:szCs w:val="24"/>
        </w:rPr>
      </w:pPr>
    </w:p>
    <w:p w14:paraId="30359CF3" w14:textId="77777777" w:rsidR="005973C3" w:rsidRPr="00871F1C" w:rsidRDefault="000D62F7" w:rsidP="00AF4AFC">
      <w:pPr>
        <w:spacing w:line="360" w:lineRule="auto"/>
        <w:ind w:firstLine="708"/>
        <w:rPr>
          <w:rFonts w:ascii="Arial" w:hAnsi="Arial" w:cs="Arial"/>
          <w:b/>
          <w:szCs w:val="24"/>
        </w:rPr>
      </w:pPr>
      <w:r w:rsidRPr="00871F1C">
        <w:rPr>
          <w:rFonts w:ascii="Arial" w:hAnsi="Arial" w:cs="Arial"/>
          <w:b/>
          <w:szCs w:val="24"/>
        </w:rPr>
        <w:t>La era Carter</w:t>
      </w:r>
    </w:p>
    <w:p w14:paraId="13D2E867" w14:textId="02F0CBFE" w:rsidR="000D62F7" w:rsidRDefault="000D62F7" w:rsidP="005973C3">
      <w:pPr>
        <w:spacing w:line="360" w:lineRule="auto"/>
        <w:rPr>
          <w:rFonts w:ascii="Arial" w:hAnsi="Arial" w:cs="Arial"/>
          <w:szCs w:val="24"/>
        </w:rPr>
      </w:pPr>
      <w:r w:rsidRPr="000D62F7">
        <w:rPr>
          <w:rFonts w:ascii="Arial" w:hAnsi="Arial" w:cs="Arial"/>
          <w:szCs w:val="24"/>
        </w:rPr>
        <w:t>Durante el periodo presidencia</w:t>
      </w:r>
      <w:r w:rsidR="00D4649B">
        <w:rPr>
          <w:rFonts w:ascii="Arial" w:hAnsi="Arial" w:cs="Arial"/>
          <w:szCs w:val="24"/>
        </w:rPr>
        <w:t xml:space="preserve">l de Jimmy Carter, </w:t>
      </w:r>
      <w:r w:rsidRPr="000D62F7">
        <w:rPr>
          <w:rFonts w:ascii="Arial" w:hAnsi="Arial" w:cs="Arial"/>
          <w:szCs w:val="24"/>
        </w:rPr>
        <w:t>el abastecimiento energ</w:t>
      </w:r>
      <w:r>
        <w:rPr>
          <w:rFonts w:ascii="Arial" w:hAnsi="Arial" w:cs="Arial"/>
          <w:szCs w:val="24"/>
        </w:rPr>
        <w:t xml:space="preserve">ético </w:t>
      </w:r>
      <w:r w:rsidR="00871F1C">
        <w:rPr>
          <w:rFonts w:ascii="Arial" w:hAnsi="Arial" w:cs="Arial"/>
          <w:szCs w:val="24"/>
        </w:rPr>
        <w:t xml:space="preserve">continuaba dependiendo </w:t>
      </w:r>
      <w:r>
        <w:rPr>
          <w:rFonts w:ascii="Arial" w:hAnsi="Arial" w:cs="Arial"/>
          <w:szCs w:val="24"/>
        </w:rPr>
        <w:t xml:space="preserve"> en gran medida a las importaciones de petróleo. Por tal motivo</w:t>
      </w:r>
      <w:r w:rsidR="00150FA4">
        <w:rPr>
          <w:rFonts w:ascii="Arial" w:hAnsi="Arial" w:cs="Arial"/>
          <w:szCs w:val="24"/>
        </w:rPr>
        <w:t>,</w:t>
      </w:r>
      <w:r>
        <w:rPr>
          <w:rFonts w:ascii="Arial" w:hAnsi="Arial" w:cs="Arial"/>
          <w:szCs w:val="24"/>
        </w:rPr>
        <w:t xml:space="preserve"> promovió </w:t>
      </w:r>
      <w:r w:rsidR="00150FA4">
        <w:rPr>
          <w:rFonts w:ascii="Arial" w:hAnsi="Arial" w:cs="Arial"/>
          <w:szCs w:val="24"/>
        </w:rPr>
        <w:t>la Ley</w:t>
      </w:r>
      <w:r>
        <w:rPr>
          <w:rFonts w:ascii="Arial" w:hAnsi="Arial" w:cs="Arial"/>
          <w:szCs w:val="24"/>
        </w:rPr>
        <w:t xml:space="preserve"> de Seguridad Energética. </w:t>
      </w:r>
      <w:r w:rsidR="00150FA4">
        <w:rPr>
          <w:rFonts w:ascii="Arial" w:hAnsi="Arial" w:cs="Arial"/>
          <w:szCs w:val="24"/>
        </w:rPr>
        <w:t>É</w:t>
      </w:r>
      <w:r>
        <w:rPr>
          <w:rFonts w:ascii="Arial" w:hAnsi="Arial" w:cs="Arial"/>
          <w:szCs w:val="24"/>
        </w:rPr>
        <w:t>sta se aprobó en 1980 y reconoc</w:t>
      </w:r>
      <w:r w:rsidR="00150FA4">
        <w:rPr>
          <w:rFonts w:ascii="Arial" w:hAnsi="Arial" w:cs="Arial"/>
          <w:szCs w:val="24"/>
        </w:rPr>
        <w:t>ió</w:t>
      </w:r>
      <w:r>
        <w:rPr>
          <w:rFonts w:ascii="Arial" w:hAnsi="Arial" w:cs="Arial"/>
          <w:szCs w:val="24"/>
        </w:rPr>
        <w:t xml:space="preserve"> la necesidad de tener un suministro </w:t>
      </w:r>
      <w:r w:rsidR="00150FA4">
        <w:rPr>
          <w:rFonts w:ascii="Arial" w:hAnsi="Arial" w:cs="Arial"/>
          <w:szCs w:val="24"/>
        </w:rPr>
        <w:t xml:space="preserve">interno </w:t>
      </w:r>
      <w:r>
        <w:rPr>
          <w:rFonts w:ascii="Arial" w:hAnsi="Arial" w:cs="Arial"/>
          <w:szCs w:val="24"/>
        </w:rPr>
        <w:t>de energía</w:t>
      </w:r>
      <w:r w:rsidR="00871F1C">
        <w:rPr>
          <w:rFonts w:ascii="Arial" w:hAnsi="Arial" w:cs="Arial"/>
          <w:szCs w:val="24"/>
        </w:rPr>
        <w:t>.  Se clasific</w:t>
      </w:r>
      <w:r w:rsidR="00150FA4">
        <w:rPr>
          <w:rFonts w:ascii="Arial" w:hAnsi="Arial" w:cs="Arial"/>
          <w:szCs w:val="24"/>
        </w:rPr>
        <w:t>ó</w:t>
      </w:r>
      <w:r w:rsidR="00871F1C">
        <w:rPr>
          <w:rFonts w:ascii="Arial" w:hAnsi="Arial" w:cs="Arial"/>
          <w:szCs w:val="24"/>
        </w:rPr>
        <w:t xml:space="preserve"> </w:t>
      </w:r>
      <w:r w:rsidR="00150FA4">
        <w:rPr>
          <w:rFonts w:ascii="Arial" w:hAnsi="Arial" w:cs="Arial"/>
          <w:szCs w:val="24"/>
        </w:rPr>
        <w:t>e</w:t>
      </w:r>
      <w:r w:rsidR="00871F1C">
        <w:rPr>
          <w:rFonts w:ascii="Arial" w:hAnsi="Arial" w:cs="Arial"/>
          <w:szCs w:val="24"/>
        </w:rPr>
        <w:t xml:space="preserve">l petróleo </w:t>
      </w:r>
      <w:r>
        <w:rPr>
          <w:rFonts w:ascii="Arial" w:hAnsi="Arial" w:cs="Arial"/>
          <w:szCs w:val="24"/>
        </w:rPr>
        <w:t xml:space="preserve">como </w:t>
      </w:r>
      <w:r w:rsidR="00150FA4">
        <w:rPr>
          <w:rFonts w:ascii="Arial" w:hAnsi="Arial" w:cs="Arial"/>
          <w:szCs w:val="24"/>
        </w:rPr>
        <w:t xml:space="preserve">un material estratégico y un </w:t>
      </w:r>
      <w:r>
        <w:rPr>
          <w:rFonts w:ascii="Arial" w:hAnsi="Arial" w:cs="Arial"/>
          <w:szCs w:val="24"/>
        </w:rPr>
        <w:t>recurso necesario para la defensa nacional.</w:t>
      </w:r>
    </w:p>
    <w:p w14:paraId="1D2A6DE5" w14:textId="26554C58" w:rsidR="0036652C" w:rsidRDefault="000D62F7" w:rsidP="005973C3">
      <w:pPr>
        <w:spacing w:line="360" w:lineRule="auto"/>
        <w:rPr>
          <w:rFonts w:ascii="Arial" w:hAnsi="Arial" w:cs="Arial"/>
          <w:szCs w:val="24"/>
        </w:rPr>
      </w:pPr>
      <w:r>
        <w:rPr>
          <w:rFonts w:ascii="Arial" w:hAnsi="Arial" w:cs="Arial"/>
          <w:szCs w:val="24"/>
        </w:rPr>
        <w:t>La ley de Seguridad Energética de 1980 considera seis capítulos principales, de los que se desprende la Ley de la Corporación de Combustibles Sintéticos</w:t>
      </w:r>
      <w:r w:rsidR="009925DC">
        <w:rPr>
          <w:rFonts w:ascii="Arial" w:hAnsi="Arial" w:cs="Arial"/>
          <w:szCs w:val="24"/>
        </w:rPr>
        <w:t xml:space="preserve"> </w:t>
      </w:r>
      <w:r w:rsidR="009925DC" w:rsidRPr="00123331">
        <w:rPr>
          <w:rFonts w:ascii="Arial" w:hAnsi="Arial" w:cs="Arial"/>
          <w:szCs w:val="24"/>
        </w:rPr>
        <w:t>(SFC</w:t>
      </w:r>
      <w:r w:rsidR="009925DC">
        <w:rPr>
          <w:rFonts w:ascii="Arial" w:hAnsi="Arial" w:cs="Arial"/>
          <w:szCs w:val="24"/>
        </w:rPr>
        <w:t>, por sus siglas en inglés</w:t>
      </w:r>
      <w:r w:rsidR="009925DC" w:rsidRPr="00123331">
        <w:rPr>
          <w:rFonts w:ascii="Arial" w:hAnsi="Arial" w:cs="Arial"/>
          <w:szCs w:val="24"/>
        </w:rPr>
        <w:t>)</w:t>
      </w:r>
      <w:r>
        <w:rPr>
          <w:rFonts w:ascii="Arial" w:hAnsi="Arial" w:cs="Arial"/>
          <w:szCs w:val="24"/>
        </w:rPr>
        <w:t>. Dicha corporación se creó como un nuevo organismo descentralizado que tenía el objetivo de mejorar la tecnología del carbón</w:t>
      </w:r>
      <w:r w:rsidR="003F1749">
        <w:rPr>
          <w:rFonts w:ascii="Arial" w:hAnsi="Arial" w:cs="Arial"/>
          <w:szCs w:val="24"/>
        </w:rPr>
        <w:t xml:space="preserve"> y</w:t>
      </w:r>
      <w:r>
        <w:rPr>
          <w:rFonts w:ascii="Arial" w:hAnsi="Arial" w:cs="Arial"/>
          <w:szCs w:val="24"/>
        </w:rPr>
        <w:t xml:space="preserve"> la extracción y licuefacción del </w:t>
      </w:r>
      <w:proofErr w:type="spellStart"/>
      <w:r w:rsidRPr="0083210D">
        <w:rPr>
          <w:rFonts w:ascii="Arial" w:hAnsi="Arial" w:cs="Arial"/>
          <w:i/>
          <w:szCs w:val="24"/>
        </w:rPr>
        <w:t>shale</w:t>
      </w:r>
      <w:proofErr w:type="spellEnd"/>
      <w:r>
        <w:rPr>
          <w:rFonts w:ascii="Arial" w:hAnsi="Arial" w:cs="Arial"/>
          <w:szCs w:val="24"/>
        </w:rPr>
        <w:t xml:space="preserve"> para su eventual comercialización </w:t>
      </w:r>
      <w:r w:rsidRPr="00A54FB9">
        <w:rPr>
          <w:rFonts w:ascii="Arial" w:hAnsi="Arial" w:cs="Arial"/>
          <w:szCs w:val="24"/>
        </w:rPr>
        <w:t>(</w:t>
      </w:r>
      <w:bookmarkStart w:id="20" w:name="OLE_LINK5"/>
      <w:bookmarkStart w:id="21" w:name="OLE_LINK6"/>
      <w:r w:rsidR="00706C6C">
        <w:fldChar w:fldCharType="begin"/>
      </w:r>
      <w:r w:rsidR="00706C6C">
        <w:instrText xml:space="preserve"> HYPERLINK "https://books.google.com.mx/books?id=sxFANCQHQhIC&amp;pg=PA57&amp;lpg=PA57&amp;dq=synthetic+fuels+corporation+achievements&amp;source=bl&amp;ots=2wv_b5B4XP&amp;sig=6NkAxKfYzykaV-szLQCLTiokOKk&amp;hl=es-419&amp;sa=X&amp;ved=0CCQQ6AEwAWoVChMI9O_sxZejyAIVRm0eCh0E1wCw" \l "v=onepage&amp;q=synthetic%20fuels%20corporation%20achievements&amp;f=false" </w:instrText>
      </w:r>
      <w:r w:rsidR="00706C6C">
        <w:fldChar w:fldCharType="separate"/>
      </w:r>
      <w:r w:rsidRPr="00A54FB9">
        <w:rPr>
          <w:rFonts w:ascii="Arial" w:hAnsi="Arial" w:cs="Arial"/>
          <w:szCs w:val="24"/>
        </w:rPr>
        <w:t>Yang,</w:t>
      </w:r>
      <w:r w:rsidR="00706C6C">
        <w:rPr>
          <w:rFonts w:ascii="Arial" w:hAnsi="Arial" w:cs="Arial"/>
          <w:szCs w:val="24"/>
        </w:rPr>
        <w:fldChar w:fldCharType="end"/>
      </w:r>
      <w:r w:rsidRPr="00A54FB9">
        <w:rPr>
          <w:rFonts w:ascii="Arial" w:hAnsi="Arial" w:cs="Arial"/>
          <w:szCs w:val="24"/>
        </w:rPr>
        <w:t xml:space="preserve"> 2009</w:t>
      </w:r>
      <w:bookmarkEnd w:id="20"/>
      <w:bookmarkEnd w:id="21"/>
      <w:r w:rsidRPr="00A54FB9">
        <w:rPr>
          <w:rFonts w:ascii="Arial" w:hAnsi="Arial" w:cs="Arial"/>
          <w:szCs w:val="24"/>
        </w:rPr>
        <w:t>)</w:t>
      </w:r>
      <w:r>
        <w:rPr>
          <w:rFonts w:ascii="Arial" w:hAnsi="Arial" w:cs="Arial"/>
          <w:szCs w:val="24"/>
        </w:rPr>
        <w:t>,</w:t>
      </w:r>
      <w:r w:rsidRPr="00123331">
        <w:rPr>
          <w:rFonts w:ascii="Arial" w:hAnsi="Arial" w:cs="Arial"/>
          <w:color w:val="FF0000"/>
          <w:szCs w:val="24"/>
        </w:rPr>
        <w:t xml:space="preserve"> </w:t>
      </w:r>
      <w:r w:rsidRPr="00123331">
        <w:rPr>
          <w:rFonts w:ascii="Arial" w:hAnsi="Arial" w:cs="Arial"/>
          <w:szCs w:val="24"/>
        </w:rPr>
        <w:t xml:space="preserve"> que representaba la pieza central de la política energética de Carter (</w:t>
      </w:r>
      <w:proofErr w:type="spellStart"/>
      <w:r>
        <w:rPr>
          <w:rFonts w:ascii="Arial" w:hAnsi="Arial" w:cs="Arial"/>
          <w:szCs w:val="24"/>
        </w:rPr>
        <w:t>Copulos</w:t>
      </w:r>
      <w:proofErr w:type="spellEnd"/>
      <w:r>
        <w:rPr>
          <w:rFonts w:ascii="Arial" w:hAnsi="Arial" w:cs="Arial"/>
          <w:szCs w:val="24"/>
        </w:rPr>
        <w:t xml:space="preserve">, 1985). </w:t>
      </w:r>
    </w:p>
    <w:p w14:paraId="7FC69FB0" w14:textId="3927231A" w:rsidR="007E14D3" w:rsidRPr="00123331" w:rsidRDefault="007E14D3" w:rsidP="007E14D3">
      <w:pPr>
        <w:spacing w:line="360" w:lineRule="auto"/>
        <w:rPr>
          <w:rFonts w:ascii="Arial" w:hAnsi="Arial" w:cs="Arial"/>
          <w:szCs w:val="24"/>
        </w:rPr>
      </w:pPr>
      <w:r w:rsidRPr="00123331">
        <w:rPr>
          <w:rFonts w:ascii="Arial" w:hAnsi="Arial" w:cs="Arial"/>
          <w:szCs w:val="24"/>
        </w:rPr>
        <w:t xml:space="preserve">Entre los logros de la </w:t>
      </w:r>
      <w:r w:rsidR="00871F1C">
        <w:rPr>
          <w:rFonts w:ascii="Arial" w:hAnsi="Arial" w:cs="Arial"/>
          <w:szCs w:val="24"/>
        </w:rPr>
        <w:t>Ley de Seguridad Energética</w:t>
      </w:r>
      <w:r w:rsidR="00871F1C" w:rsidRPr="00123331">
        <w:rPr>
          <w:rFonts w:ascii="Arial" w:hAnsi="Arial" w:cs="Arial"/>
          <w:szCs w:val="24"/>
        </w:rPr>
        <w:t xml:space="preserve"> </w:t>
      </w:r>
      <w:r w:rsidRPr="00123331">
        <w:rPr>
          <w:rFonts w:ascii="Arial" w:hAnsi="Arial" w:cs="Arial"/>
          <w:szCs w:val="24"/>
        </w:rPr>
        <w:t>de 19</w:t>
      </w:r>
      <w:r w:rsidR="00871F1C">
        <w:rPr>
          <w:rFonts w:ascii="Arial" w:hAnsi="Arial" w:cs="Arial"/>
          <w:szCs w:val="24"/>
        </w:rPr>
        <w:t>80</w:t>
      </w:r>
      <w:r w:rsidRPr="00123331">
        <w:rPr>
          <w:rFonts w:ascii="Arial" w:hAnsi="Arial" w:cs="Arial"/>
          <w:szCs w:val="24"/>
        </w:rPr>
        <w:t xml:space="preserve">, se puede observar </w:t>
      </w:r>
      <w:r w:rsidR="003F1749">
        <w:rPr>
          <w:rFonts w:ascii="Arial" w:hAnsi="Arial" w:cs="Arial"/>
          <w:szCs w:val="24"/>
        </w:rPr>
        <w:t xml:space="preserve">la creación de </w:t>
      </w:r>
      <w:r w:rsidRPr="00123331">
        <w:rPr>
          <w:rFonts w:ascii="Arial" w:hAnsi="Arial" w:cs="Arial"/>
          <w:szCs w:val="24"/>
        </w:rPr>
        <w:t>reservas estratégicas de petróleo para su uso durante emergencias</w:t>
      </w:r>
      <w:r w:rsidR="003F1749">
        <w:rPr>
          <w:rFonts w:ascii="Arial" w:hAnsi="Arial" w:cs="Arial"/>
          <w:szCs w:val="24"/>
        </w:rPr>
        <w:t>,</w:t>
      </w:r>
      <w:r w:rsidRPr="00123331">
        <w:rPr>
          <w:rFonts w:ascii="Arial" w:hAnsi="Arial" w:cs="Arial"/>
          <w:szCs w:val="24"/>
        </w:rPr>
        <w:t xml:space="preserve"> que preveían el almacenamiento de hasta 1 millón de barri</w:t>
      </w:r>
      <w:r w:rsidR="00871F1C">
        <w:rPr>
          <w:rFonts w:ascii="Arial" w:hAnsi="Arial" w:cs="Arial"/>
          <w:szCs w:val="24"/>
        </w:rPr>
        <w:t>les en productos de petróleo</w:t>
      </w:r>
      <w:r w:rsidR="003F1749">
        <w:rPr>
          <w:rFonts w:ascii="Arial" w:hAnsi="Arial" w:cs="Arial"/>
          <w:szCs w:val="24"/>
        </w:rPr>
        <w:t>;</w:t>
      </w:r>
      <w:r w:rsidR="00871F1C">
        <w:rPr>
          <w:rFonts w:ascii="Arial" w:hAnsi="Arial" w:cs="Arial"/>
          <w:szCs w:val="24"/>
        </w:rPr>
        <w:t xml:space="preserve"> </w:t>
      </w:r>
      <w:r w:rsidR="003F1749">
        <w:rPr>
          <w:rFonts w:ascii="Arial" w:hAnsi="Arial" w:cs="Arial"/>
          <w:szCs w:val="24"/>
        </w:rPr>
        <w:t>s</w:t>
      </w:r>
      <w:r w:rsidR="00871F1C">
        <w:rPr>
          <w:rFonts w:ascii="Arial" w:hAnsi="Arial" w:cs="Arial"/>
          <w:szCs w:val="24"/>
        </w:rPr>
        <w:t>e s</w:t>
      </w:r>
      <w:r w:rsidRPr="00123331">
        <w:rPr>
          <w:rFonts w:ascii="Arial" w:hAnsi="Arial" w:cs="Arial"/>
          <w:szCs w:val="24"/>
        </w:rPr>
        <w:t xml:space="preserve">olicitó el establecimiento de un plan de almacenamiento temprano y </w:t>
      </w:r>
      <w:r w:rsidR="00871F1C">
        <w:rPr>
          <w:rFonts w:ascii="Arial" w:hAnsi="Arial" w:cs="Arial"/>
          <w:szCs w:val="24"/>
        </w:rPr>
        <w:t xml:space="preserve">se </w:t>
      </w:r>
      <w:r w:rsidRPr="00123331">
        <w:rPr>
          <w:rFonts w:ascii="Arial" w:hAnsi="Arial" w:cs="Arial"/>
          <w:szCs w:val="24"/>
        </w:rPr>
        <w:t>autorizó la creación de la Reserva Industrial de Petróleo (</w:t>
      </w:r>
      <w:bookmarkStart w:id="22" w:name="OLE_LINK7"/>
      <w:bookmarkStart w:id="23" w:name="OLE_LINK8"/>
      <w:proofErr w:type="spellStart"/>
      <w:r>
        <w:rPr>
          <w:rFonts w:ascii="Arial" w:hAnsi="Arial" w:cs="Arial"/>
          <w:szCs w:val="24"/>
        </w:rPr>
        <w:t>Energy</w:t>
      </w:r>
      <w:proofErr w:type="spellEnd"/>
      <w:r>
        <w:rPr>
          <w:rFonts w:ascii="Arial" w:hAnsi="Arial" w:cs="Arial"/>
          <w:szCs w:val="24"/>
        </w:rPr>
        <w:t xml:space="preserve"> Security </w:t>
      </w:r>
      <w:proofErr w:type="spellStart"/>
      <w:r>
        <w:rPr>
          <w:rFonts w:ascii="Arial" w:hAnsi="Arial" w:cs="Arial"/>
          <w:szCs w:val="24"/>
        </w:rPr>
        <w:t>Act</w:t>
      </w:r>
      <w:proofErr w:type="spellEnd"/>
      <w:r>
        <w:rPr>
          <w:rFonts w:ascii="Arial" w:hAnsi="Arial" w:cs="Arial"/>
          <w:szCs w:val="24"/>
        </w:rPr>
        <w:t>, 1980</w:t>
      </w:r>
      <w:bookmarkEnd w:id="22"/>
      <w:bookmarkEnd w:id="23"/>
      <w:r w:rsidRPr="00123331">
        <w:rPr>
          <w:rFonts w:ascii="Arial" w:hAnsi="Arial" w:cs="Arial"/>
          <w:szCs w:val="24"/>
        </w:rPr>
        <w:t xml:space="preserve">) </w:t>
      </w:r>
    </w:p>
    <w:p w14:paraId="01E9174E" w14:textId="25CBB23A" w:rsidR="00CE1960" w:rsidRPr="00123331" w:rsidRDefault="00CE1960" w:rsidP="00CE1960">
      <w:pPr>
        <w:spacing w:line="360" w:lineRule="auto"/>
        <w:rPr>
          <w:rFonts w:ascii="Arial" w:hAnsi="Arial" w:cs="Arial"/>
          <w:szCs w:val="24"/>
        </w:rPr>
      </w:pPr>
      <w:r w:rsidRPr="00123331">
        <w:rPr>
          <w:rFonts w:ascii="Arial" w:hAnsi="Arial" w:cs="Arial"/>
          <w:szCs w:val="24"/>
        </w:rPr>
        <w:t xml:space="preserve">La </w:t>
      </w:r>
      <w:r w:rsidR="009925DC">
        <w:rPr>
          <w:rFonts w:ascii="Arial" w:hAnsi="Arial" w:cs="Arial"/>
          <w:szCs w:val="24"/>
        </w:rPr>
        <w:t>SFC</w:t>
      </w:r>
      <w:r>
        <w:rPr>
          <w:rFonts w:ascii="Arial" w:hAnsi="Arial" w:cs="Arial"/>
          <w:i/>
          <w:szCs w:val="24"/>
        </w:rPr>
        <w:t xml:space="preserve"> </w:t>
      </w:r>
      <w:r w:rsidRPr="00123331">
        <w:rPr>
          <w:rFonts w:ascii="Arial" w:hAnsi="Arial" w:cs="Arial"/>
          <w:szCs w:val="24"/>
        </w:rPr>
        <w:t>garantiz</w:t>
      </w:r>
      <w:r>
        <w:rPr>
          <w:rFonts w:ascii="Arial" w:hAnsi="Arial" w:cs="Arial"/>
          <w:szCs w:val="24"/>
        </w:rPr>
        <w:t>ó</w:t>
      </w:r>
      <w:r w:rsidRPr="00123331">
        <w:rPr>
          <w:rFonts w:ascii="Arial" w:hAnsi="Arial" w:cs="Arial"/>
          <w:szCs w:val="24"/>
        </w:rPr>
        <w:t xml:space="preserve"> préstamos a los departamentos de Defensa, Comercio y Energía con el propósito específico de agilizar entregas o servicios que tengan que ver con co</w:t>
      </w:r>
      <w:r>
        <w:rPr>
          <w:rFonts w:ascii="Arial" w:hAnsi="Arial" w:cs="Arial"/>
          <w:szCs w:val="24"/>
        </w:rPr>
        <w:t>ntratos de defensa nacional. S</w:t>
      </w:r>
      <w:r w:rsidRPr="00123331">
        <w:rPr>
          <w:rFonts w:ascii="Arial" w:hAnsi="Arial" w:cs="Arial"/>
          <w:szCs w:val="24"/>
        </w:rPr>
        <w:t>e increment</w:t>
      </w:r>
      <w:r>
        <w:rPr>
          <w:rFonts w:ascii="Arial" w:hAnsi="Arial" w:cs="Arial"/>
          <w:szCs w:val="24"/>
        </w:rPr>
        <w:t>ó</w:t>
      </w:r>
      <w:r w:rsidRPr="00123331">
        <w:rPr>
          <w:rFonts w:ascii="Arial" w:hAnsi="Arial" w:cs="Arial"/>
          <w:szCs w:val="24"/>
        </w:rPr>
        <w:t xml:space="preserve"> el monto máximo de préstamos que garantiza la agencia nacional bajo la Ley de Producción de Defensa de 1950</w:t>
      </w:r>
      <w:r w:rsidR="009925DC">
        <w:rPr>
          <w:rFonts w:ascii="Arial" w:hAnsi="Arial" w:cs="Arial"/>
          <w:szCs w:val="24"/>
        </w:rPr>
        <w:t xml:space="preserve"> de $20</w:t>
      </w:r>
      <w:proofErr w:type="gramStart"/>
      <w:r w:rsidR="009925DC">
        <w:rPr>
          <w:rFonts w:ascii="Arial" w:hAnsi="Arial" w:cs="Arial"/>
          <w:szCs w:val="24"/>
        </w:rPr>
        <w:t>,000,000</w:t>
      </w:r>
      <w:proofErr w:type="gramEnd"/>
      <w:r w:rsidR="009925DC">
        <w:rPr>
          <w:rFonts w:ascii="Arial" w:hAnsi="Arial" w:cs="Arial"/>
          <w:szCs w:val="24"/>
        </w:rPr>
        <w:t xml:space="preserve"> a $38,000,000</w:t>
      </w:r>
      <w:r w:rsidRPr="00123331">
        <w:rPr>
          <w:rFonts w:ascii="Arial" w:hAnsi="Arial" w:cs="Arial"/>
          <w:szCs w:val="24"/>
        </w:rPr>
        <w:t xml:space="preserve"> dólares.</w:t>
      </w:r>
      <w:r>
        <w:rPr>
          <w:rFonts w:ascii="Arial" w:hAnsi="Arial" w:cs="Arial"/>
          <w:szCs w:val="24"/>
        </w:rPr>
        <w:t xml:space="preserve"> Se autorizaron créditos de $3 mil millones de dólares para llevar a cabo el </w:t>
      </w:r>
      <w:r>
        <w:rPr>
          <w:rFonts w:ascii="Arial" w:hAnsi="Arial" w:cs="Arial"/>
          <w:szCs w:val="24"/>
        </w:rPr>
        <w:lastRenderedPageBreak/>
        <w:t>programa de producción de combustible sintético y con ello se estableció una producción mínima de 500,000 barriles de petróleo crudo al día para 1987 y al menos 2,000,000 para 1992.</w:t>
      </w:r>
    </w:p>
    <w:p w14:paraId="662FC242" w14:textId="4CF62733" w:rsidR="00871F1C" w:rsidRDefault="00CE1960" w:rsidP="00871F1C">
      <w:pPr>
        <w:spacing w:line="360" w:lineRule="auto"/>
        <w:rPr>
          <w:rFonts w:ascii="Arial" w:hAnsi="Arial" w:cs="Arial"/>
          <w:szCs w:val="24"/>
        </w:rPr>
      </w:pPr>
      <w:r>
        <w:rPr>
          <w:rFonts w:ascii="Arial" w:hAnsi="Arial" w:cs="Arial"/>
          <w:szCs w:val="24"/>
        </w:rPr>
        <w:t>Para alcanzar las metas de producción se estableció una estrategia que incluía al sector privado. La relación con el sector privado incluía apoyo financiero para el desarrollo de proyectos que representaran un costo bajo de producción dentro del proceso tecnológico y una alineación a los objetivos federales</w:t>
      </w:r>
      <w:r w:rsidR="00BC09F5">
        <w:rPr>
          <w:rFonts w:ascii="Arial" w:hAnsi="Arial" w:cs="Arial"/>
          <w:szCs w:val="24"/>
        </w:rPr>
        <w:t>.</w:t>
      </w:r>
    </w:p>
    <w:p w14:paraId="513C3D49" w14:textId="0F599CFE" w:rsidR="0089035C" w:rsidRDefault="00BC09F5" w:rsidP="00871F1C">
      <w:pPr>
        <w:spacing w:line="360" w:lineRule="auto"/>
        <w:rPr>
          <w:rFonts w:ascii="Arial" w:hAnsi="Arial" w:cs="Arial"/>
          <w:szCs w:val="24"/>
        </w:rPr>
      </w:pPr>
      <w:r w:rsidRPr="008943BE">
        <w:rPr>
          <w:rFonts w:ascii="Arial" w:hAnsi="Arial" w:cs="Arial"/>
          <w:szCs w:val="24"/>
        </w:rPr>
        <w:t>Cabe mencionar que en el periodo en el que la SFC se estableció, los precios internacionales de</w:t>
      </w:r>
      <w:r w:rsidR="003F1749">
        <w:rPr>
          <w:rFonts w:ascii="Arial" w:hAnsi="Arial" w:cs="Arial"/>
          <w:szCs w:val="24"/>
        </w:rPr>
        <w:t>l</w:t>
      </w:r>
      <w:r w:rsidRPr="008943BE">
        <w:rPr>
          <w:rFonts w:ascii="Arial" w:hAnsi="Arial" w:cs="Arial"/>
          <w:szCs w:val="24"/>
        </w:rPr>
        <w:t xml:space="preserve"> petróleo subieron considerablemente debido a eventos internacionales. Entre 1973 y 1974 los estados árabes realizaron el embargo petrolero, incrementando el precio del barril de menos de $20 dólares a $60</w:t>
      </w:r>
      <w:r w:rsidR="002C74DA">
        <w:rPr>
          <w:rFonts w:ascii="Arial" w:hAnsi="Arial" w:cs="Arial"/>
          <w:szCs w:val="24"/>
        </w:rPr>
        <w:t>.</w:t>
      </w:r>
      <w:r w:rsidRPr="008943BE">
        <w:rPr>
          <w:rFonts w:ascii="Arial" w:hAnsi="Arial" w:cs="Arial"/>
          <w:szCs w:val="24"/>
        </w:rPr>
        <w:t xml:space="preserve"> </w:t>
      </w:r>
      <w:r w:rsidR="002C74DA">
        <w:rPr>
          <w:rFonts w:ascii="Arial" w:hAnsi="Arial" w:cs="Arial"/>
          <w:szCs w:val="24"/>
        </w:rPr>
        <w:t>E</w:t>
      </w:r>
      <w:r w:rsidRPr="008943BE">
        <w:rPr>
          <w:rFonts w:ascii="Arial" w:hAnsi="Arial" w:cs="Arial"/>
          <w:szCs w:val="24"/>
        </w:rPr>
        <w:t>n 1978 ocurr</w:t>
      </w:r>
      <w:r w:rsidR="002C74DA">
        <w:rPr>
          <w:rFonts w:ascii="Arial" w:hAnsi="Arial" w:cs="Arial"/>
          <w:szCs w:val="24"/>
        </w:rPr>
        <w:t>ió</w:t>
      </w:r>
      <w:r w:rsidRPr="008943BE">
        <w:rPr>
          <w:rFonts w:ascii="Arial" w:hAnsi="Arial" w:cs="Arial"/>
          <w:szCs w:val="24"/>
        </w:rPr>
        <w:t xml:space="preserve"> la revolución islámica de Irán, </w:t>
      </w:r>
      <w:r w:rsidR="002C74DA">
        <w:rPr>
          <w:rFonts w:ascii="Arial" w:hAnsi="Arial" w:cs="Arial"/>
          <w:szCs w:val="24"/>
        </w:rPr>
        <w:t xml:space="preserve">que provocó la cancelación de </w:t>
      </w:r>
      <w:r w:rsidRPr="008943BE">
        <w:rPr>
          <w:rFonts w:ascii="Arial" w:hAnsi="Arial" w:cs="Arial"/>
          <w:szCs w:val="24"/>
        </w:rPr>
        <w:t xml:space="preserve">contratos con compañías estadounidenses y </w:t>
      </w:r>
      <w:r w:rsidR="002C74DA">
        <w:rPr>
          <w:rFonts w:ascii="Arial" w:hAnsi="Arial" w:cs="Arial"/>
          <w:szCs w:val="24"/>
        </w:rPr>
        <w:t>detuvo la producción de</w:t>
      </w:r>
      <w:r w:rsidRPr="008943BE">
        <w:rPr>
          <w:rFonts w:ascii="Arial" w:hAnsi="Arial" w:cs="Arial"/>
          <w:szCs w:val="24"/>
        </w:rPr>
        <w:t xml:space="preserve"> petróleo.</w:t>
      </w:r>
      <w:r w:rsidR="0089035C" w:rsidRPr="008943BE">
        <w:rPr>
          <w:rFonts w:ascii="Arial" w:hAnsi="Arial" w:cs="Arial"/>
          <w:szCs w:val="24"/>
        </w:rPr>
        <w:t xml:space="preserve"> Esto elev</w:t>
      </w:r>
      <w:r w:rsidR="002C74DA">
        <w:rPr>
          <w:rFonts w:ascii="Arial" w:hAnsi="Arial" w:cs="Arial"/>
          <w:szCs w:val="24"/>
        </w:rPr>
        <w:t>ó</w:t>
      </w:r>
      <w:r w:rsidR="0089035C" w:rsidRPr="008943BE">
        <w:rPr>
          <w:rFonts w:ascii="Arial" w:hAnsi="Arial" w:cs="Arial"/>
          <w:szCs w:val="24"/>
        </w:rPr>
        <w:t xml:space="preserve"> el precio del petróleo a </w:t>
      </w:r>
      <w:r w:rsidR="002C74DA">
        <w:rPr>
          <w:rFonts w:ascii="Arial" w:hAnsi="Arial" w:cs="Arial"/>
          <w:szCs w:val="24"/>
        </w:rPr>
        <w:t xml:space="preserve">niveles </w:t>
      </w:r>
      <w:r w:rsidR="0089035C" w:rsidRPr="008943BE">
        <w:rPr>
          <w:rFonts w:ascii="Arial" w:hAnsi="Arial" w:cs="Arial"/>
          <w:szCs w:val="24"/>
        </w:rPr>
        <w:t>cercanos a los $100 dólares por barril.</w:t>
      </w:r>
      <w:r w:rsidRPr="008943BE">
        <w:rPr>
          <w:rFonts w:ascii="Arial" w:hAnsi="Arial" w:cs="Arial"/>
          <w:szCs w:val="24"/>
        </w:rPr>
        <w:t xml:space="preserve"> </w:t>
      </w:r>
      <w:r w:rsidR="0089035C" w:rsidRPr="008943BE">
        <w:rPr>
          <w:rFonts w:ascii="Arial" w:hAnsi="Arial" w:cs="Arial"/>
          <w:szCs w:val="24"/>
        </w:rPr>
        <w:t>Aunque la revolución acab</w:t>
      </w:r>
      <w:r w:rsidR="009925DC">
        <w:rPr>
          <w:rFonts w:ascii="Arial" w:hAnsi="Arial" w:cs="Arial"/>
          <w:szCs w:val="24"/>
        </w:rPr>
        <w:t>o</w:t>
      </w:r>
      <w:r w:rsidR="0089035C" w:rsidRPr="008943BE">
        <w:rPr>
          <w:rFonts w:ascii="Arial" w:hAnsi="Arial" w:cs="Arial"/>
          <w:szCs w:val="24"/>
        </w:rPr>
        <w:t xml:space="preserve"> en 1979, en 1980 comienza la guerra entre Irán e Iraq, y el </w:t>
      </w:r>
      <w:r w:rsidR="009925DC">
        <w:rPr>
          <w:rFonts w:ascii="Arial" w:hAnsi="Arial" w:cs="Arial"/>
          <w:szCs w:val="24"/>
        </w:rPr>
        <w:t>precio del barril conti</w:t>
      </w:r>
      <w:r w:rsidR="00CD301A">
        <w:rPr>
          <w:rFonts w:ascii="Arial" w:hAnsi="Arial" w:cs="Arial"/>
          <w:szCs w:val="24"/>
        </w:rPr>
        <w:t>nu</w:t>
      </w:r>
      <w:r w:rsidR="009925DC">
        <w:rPr>
          <w:rFonts w:ascii="Arial" w:hAnsi="Arial" w:cs="Arial"/>
          <w:szCs w:val="24"/>
        </w:rPr>
        <w:t>ó</w:t>
      </w:r>
      <w:r w:rsidR="0089035C" w:rsidRPr="008943BE">
        <w:rPr>
          <w:rFonts w:ascii="Arial" w:hAnsi="Arial" w:cs="Arial"/>
          <w:szCs w:val="24"/>
        </w:rPr>
        <w:t xml:space="preserve"> oscilando </w:t>
      </w:r>
      <w:r w:rsidR="002C74DA">
        <w:rPr>
          <w:rFonts w:ascii="Arial" w:hAnsi="Arial" w:cs="Arial"/>
          <w:szCs w:val="24"/>
        </w:rPr>
        <w:t>cerca de</w:t>
      </w:r>
      <w:r w:rsidR="0089035C" w:rsidRPr="008943BE">
        <w:rPr>
          <w:rFonts w:ascii="Arial" w:hAnsi="Arial" w:cs="Arial"/>
          <w:szCs w:val="24"/>
        </w:rPr>
        <w:t xml:space="preserve"> los $100 dólares por barril.</w:t>
      </w:r>
    </w:p>
    <w:p w14:paraId="4B2C0C6F" w14:textId="77777777" w:rsidR="0083210D" w:rsidRDefault="0083210D" w:rsidP="00871F1C">
      <w:pPr>
        <w:spacing w:line="360" w:lineRule="auto"/>
        <w:rPr>
          <w:rFonts w:ascii="Arial" w:hAnsi="Arial" w:cs="Arial"/>
          <w:szCs w:val="24"/>
        </w:rPr>
        <w:sectPr w:rsidR="0083210D" w:rsidSect="008029AF">
          <w:headerReference w:type="default" r:id="rId12"/>
          <w:footerReference w:type="default" r:id="rId13"/>
          <w:pgSz w:w="12240" w:h="15840"/>
          <w:pgMar w:top="1417" w:right="1701" w:bottom="1417" w:left="1701" w:header="708" w:footer="708" w:gutter="0"/>
          <w:pgNumType w:start="0"/>
          <w:cols w:space="708"/>
          <w:titlePg/>
          <w:docGrid w:linePitch="360"/>
        </w:sectPr>
      </w:pPr>
    </w:p>
    <w:p w14:paraId="0F080C2A" w14:textId="594A1ABD" w:rsidR="00871F1C" w:rsidRDefault="0083210D" w:rsidP="0083210D">
      <w:pPr>
        <w:spacing w:line="360" w:lineRule="auto"/>
        <w:jc w:val="center"/>
      </w:pPr>
      <w:r w:rsidRPr="0017083F">
        <w:rPr>
          <w:rFonts w:ascii="Arial" w:hAnsi="Arial" w:cs="Arial"/>
          <w:noProof/>
          <w:szCs w:val="24"/>
        </w:rPr>
        <w:lastRenderedPageBreak/>
        <mc:AlternateContent>
          <mc:Choice Requires="wps">
            <w:drawing>
              <wp:anchor distT="0" distB="0" distL="114300" distR="114300" simplePos="0" relativeHeight="251663360" behindDoc="0" locked="0" layoutInCell="1" allowOverlap="1" wp14:anchorId="41958718" wp14:editId="77DAF27F">
                <wp:simplePos x="0" y="0"/>
                <wp:positionH relativeFrom="column">
                  <wp:posOffset>2236470</wp:posOffset>
                </wp:positionH>
                <wp:positionV relativeFrom="paragraph">
                  <wp:posOffset>5422900</wp:posOffset>
                </wp:positionV>
                <wp:extent cx="2374265" cy="140398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21DF6776" w14:textId="2503CD50" w:rsidR="008029AF" w:rsidRDefault="008029AF" w:rsidP="0017083F">
                            <w:pPr>
                              <w:jc w:val="center"/>
                            </w:pPr>
                            <w:r>
                              <w:t>Fuente: Ro,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6.1pt;margin-top:427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" stroked="f">
                <v:textbox style="mso-fit-shape-to-text:t">
                  <w:txbxContent>
                    <w:p w14:paraId="21DF6776" w14:textId="2503CD50" w:rsidR="008029AF" w:rsidRDefault="008029AF" w:rsidP="0017083F">
                      <w:pPr>
                        <w:jc w:val="center"/>
                      </w:pPr>
                      <w:r>
                        <w:t>Fuente: Ro, 2014.</w:t>
                      </w:r>
                    </w:p>
                  </w:txbxContent>
                </v:textbox>
              </v:shape>
            </w:pict>
          </mc:Fallback>
        </mc:AlternateContent>
      </w:r>
      <w:r>
        <w:rPr>
          <w:noProof/>
        </w:rPr>
        <w:drawing>
          <wp:inline distT="0" distB="0" distL="0" distR="0" wp14:anchorId="2D448757" wp14:editId="146100C0">
            <wp:extent cx="7528614" cy="5720316"/>
            <wp:effectExtent l="0" t="0" r="0" b="0"/>
            <wp:docPr id="9" name="Imagen 9" descr="annotated oil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ed oil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3136" cy="5738948"/>
                    </a:xfrm>
                    <a:prstGeom prst="rect">
                      <a:avLst/>
                    </a:prstGeom>
                    <a:noFill/>
                    <a:ln>
                      <a:noFill/>
                    </a:ln>
                  </pic:spPr>
                </pic:pic>
              </a:graphicData>
            </a:graphic>
          </wp:inline>
        </w:drawing>
      </w:r>
    </w:p>
    <w:p w14:paraId="52666328" w14:textId="77777777" w:rsidR="0083210D" w:rsidRDefault="0083210D" w:rsidP="0089035C">
      <w:pPr>
        <w:spacing w:line="360" w:lineRule="auto"/>
        <w:rPr>
          <w:rFonts w:ascii="Arial" w:hAnsi="Arial" w:cs="Arial"/>
          <w:szCs w:val="24"/>
        </w:rPr>
        <w:sectPr w:rsidR="0083210D" w:rsidSect="0083210D">
          <w:pgSz w:w="15840" w:h="12240" w:orient="landscape"/>
          <w:pgMar w:top="1701" w:right="1417" w:bottom="1701" w:left="1417" w:header="708" w:footer="708" w:gutter="0"/>
          <w:cols w:space="708"/>
          <w:docGrid w:linePitch="360"/>
        </w:sectPr>
      </w:pPr>
    </w:p>
    <w:p w14:paraId="746C75EA" w14:textId="73E5CFEB" w:rsidR="0089035C" w:rsidRPr="00123331" w:rsidRDefault="0089035C" w:rsidP="0089035C">
      <w:pPr>
        <w:spacing w:line="360" w:lineRule="auto"/>
        <w:rPr>
          <w:rFonts w:ascii="Arial" w:hAnsi="Arial" w:cs="Arial"/>
          <w:szCs w:val="24"/>
        </w:rPr>
      </w:pPr>
      <w:r w:rsidRPr="00123331">
        <w:rPr>
          <w:rFonts w:ascii="Arial" w:hAnsi="Arial" w:cs="Arial"/>
          <w:szCs w:val="24"/>
        </w:rPr>
        <w:lastRenderedPageBreak/>
        <w:t>Una vez terminado el periodo de Carter, la administración de Ronald Reagan realizó esfuerzos importantes para reducir gastos administrativos en general (</w:t>
      </w:r>
      <w:hyperlink r:id="rId15" w:anchor="v=onepage&amp;q=synthetic%20fuels%20corporation%20achievements&amp;f=false" w:history="1">
        <w:r w:rsidRPr="00A54FB9">
          <w:rPr>
            <w:rFonts w:ascii="Arial" w:hAnsi="Arial" w:cs="Arial"/>
            <w:szCs w:val="24"/>
          </w:rPr>
          <w:t>Yang,</w:t>
        </w:r>
      </w:hyperlink>
      <w:r>
        <w:rPr>
          <w:rFonts w:ascii="Arial" w:hAnsi="Arial" w:cs="Arial"/>
          <w:szCs w:val="24"/>
        </w:rPr>
        <w:t xml:space="preserve"> 2009</w:t>
      </w:r>
      <w:r w:rsidRPr="00123331">
        <w:rPr>
          <w:rFonts w:ascii="Arial" w:hAnsi="Arial" w:cs="Arial"/>
          <w:szCs w:val="24"/>
        </w:rPr>
        <w:t>), incluyendo los de la SFC</w:t>
      </w:r>
      <w:r>
        <w:rPr>
          <w:rFonts w:ascii="Arial" w:hAnsi="Arial" w:cs="Arial"/>
          <w:szCs w:val="24"/>
        </w:rPr>
        <w:t xml:space="preserve">, por lo que se promovió la existencia de </w:t>
      </w:r>
      <w:r w:rsidRPr="00123331">
        <w:rPr>
          <w:rFonts w:ascii="Arial" w:hAnsi="Arial" w:cs="Arial"/>
          <w:szCs w:val="24"/>
        </w:rPr>
        <w:t xml:space="preserve">patrocinadores que financiaran la mayor parte del capital de los proyectos. </w:t>
      </w:r>
    </w:p>
    <w:p w14:paraId="7FF48F82" w14:textId="7FEE4260" w:rsidR="0089035C" w:rsidRDefault="0089035C" w:rsidP="0089035C">
      <w:pPr>
        <w:spacing w:line="360" w:lineRule="auto"/>
        <w:rPr>
          <w:rStyle w:val="Refdecomentario"/>
        </w:rPr>
      </w:pPr>
      <w:r w:rsidRPr="00123331">
        <w:rPr>
          <w:rFonts w:ascii="Arial" w:hAnsi="Arial" w:cs="Arial"/>
          <w:szCs w:val="24"/>
        </w:rPr>
        <w:t>Durante la administración de Reagan</w:t>
      </w:r>
      <w:r>
        <w:rPr>
          <w:rFonts w:ascii="Arial" w:hAnsi="Arial" w:cs="Arial"/>
          <w:szCs w:val="24"/>
        </w:rPr>
        <w:t>,</w:t>
      </w:r>
      <w:r w:rsidRPr="00123331">
        <w:rPr>
          <w:rFonts w:ascii="Arial" w:hAnsi="Arial" w:cs="Arial"/>
          <w:szCs w:val="24"/>
        </w:rPr>
        <w:t xml:space="preserve"> el precio internacional del petróleo sufrió fluctuaciones debido a las fuerzas del mercado</w:t>
      </w:r>
      <w:r w:rsidR="002C74DA">
        <w:rPr>
          <w:rFonts w:ascii="Arial" w:hAnsi="Arial" w:cs="Arial"/>
          <w:szCs w:val="24"/>
        </w:rPr>
        <w:t xml:space="preserve"> y</w:t>
      </w:r>
      <w:r w:rsidRPr="00123331">
        <w:rPr>
          <w:rFonts w:ascii="Arial" w:hAnsi="Arial" w:cs="Arial"/>
          <w:szCs w:val="24"/>
        </w:rPr>
        <w:t xml:space="preserve"> en 1981 llegaron a su punto máximo </w:t>
      </w:r>
      <w:r w:rsidR="002C74DA">
        <w:rPr>
          <w:rFonts w:ascii="Arial" w:hAnsi="Arial" w:cs="Arial"/>
          <w:szCs w:val="24"/>
        </w:rPr>
        <w:t>antes de</w:t>
      </w:r>
      <w:r w:rsidRPr="00123331">
        <w:rPr>
          <w:rFonts w:ascii="Arial" w:hAnsi="Arial" w:cs="Arial"/>
          <w:szCs w:val="24"/>
        </w:rPr>
        <w:t xml:space="preserve"> comenzar a </w:t>
      </w:r>
      <w:r w:rsidR="002C74DA">
        <w:rPr>
          <w:rFonts w:ascii="Arial" w:hAnsi="Arial" w:cs="Arial"/>
          <w:szCs w:val="24"/>
        </w:rPr>
        <w:t>caer</w:t>
      </w:r>
      <w:r w:rsidRPr="00123331">
        <w:rPr>
          <w:rFonts w:ascii="Arial" w:hAnsi="Arial" w:cs="Arial"/>
          <w:szCs w:val="24"/>
        </w:rPr>
        <w:t xml:space="preserve"> (</w:t>
      </w:r>
      <w:r>
        <w:rPr>
          <w:rFonts w:ascii="Arial" w:hAnsi="Arial" w:cs="Arial"/>
          <w:szCs w:val="24"/>
        </w:rPr>
        <w:t xml:space="preserve">Yang, 2009). </w:t>
      </w:r>
      <w:r w:rsidRPr="00123331">
        <w:rPr>
          <w:rFonts w:ascii="Arial" w:hAnsi="Arial" w:cs="Arial"/>
          <w:szCs w:val="24"/>
        </w:rPr>
        <w:t xml:space="preserve">El precio proyectado del petróleo para 1990 indicaba que el precio nominal sería de </w:t>
      </w:r>
      <w:r w:rsidR="002C74DA">
        <w:rPr>
          <w:rFonts w:ascii="Arial" w:hAnsi="Arial" w:cs="Arial"/>
          <w:szCs w:val="24"/>
        </w:rPr>
        <w:t>$</w:t>
      </w:r>
      <w:r w:rsidRPr="00123331">
        <w:rPr>
          <w:rFonts w:ascii="Arial" w:hAnsi="Arial" w:cs="Arial"/>
          <w:szCs w:val="24"/>
        </w:rPr>
        <w:t>115</w:t>
      </w:r>
      <w:r w:rsidR="002C74DA">
        <w:rPr>
          <w:rFonts w:ascii="Arial" w:hAnsi="Arial" w:cs="Arial"/>
          <w:szCs w:val="24"/>
        </w:rPr>
        <w:t xml:space="preserve"> </w:t>
      </w:r>
      <w:r w:rsidR="009925DC">
        <w:rPr>
          <w:rFonts w:ascii="Arial" w:hAnsi="Arial" w:cs="Arial"/>
          <w:szCs w:val="24"/>
        </w:rPr>
        <w:t>dólares</w:t>
      </w:r>
      <w:r w:rsidRPr="00123331">
        <w:rPr>
          <w:rFonts w:ascii="Arial" w:hAnsi="Arial" w:cs="Arial"/>
          <w:szCs w:val="24"/>
        </w:rPr>
        <w:t xml:space="preserve"> el barril, </w:t>
      </w:r>
      <w:r>
        <w:rPr>
          <w:rFonts w:ascii="Arial" w:hAnsi="Arial" w:cs="Arial"/>
          <w:szCs w:val="24"/>
        </w:rPr>
        <w:t xml:space="preserve">mientras que el </w:t>
      </w:r>
      <w:r w:rsidRPr="00123331">
        <w:rPr>
          <w:rFonts w:ascii="Arial" w:hAnsi="Arial" w:cs="Arial"/>
          <w:szCs w:val="24"/>
        </w:rPr>
        <w:t xml:space="preserve">precio real </w:t>
      </w:r>
      <w:r w:rsidR="009925DC">
        <w:rPr>
          <w:rFonts w:ascii="Arial" w:hAnsi="Arial" w:cs="Arial"/>
          <w:szCs w:val="24"/>
        </w:rPr>
        <w:t>fue</w:t>
      </w:r>
      <w:r w:rsidRPr="00123331">
        <w:rPr>
          <w:rFonts w:ascii="Arial" w:hAnsi="Arial" w:cs="Arial"/>
          <w:szCs w:val="24"/>
        </w:rPr>
        <w:t xml:space="preserve"> de al menos </w:t>
      </w:r>
      <w:r>
        <w:rPr>
          <w:rFonts w:ascii="Arial" w:hAnsi="Arial" w:cs="Arial"/>
          <w:szCs w:val="24"/>
        </w:rPr>
        <w:t>$</w:t>
      </w:r>
      <w:r w:rsidRPr="00123331">
        <w:rPr>
          <w:rFonts w:ascii="Arial" w:hAnsi="Arial" w:cs="Arial"/>
          <w:szCs w:val="24"/>
        </w:rPr>
        <w:t>45</w:t>
      </w:r>
      <w:r w:rsidR="002C74DA">
        <w:rPr>
          <w:rFonts w:ascii="Arial" w:hAnsi="Arial" w:cs="Arial"/>
          <w:szCs w:val="24"/>
        </w:rPr>
        <w:t xml:space="preserve"> dólares</w:t>
      </w:r>
      <w:r w:rsidRPr="00123331">
        <w:rPr>
          <w:rFonts w:ascii="Arial" w:hAnsi="Arial" w:cs="Arial"/>
          <w:szCs w:val="24"/>
        </w:rPr>
        <w:t xml:space="preserve">. </w:t>
      </w:r>
      <w:r w:rsidR="00DB4E50">
        <w:rPr>
          <w:rFonts w:ascii="Arial" w:hAnsi="Arial" w:cs="Arial"/>
          <w:szCs w:val="24"/>
        </w:rPr>
        <w:t xml:space="preserve">Como </w:t>
      </w:r>
      <w:r w:rsidRPr="00123331">
        <w:rPr>
          <w:rFonts w:ascii="Arial" w:hAnsi="Arial" w:cs="Arial"/>
          <w:szCs w:val="24"/>
        </w:rPr>
        <w:t>las proyecciones comenzaron a cambiar</w:t>
      </w:r>
      <w:r w:rsidR="00DB4E50">
        <w:rPr>
          <w:rFonts w:ascii="Arial" w:hAnsi="Arial" w:cs="Arial"/>
          <w:szCs w:val="24"/>
        </w:rPr>
        <w:t>,</w:t>
      </w:r>
      <w:r w:rsidRPr="00123331">
        <w:rPr>
          <w:rFonts w:ascii="Arial" w:hAnsi="Arial" w:cs="Arial"/>
          <w:szCs w:val="24"/>
        </w:rPr>
        <w:t xml:space="preserve">  se calculaba que un barril de petróleo se encontraría por debajo de los $50 </w:t>
      </w:r>
      <w:r w:rsidR="008943BE">
        <w:rPr>
          <w:rFonts w:ascii="Arial" w:hAnsi="Arial" w:cs="Arial"/>
          <w:szCs w:val="24"/>
        </w:rPr>
        <w:t>dólares</w:t>
      </w:r>
      <w:r w:rsidRPr="00123331">
        <w:rPr>
          <w:rFonts w:ascii="Arial" w:hAnsi="Arial" w:cs="Arial"/>
          <w:szCs w:val="24"/>
        </w:rPr>
        <w:t xml:space="preserve"> el barril para 1990, haciendo que un barril de petróleo </w:t>
      </w:r>
      <w:r>
        <w:rPr>
          <w:rFonts w:ascii="Arial" w:hAnsi="Arial" w:cs="Arial"/>
          <w:szCs w:val="24"/>
        </w:rPr>
        <w:t>producido sintéticament</w:t>
      </w:r>
      <w:r w:rsidR="002C74DA">
        <w:rPr>
          <w:rFonts w:ascii="Arial" w:hAnsi="Arial" w:cs="Arial"/>
          <w:szCs w:val="24"/>
        </w:rPr>
        <w:t>e</w:t>
      </w:r>
      <w:r w:rsidR="0017083F">
        <w:rPr>
          <w:rStyle w:val="Refdenotaalpie"/>
          <w:rFonts w:ascii="Arial" w:hAnsi="Arial" w:cs="Arial"/>
          <w:szCs w:val="24"/>
        </w:rPr>
        <w:footnoteReference w:id="5"/>
      </w:r>
      <w:r w:rsidR="002C74DA">
        <w:rPr>
          <w:rFonts w:ascii="Arial" w:hAnsi="Arial" w:cs="Arial"/>
          <w:szCs w:val="24"/>
        </w:rPr>
        <w:t xml:space="preserve"> </w:t>
      </w:r>
      <w:r w:rsidR="00CB436E" w:rsidRPr="00CB436E">
        <w:rPr>
          <w:rFonts w:ascii="Arial" w:hAnsi="Arial" w:cs="Arial"/>
          <w:szCs w:val="24"/>
        </w:rPr>
        <w:t xml:space="preserve"> </w:t>
      </w:r>
      <w:r w:rsidR="00CB436E" w:rsidRPr="00123331">
        <w:rPr>
          <w:rFonts w:ascii="Arial" w:hAnsi="Arial" w:cs="Arial"/>
          <w:szCs w:val="24"/>
        </w:rPr>
        <w:t>no fuera rent</w:t>
      </w:r>
      <w:r w:rsidR="00CB436E">
        <w:rPr>
          <w:rFonts w:ascii="Arial" w:hAnsi="Arial" w:cs="Arial"/>
          <w:szCs w:val="24"/>
        </w:rPr>
        <w:t>able</w:t>
      </w:r>
      <w:r w:rsidR="00CB436E" w:rsidRPr="00123331">
        <w:rPr>
          <w:rFonts w:ascii="Arial" w:hAnsi="Arial" w:cs="Arial"/>
          <w:szCs w:val="24"/>
        </w:rPr>
        <w:t xml:space="preserve"> </w:t>
      </w:r>
      <w:r w:rsidR="00CB436E">
        <w:rPr>
          <w:rFonts w:ascii="Arial" w:hAnsi="Arial" w:cs="Arial"/>
          <w:szCs w:val="24"/>
        </w:rPr>
        <w:t xml:space="preserve">, pues </w:t>
      </w:r>
      <w:r w:rsidRPr="00123331">
        <w:rPr>
          <w:rFonts w:ascii="Arial" w:hAnsi="Arial" w:cs="Arial"/>
          <w:szCs w:val="24"/>
        </w:rPr>
        <w:t>costa</w:t>
      </w:r>
      <w:r w:rsidR="00CB436E">
        <w:rPr>
          <w:rFonts w:ascii="Arial" w:hAnsi="Arial" w:cs="Arial"/>
          <w:szCs w:val="24"/>
        </w:rPr>
        <w:t>b</w:t>
      </w:r>
      <w:r w:rsidRPr="00123331">
        <w:rPr>
          <w:rFonts w:ascii="Arial" w:hAnsi="Arial" w:cs="Arial"/>
          <w:szCs w:val="24"/>
        </w:rPr>
        <w:t>a $92 dólares</w:t>
      </w:r>
      <w:r w:rsidR="00CB436E">
        <w:rPr>
          <w:rFonts w:ascii="Arial" w:hAnsi="Arial" w:cs="Arial"/>
          <w:szCs w:val="24"/>
        </w:rPr>
        <w:t xml:space="preserve"> su producción</w:t>
      </w:r>
      <w:r w:rsidRPr="00123331">
        <w:rPr>
          <w:rFonts w:ascii="Arial" w:hAnsi="Arial" w:cs="Arial"/>
          <w:szCs w:val="24"/>
        </w:rPr>
        <w:t xml:space="preserve"> (</w:t>
      </w:r>
      <w:proofErr w:type="spellStart"/>
      <w:r>
        <w:rPr>
          <w:rFonts w:ascii="Arial" w:hAnsi="Arial" w:cs="Arial"/>
          <w:szCs w:val="24"/>
        </w:rPr>
        <w:t>Copulos</w:t>
      </w:r>
      <w:proofErr w:type="spellEnd"/>
      <w:r>
        <w:rPr>
          <w:rFonts w:ascii="Arial" w:hAnsi="Arial" w:cs="Arial"/>
          <w:szCs w:val="24"/>
        </w:rPr>
        <w:t>, 1985).</w:t>
      </w:r>
    </w:p>
    <w:p w14:paraId="64327805" w14:textId="0D6F350A" w:rsidR="0089035C" w:rsidRDefault="0089035C" w:rsidP="0089035C">
      <w:pPr>
        <w:spacing w:line="360" w:lineRule="auto"/>
        <w:rPr>
          <w:rFonts w:ascii="Arial" w:hAnsi="Arial" w:cs="Arial"/>
          <w:szCs w:val="24"/>
        </w:rPr>
      </w:pPr>
      <w:r w:rsidRPr="00123331">
        <w:rPr>
          <w:rFonts w:ascii="Arial" w:hAnsi="Arial" w:cs="Arial"/>
          <w:szCs w:val="24"/>
        </w:rPr>
        <w:t xml:space="preserve">Como consecuencia, muchos patrocinadores abandonaron los proyectos </w:t>
      </w:r>
      <w:r w:rsidR="00616FF2">
        <w:rPr>
          <w:rFonts w:ascii="Arial" w:hAnsi="Arial" w:cs="Arial"/>
          <w:szCs w:val="24"/>
        </w:rPr>
        <w:t>−</w:t>
      </w:r>
      <w:r w:rsidRPr="00123331">
        <w:rPr>
          <w:rFonts w:ascii="Arial" w:hAnsi="Arial" w:cs="Arial"/>
          <w:szCs w:val="24"/>
        </w:rPr>
        <w:t xml:space="preserve">que </w:t>
      </w:r>
      <w:r w:rsidR="00616FF2">
        <w:rPr>
          <w:rFonts w:ascii="Arial" w:hAnsi="Arial" w:cs="Arial"/>
          <w:szCs w:val="24"/>
        </w:rPr>
        <w:t>ya</w:t>
      </w:r>
      <w:r>
        <w:rPr>
          <w:rFonts w:ascii="Arial" w:hAnsi="Arial" w:cs="Arial"/>
          <w:szCs w:val="24"/>
        </w:rPr>
        <w:t xml:space="preserve"> n</w:t>
      </w:r>
      <w:r w:rsidRPr="00123331">
        <w:rPr>
          <w:rFonts w:ascii="Arial" w:hAnsi="Arial" w:cs="Arial"/>
          <w:szCs w:val="24"/>
        </w:rPr>
        <w:t xml:space="preserve">o eran viables </w:t>
      </w:r>
      <w:r>
        <w:rPr>
          <w:rFonts w:ascii="Arial" w:hAnsi="Arial" w:cs="Arial"/>
          <w:szCs w:val="24"/>
        </w:rPr>
        <w:t>comercialmente</w:t>
      </w:r>
      <w:r w:rsidR="00616FF2">
        <w:rPr>
          <w:rFonts w:ascii="Arial" w:hAnsi="Arial" w:cs="Arial"/>
          <w:szCs w:val="24"/>
        </w:rPr>
        <w:t>−,</w:t>
      </w:r>
      <w:r w:rsidRPr="00123331">
        <w:rPr>
          <w:rFonts w:ascii="Arial" w:hAnsi="Arial" w:cs="Arial"/>
          <w:szCs w:val="24"/>
        </w:rPr>
        <w:t xml:space="preserve"> dejando a la corporación con un dilema</w:t>
      </w:r>
      <w:r>
        <w:rPr>
          <w:rFonts w:ascii="Arial" w:hAnsi="Arial" w:cs="Arial"/>
          <w:szCs w:val="24"/>
        </w:rPr>
        <w:t>. E</w:t>
      </w:r>
      <w:r w:rsidRPr="00123331">
        <w:rPr>
          <w:rFonts w:ascii="Arial" w:hAnsi="Arial" w:cs="Arial"/>
          <w:szCs w:val="24"/>
        </w:rPr>
        <w:t xml:space="preserve">l mandato legal apuntaba objetivos de producción de 500,000 barriles de </w:t>
      </w:r>
      <w:r w:rsidR="004C6898">
        <w:rPr>
          <w:rFonts w:ascii="Arial" w:hAnsi="Arial" w:cs="Arial"/>
          <w:szCs w:val="24"/>
        </w:rPr>
        <w:t>combustible</w:t>
      </w:r>
      <w:r w:rsidR="004C6898" w:rsidRPr="00123331">
        <w:rPr>
          <w:rFonts w:ascii="Arial" w:hAnsi="Arial" w:cs="Arial"/>
          <w:szCs w:val="24"/>
        </w:rPr>
        <w:t xml:space="preserve"> </w:t>
      </w:r>
      <w:r w:rsidRPr="00123331">
        <w:rPr>
          <w:rFonts w:ascii="Arial" w:hAnsi="Arial" w:cs="Arial"/>
          <w:szCs w:val="24"/>
        </w:rPr>
        <w:t>sintético para 1987 y 1.5 millones de producción diaria para 1992</w:t>
      </w:r>
      <w:r>
        <w:rPr>
          <w:rFonts w:ascii="Arial" w:hAnsi="Arial" w:cs="Arial"/>
          <w:szCs w:val="24"/>
        </w:rPr>
        <w:t xml:space="preserve"> </w:t>
      </w:r>
      <w:r w:rsidRPr="00123331">
        <w:rPr>
          <w:rFonts w:ascii="Arial" w:hAnsi="Arial" w:cs="Arial"/>
          <w:szCs w:val="24"/>
        </w:rPr>
        <w:t>(</w:t>
      </w:r>
      <w:proofErr w:type="spellStart"/>
      <w:r>
        <w:rPr>
          <w:rFonts w:ascii="Arial" w:hAnsi="Arial" w:cs="Arial"/>
          <w:szCs w:val="24"/>
        </w:rPr>
        <w:t>Copulos</w:t>
      </w:r>
      <w:proofErr w:type="spellEnd"/>
      <w:r>
        <w:rPr>
          <w:rFonts w:ascii="Arial" w:hAnsi="Arial" w:cs="Arial"/>
          <w:szCs w:val="24"/>
        </w:rPr>
        <w:t>, 1985).</w:t>
      </w:r>
    </w:p>
    <w:p w14:paraId="7F333327" w14:textId="31C663CD" w:rsidR="00DB4E50" w:rsidRPr="00123331" w:rsidRDefault="00DB4E50" w:rsidP="00DB4E50">
      <w:pPr>
        <w:spacing w:line="360" w:lineRule="auto"/>
        <w:rPr>
          <w:rFonts w:ascii="Arial" w:hAnsi="Arial" w:cs="Arial"/>
          <w:szCs w:val="24"/>
        </w:rPr>
      </w:pPr>
      <w:r w:rsidRPr="00123331">
        <w:rPr>
          <w:rFonts w:ascii="Arial" w:hAnsi="Arial" w:cs="Arial"/>
          <w:szCs w:val="24"/>
        </w:rPr>
        <w:t xml:space="preserve">Los objetivos de producción estipulados por la ley empezaron </w:t>
      </w:r>
      <w:r w:rsidR="00D0164B">
        <w:rPr>
          <w:rFonts w:ascii="Arial" w:hAnsi="Arial" w:cs="Arial"/>
          <w:szCs w:val="24"/>
        </w:rPr>
        <w:t xml:space="preserve">a </w:t>
      </w:r>
      <w:r w:rsidR="00CB436E">
        <w:rPr>
          <w:rFonts w:ascii="Arial" w:hAnsi="Arial" w:cs="Arial"/>
          <w:szCs w:val="24"/>
        </w:rPr>
        <w:t xml:space="preserve">ser </w:t>
      </w:r>
      <w:r w:rsidR="00D0164B">
        <w:rPr>
          <w:rFonts w:ascii="Arial" w:hAnsi="Arial" w:cs="Arial"/>
          <w:szCs w:val="24"/>
        </w:rPr>
        <w:t>inviables</w:t>
      </w:r>
      <w:r w:rsidR="00D0164B" w:rsidRPr="00123331">
        <w:rPr>
          <w:rFonts w:ascii="Arial" w:hAnsi="Arial" w:cs="Arial"/>
          <w:szCs w:val="24"/>
        </w:rPr>
        <w:t xml:space="preserve"> </w:t>
      </w:r>
      <w:r w:rsidRPr="00123331">
        <w:rPr>
          <w:rFonts w:ascii="Arial" w:hAnsi="Arial" w:cs="Arial"/>
          <w:szCs w:val="24"/>
        </w:rPr>
        <w:t xml:space="preserve">y </w:t>
      </w:r>
      <w:r w:rsidR="00D0164B">
        <w:rPr>
          <w:rFonts w:ascii="Arial" w:hAnsi="Arial" w:cs="Arial"/>
          <w:szCs w:val="24"/>
        </w:rPr>
        <w:t xml:space="preserve"> terminaron por </w:t>
      </w:r>
      <w:r w:rsidRPr="00123331">
        <w:rPr>
          <w:rFonts w:ascii="Arial" w:hAnsi="Arial" w:cs="Arial"/>
          <w:szCs w:val="24"/>
        </w:rPr>
        <w:t xml:space="preserve">solamente  establecer un punto político. El nuevo director del consejo, Edward Noble hizo cambios en la administración de la corporación para establecer plantas y determinar si las nuevas tecnologías de investigación funcionaban. </w:t>
      </w:r>
      <w:r w:rsidR="00D0164B">
        <w:rPr>
          <w:rFonts w:ascii="Arial" w:hAnsi="Arial" w:cs="Arial"/>
          <w:szCs w:val="24"/>
        </w:rPr>
        <w:t>Concluyó que n</w:t>
      </w:r>
      <w:r w:rsidRPr="00123331">
        <w:rPr>
          <w:rFonts w:ascii="Arial" w:hAnsi="Arial" w:cs="Arial"/>
          <w:szCs w:val="24"/>
        </w:rPr>
        <w:t>o existía justificación comercial para proveer asistencia financiera a proyectos de combustibles sintéticos durante 1982</w:t>
      </w:r>
      <w:r w:rsidR="00D0164B">
        <w:rPr>
          <w:rFonts w:ascii="Arial" w:hAnsi="Arial" w:cs="Arial"/>
          <w:szCs w:val="24"/>
        </w:rPr>
        <w:t>,</w:t>
      </w:r>
      <w:r w:rsidRPr="00123331">
        <w:rPr>
          <w:rFonts w:ascii="Arial" w:hAnsi="Arial" w:cs="Arial"/>
          <w:szCs w:val="24"/>
        </w:rPr>
        <w:t xml:space="preserve"> ya que los precios habían bajado. </w:t>
      </w:r>
    </w:p>
    <w:p w14:paraId="6A3E491D" w14:textId="4F7F7E64" w:rsidR="0089035C" w:rsidRDefault="0089035C" w:rsidP="0089035C">
      <w:pPr>
        <w:spacing w:line="360" w:lineRule="auto"/>
        <w:rPr>
          <w:rFonts w:ascii="Arial" w:hAnsi="Arial" w:cs="Arial"/>
          <w:szCs w:val="24"/>
        </w:rPr>
      </w:pPr>
      <w:r w:rsidRPr="00123331">
        <w:rPr>
          <w:rFonts w:ascii="Arial" w:hAnsi="Arial" w:cs="Arial"/>
          <w:szCs w:val="24"/>
        </w:rPr>
        <w:t>Para 1981, el servicio de investigaciones del congreso publicó un reporte que concluía que</w:t>
      </w:r>
      <w:r w:rsidR="00D0164B">
        <w:rPr>
          <w:rFonts w:ascii="Arial" w:hAnsi="Arial" w:cs="Arial"/>
          <w:szCs w:val="24"/>
        </w:rPr>
        <w:t>,</w:t>
      </w:r>
      <w:r w:rsidRPr="00123331">
        <w:rPr>
          <w:rFonts w:ascii="Arial" w:hAnsi="Arial" w:cs="Arial"/>
          <w:szCs w:val="24"/>
        </w:rPr>
        <w:t xml:space="preserve"> aunque los precios del petróleo incrementaran</w:t>
      </w:r>
      <w:r w:rsidR="00D0164B">
        <w:rPr>
          <w:rFonts w:ascii="Arial" w:hAnsi="Arial" w:cs="Arial"/>
          <w:szCs w:val="24"/>
        </w:rPr>
        <w:t>,</w:t>
      </w:r>
      <w:r w:rsidRPr="00123331">
        <w:rPr>
          <w:rFonts w:ascii="Arial" w:hAnsi="Arial" w:cs="Arial"/>
          <w:szCs w:val="24"/>
        </w:rPr>
        <w:t xml:space="preserve"> </w:t>
      </w:r>
      <w:r w:rsidR="00D0164B">
        <w:rPr>
          <w:rFonts w:ascii="Arial" w:hAnsi="Arial" w:cs="Arial"/>
          <w:szCs w:val="24"/>
        </w:rPr>
        <w:t>l</w:t>
      </w:r>
      <w:r w:rsidRPr="00123331">
        <w:rPr>
          <w:rFonts w:ascii="Arial" w:hAnsi="Arial" w:cs="Arial"/>
          <w:szCs w:val="24"/>
        </w:rPr>
        <w:t>a creación de nuevas plantas no sería económica</w:t>
      </w:r>
      <w:r w:rsidR="00DB4E50">
        <w:rPr>
          <w:rFonts w:ascii="Arial" w:hAnsi="Arial" w:cs="Arial"/>
          <w:szCs w:val="24"/>
        </w:rPr>
        <w:t>mente viable</w:t>
      </w:r>
      <w:r w:rsidRPr="00123331">
        <w:rPr>
          <w:rFonts w:ascii="Arial" w:hAnsi="Arial" w:cs="Arial"/>
          <w:szCs w:val="24"/>
        </w:rPr>
        <w:t>. Posteriormente se eliminaron los subsidios</w:t>
      </w:r>
      <w:r w:rsidR="008943BE">
        <w:rPr>
          <w:rFonts w:ascii="Arial" w:hAnsi="Arial" w:cs="Arial"/>
          <w:szCs w:val="24"/>
        </w:rPr>
        <w:t>,</w:t>
      </w:r>
      <w:r w:rsidRPr="00123331">
        <w:rPr>
          <w:rFonts w:ascii="Arial" w:hAnsi="Arial" w:cs="Arial"/>
          <w:szCs w:val="24"/>
        </w:rPr>
        <w:t xml:space="preserve"> aun cuando el precio del petróleo ya se había estabilizado.</w:t>
      </w:r>
    </w:p>
    <w:p w14:paraId="7287D7BE" w14:textId="7E527155" w:rsidR="00DB4E50" w:rsidRPr="00123331" w:rsidRDefault="00DB4E50" w:rsidP="00DB4E50">
      <w:pPr>
        <w:spacing w:line="360" w:lineRule="auto"/>
        <w:rPr>
          <w:rFonts w:ascii="Arial" w:hAnsi="Arial" w:cs="Arial"/>
          <w:szCs w:val="24"/>
        </w:rPr>
      </w:pPr>
      <w:r w:rsidRPr="00123331">
        <w:rPr>
          <w:rFonts w:ascii="Arial" w:hAnsi="Arial" w:cs="Arial"/>
          <w:szCs w:val="24"/>
        </w:rPr>
        <w:t>D</w:t>
      </w:r>
      <w:r>
        <w:rPr>
          <w:rFonts w:ascii="Arial" w:hAnsi="Arial" w:cs="Arial"/>
          <w:szCs w:val="24"/>
        </w:rPr>
        <w:t>ebido a los cuestionamientos de la</w:t>
      </w:r>
      <w:r w:rsidRPr="00123331">
        <w:rPr>
          <w:rFonts w:ascii="Arial" w:hAnsi="Arial" w:cs="Arial"/>
          <w:szCs w:val="24"/>
        </w:rPr>
        <w:t xml:space="preserve"> opinión pública y a </w:t>
      </w:r>
      <w:r w:rsidR="00616FF2">
        <w:rPr>
          <w:rFonts w:ascii="Arial" w:hAnsi="Arial" w:cs="Arial"/>
          <w:szCs w:val="24"/>
        </w:rPr>
        <w:t>las críticas sobre</w:t>
      </w:r>
      <w:r w:rsidRPr="00123331">
        <w:rPr>
          <w:rFonts w:ascii="Arial" w:hAnsi="Arial" w:cs="Arial"/>
          <w:szCs w:val="24"/>
        </w:rPr>
        <w:t xml:space="preserve"> los salarios </w:t>
      </w:r>
      <w:r w:rsidR="00616FF2">
        <w:rPr>
          <w:rFonts w:ascii="Arial" w:hAnsi="Arial" w:cs="Arial"/>
          <w:szCs w:val="24"/>
        </w:rPr>
        <w:t xml:space="preserve">relativamente altos </w:t>
      </w:r>
      <w:r w:rsidRPr="00123331">
        <w:rPr>
          <w:rFonts w:ascii="Arial" w:hAnsi="Arial" w:cs="Arial"/>
          <w:szCs w:val="24"/>
        </w:rPr>
        <w:t>que se otorgaban en la corporación</w:t>
      </w:r>
      <w:r w:rsidR="00616FF2">
        <w:rPr>
          <w:rFonts w:ascii="Arial" w:hAnsi="Arial" w:cs="Arial"/>
          <w:szCs w:val="24"/>
        </w:rPr>
        <w:t>, comparados</w:t>
      </w:r>
      <w:r w:rsidRPr="00123331">
        <w:rPr>
          <w:rFonts w:ascii="Arial" w:hAnsi="Arial" w:cs="Arial"/>
          <w:szCs w:val="24"/>
        </w:rPr>
        <w:t xml:space="preserve"> con el resto de las </w:t>
      </w:r>
      <w:r w:rsidRPr="00123331">
        <w:rPr>
          <w:rFonts w:ascii="Arial" w:hAnsi="Arial" w:cs="Arial"/>
          <w:szCs w:val="24"/>
        </w:rPr>
        <w:lastRenderedPageBreak/>
        <w:t>entidades gubernamentales</w:t>
      </w:r>
      <w:r w:rsidR="008943BE">
        <w:rPr>
          <w:rFonts w:ascii="Arial" w:hAnsi="Arial" w:cs="Arial"/>
          <w:szCs w:val="24"/>
        </w:rPr>
        <w:t>,</w:t>
      </w:r>
      <w:r w:rsidRPr="00123331">
        <w:rPr>
          <w:rFonts w:ascii="Arial" w:hAnsi="Arial" w:cs="Arial"/>
          <w:szCs w:val="24"/>
        </w:rPr>
        <w:t xml:space="preserve"> Reagan ordenó un recorte del 50 por ciento de los directores y funcionarios de </w:t>
      </w:r>
      <w:r w:rsidR="00D0164B">
        <w:rPr>
          <w:rFonts w:ascii="Arial" w:hAnsi="Arial" w:cs="Arial"/>
          <w:szCs w:val="24"/>
        </w:rPr>
        <w:t xml:space="preserve">alto </w:t>
      </w:r>
      <w:r w:rsidRPr="00123331">
        <w:rPr>
          <w:rFonts w:ascii="Arial" w:hAnsi="Arial" w:cs="Arial"/>
          <w:szCs w:val="24"/>
        </w:rPr>
        <w:t xml:space="preserve">nivel.  Como en la industria petrolera los salarios eran mayores y la mayoría de los trabajadores habían </w:t>
      </w:r>
      <w:r w:rsidR="008943BE">
        <w:rPr>
          <w:rFonts w:ascii="Arial" w:hAnsi="Arial" w:cs="Arial"/>
          <w:szCs w:val="24"/>
        </w:rPr>
        <w:t>trabajado anteriormente en ella</w:t>
      </w:r>
      <w:r w:rsidRPr="00123331">
        <w:rPr>
          <w:rFonts w:ascii="Arial" w:hAnsi="Arial" w:cs="Arial"/>
          <w:szCs w:val="24"/>
        </w:rPr>
        <w:t xml:space="preserve">, el personal comenzó a </w:t>
      </w:r>
      <w:r>
        <w:rPr>
          <w:rFonts w:ascii="Arial" w:hAnsi="Arial" w:cs="Arial"/>
          <w:szCs w:val="24"/>
        </w:rPr>
        <w:t>retirarse de la Corporación.</w:t>
      </w:r>
    </w:p>
    <w:p w14:paraId="606C77AD" w14:textId="3A8D8B1F" w:rsidR="00DB4E50" w:rsidRPr="00123331" w:rsidRDefault="00DB4E50" w:rsidP="00DB4E50">
      <w:pPr>
        <w:spacing w:line="360" w:lineRule="auto"/>
        <w:rPr>
          <w:rFonts w:ascii="Arial" w:hAnsi="Arial" w:cs="Arial"/>
          <w:szCs w:val="24"/>
        </w:rPr>
      </w:pPr>
      <w:r w:rsidRPr="00123331">
        <w:rPr>
          <w:rFonts w:ascii="Arial" w:hAnsi="Arial" w:cs="Arial"/>
          <w:szCs w:val="24"/>
        </w:rPr>
        <w:t>De acuerdo con el p</w:t>
      </w:r>
      <w:r>
        <w:rPr>
          <w:rFonts w:ascii="Arial" w:hAnsi="Arial" w:cs="Arial"/>
          <w:szCs w:val="24"/>
        </w:rPr>
        <w:t xml:space="preserve">rofesor Richard </w:t>
      </w:r>
      <w:proofErr w:type="spellStart"/>
      <w:r>
        <w:rPr>
          <w:rFonts w:ascii="Arial" w:hAnsi="Arial" w:cs="Arial"/>
          <w:szCs w:val="24"/>
        </w:rPr>
        <w:t>Vietor</w:t>
      </w:r>
      <w:proofErr w:type="spellEnd"/>
      <w:r>
        <w:rPr>
          <w:rFonts w:ascii="Arial" w:hAnsi="Arial" w:cs="Arial"/>
          <w:szCs w:val="24"/>
        </w:rPr>
        <w:t xml:space="preserve"> del Harv</w:t>
      </w:r>
      <w:r w:rsidRPr="00123331">
        <w:rPr>
          <w:rFonts w:ascii="Arial" w:hAnsi="Arial" w:cs="Arial"/>
          <w:szCs w:val="24"/>
        </w:rPr>
        <w:t xml:space="preserve">ard Business </w:t>
      </w:r>
      <w:proofErr w:type="spellStart"/>
      <w:r w:rsidRPr="00123331">
        <w:rPr>
          <w:rFonts w:ascii="Arial" w:hAnsi="Arial" w:cs="Arial"/>
          <w:szCs w:val="24"/>
        </w:rPr>
        <w:t>School</w:t>
      </w:r>
      <w:proofErr w:type="spellEnd"/>
      <w:r w:rsidRPr="00123331">
        <w:rPr>
          <w:rFonts w:ascii="Arial" w:hAnsi="Arial" w:cs="Arial"/>
          <w:szCs w:val="24"/>
        </w:rPr>
        <w:t xml:space="preserve"> (</w:t>
      </w:r>
      <w:hyperlink r:id="rId16" w:anchor="v=onepage&amp;q=synthetic%20fuels%20corporation%20achievements&amp;f=false" w:history="1">
        <w:r w:rsidRPr="00A54FB9">
          <w:rPr>
            <w:rFonts w:ascii="Arial" w:hAnsi="Arial" w:cs="Arial"/>
            <w:szCs w:val="24"/>
          </w:rPr>
          <w:t>Yang,</w:t>
        </w:r>
      </w:hyperlink>
      <w:r>
        <w:rPr>
          <w:rFonts w:ascii="Arial" w:hAnsi="Arial" w:cs="Arial"/>
          <w:szCs w:val="24"/>
        </w:rPr>
        <w:t xml:space="preserve"> 2009</w:t>
      </w:r>
      <w:r w:rsidRPr="00123331">
        <w:rPr>
          <w:rFonts w:ascii="Arial" w:hAnsi="Arial" w:cs="Arial"/>
          <w:szCs w:val="24"/>
        </w:rPr>
        <w:t>) las políticas que busca</w:t>
      </w:r>
      <w:r w:rsidR="007C4750">
        <w:rPr>
          <w:rFonts w:ascii="Arial" w:hAnsi="Arial" w:cs="Arial"/>
          <w:szCs w:val="24"/>
        </w:rPr>
        <w:t>ron</w:t>
      </w:r>
      <w:r w:rsidRPr="00123331">
        <w:rPr>
          <w:rFonts w:ascii="Arial" w:hAnsi="Arial" w:cs="Arial"/>
          <w:szCs w:val="24"/>
        </w:rPr>
        <w:t xml:space="preserve"> incentivar los combustibles sintéticos est</w:t>
      </w:r>
      <w:r w:rsidR="00777E6E">
        <w:rPr>
          <w:rFonts w:ascii="Arial" w:hAnsi="Arial" w:cs="Arial"/>
          <w:szCs w:val="24"/>
        </w:rPr>
        <w:t>aban</w:t>
      </w:r>
      <w:r w:rsidRPr="00123331">
        <w:rPr>
          <w:rFonts w:ascii="Arial" w:hAnsi="Arial" w:cs="Arial"/>
          <w:szCs w:val="24"/>
        </w:rPr>
        <w:t xml:space="preserve"> ligadas</w:t>
      </w:r>
      <w:r w:rsidR="00777E6E">
        <w:rPr>
          <w:rFonts w:ascii="Arial" w:hAnsi="Arial" w:cs="Arial"/>
          <w:szCs w:val="24"/>
        </w:rPr>
        <w:t xml:space="preserve"> </w:t>
      </w:r>
      <w:r w:rsidRPr="00123331">
        <w:rPr>
          <w:rFonts w:ascii="Arial" w:hAnsi="Arial" w:cs="Arial"/>
          <w:szCs w:val="24"/>
        </w:rPr>
        <w:t>a las fuerzas del mercado</w:t>
      </w:r>
      <w:r w:rsidR="007C4750">
        <w:rPr>
          <w:rFonts w:ascii="Arial" w:hAnsi="Arial" w:cs="Arial"/>
          <w:szCs w:val="24"/>
        </w:rPr>
        <w:t xml:space="preserve"> que habían provocado los precios altos</w:t>
      </w:r>
      <w:r w:rsidR="00777E6E">
        <w:rPr>
          <w:rFonts w:ascii="Arial" w:hAnsi="Arial" w:cs="Arial"/>
          <w:szCs w:val="24"/>
        </w:rPr>
        <w:t>.</w:t>
      </w:r>
      <w:r>
        <w:rPr>
          <w:rFonts w:ascii="Arial" w:hAnsi="Arial" w:cs="Arial"/>
          <w:szCs w:val="24"/>
        </w:rPr>
        <w:t xml:space="preserve"> </w:t>
      </w:r>
      <w:r w:rsidR="00777E6E">
        <w:rPr>
          <w:rFonts w:ascii="Arial" w:hAnsi="Arial" w:cs="Arial"/>
          <w:szCs w:val="24"/>
        </w:rPr>
        <w:t>E</w:t>
      </w:r>
      <w:r>
        <w:rPr>
          <w:rFonts w:ascii="Arial" w:hAnsi="Arial" w:cs="Arial"/>
          <w:szCs w:val="24"/>
        </w:rPr>
        <w:t xml:space="preserve">s decir, la SFC se creó </w:t>
      </w:r>
      <w:r w:rsidR="00777E6E">
        <w:rPr>
          <w:rFonts w:ascii="Arial" w:hAnsi="Arial" w:cs="Arial"/>
          <w:szCs w:val="24"/>
        </w:rPr>
        <w:t>bajo el supuesto de que los precios seguirían siendo altos</w:t>
      </w:r>
      <w:r w:rsidRPr="00123331">
        <w:rPr>
          <w:rFonts w:ascii="Arial" w:hAnsi="Arial" w:cs="Arial"/>
          <w:szCs w:val="24"/>
        </w:rPr>
        <w:t xml:space="preserve"> </w:t>
      </w:r>
      <w:r w:rsidR="007C4750">
        <w:rPr>
          <w:rFonts w:ascii="Arial" w:hAnsi="Arial" w:cs="Arial"/>
          <w:szCs w:val="24"/>
        </w:rPr>
        <w:t>y sólo así era viable la extracción de petróleo no convencional.</w:t>
      </w:r>
    </w:p>
    <w:p w14:paraId="3C38182A" w14:textId="3BD2CCA1" w:rsidR="00DB4E50" w:rsidRDefault="00DB4E50" w:rsidP="00DB4E50">
      <w:pPr>
        <w:spacing w:line="360" w:lineRule="auto"/>
        <w:rPr>
          <w:rFonts w:ascii="Arial" w:hAnsi="Arial" w:cs="Arial"/>
          <w:szCs w:val="24"/>
        </w:rPr>
      </w:pPr>
      <w:r w:rsidRPr="00123331">
        <w:rPr>
          <w:rFonts w:ascii="Arial" w:hAnsi="Arial" w:cs="Arial"/>
          <w:szCs w:val="24"/>
        </w:rPr>
        <w:t>De igual manera R</w:t>
      </w:r>
      <w:r w:rsidR="00777E6E">
        <w:rPr>
          <w:rFonts w:ascii="Arial" w:hAnsi="Arial" w:cs="Arial"/>
          <w:szCs w:val="24"/>
        </w:rPr>
        <w:t>.</w:t>
      </w:r>
      <w:r w:rsidRPr="00123331">
        <w:rPr>
          <w:rFonts w:ascii="Arial" w:hAnsi="Arial" w:cs="Arial"/>
          <w:szCs w:val="24"/>
        </w:rPr>
        <w:t xml:space="preserve"> Milton (1985) sugirió que el principal problema de la Corporación ante las fluctuaciones de los precios del petróleo eran sus objetivos</w:t>
      </w:r>
      <w:r w:rsidR="00777E6E">
        <w:rPr>
          <w:rFonts w:ascii="Arial" w:hAnsi="Arial" w:cs="Arial"/>
          <w:szCs w:val="24"/>
        </w:rPr>
        <w:t>,</w:t>
      </w:r>
      <w:r w:rsidRPr="00123331">
        <w:rPr>
          <w:rFonts w:ascii="Arial" w:hAnsi="Arial" w:cs="Arial"/>
          <w:szCs w:val="24"/>
        </w:rPr>
        <w:t xml:space="preserve"> </w:t>
      </w:r>
      <w:r w:rsidR="00777E6E">
        <w:rPr>
          <w:rFonts w:ascii="Arial" w:hAnsi="Arial" w:cs="Arial"/>
          <w:szCs w:val="24"/>
        </w:rPr>
        <w:t>pues</w:t>
      </w:r>
      <w:r w:rsidRPr="00123331">
        <w:rPr>
          <w:rFonts w:ascii="Arial" w:hAnsi="Arial" w:cs="Arial"/>
          <w:szCs w:val="24"/>
        </w:rPr>
        <w:t xml:space="preserve"> </w:t>
      </w:r>
      <w:r w:rsidR="00777E6E">
        <w:rPr>
          <w:rFonts w:ascii="Arial" w:hAnsi="Arial" w:cs="Arial"/>
          <w:szCs w:val="24"/>
        </w:rPr>
        <w:t>é</w:t>
      </w:r>
      <w:r w:rsidRPr="00123331">
        <w:rPr>
          <w:rFonts w:ascii="Arial" w:hAnsi="Arial" w:cs="Arial"/>
          <w:szCs w:val="24"/>
        </w:rPr>
        <w:t xml:space="preserve">stos debían estar encaminados a la factibilidad </w:t>
      </w:r>
      <w:r>
        <w:rPr>
          <w:rFonts w:ascii="Arial" w:hAnsi="Arial" w:cs="Arial"/>
          <w:szCs w:val="24"/>
        </w:rPr>
        <w:t xml:space="preserve"> </w:t>
      </w:r>
      <w:r w:rsidRPr="00123331">
        <w:rPr>
          <w:rFonts w:ascii="Arial" w:hAnsi="Arial" w:cs="Arial"/>
          <w:szCs w:val="24"/>
        </w:rPr>
        <w:t>técnica de diversos procesos para la creación de combustible sintético</w:t>
      </w:r>
      <w:r w:rsidR="001A721A">
        <w:rPr>
          <w:rFonts w:ascii="Arial" w:hAnsi="Arial" w:cs="Arial"/>
          <w:szCs w:val="24"/>
        </w:rPr>
        <w:t xml:space="preserve">. Argumentaba que debido al </w:t>
      </w:r>
      <w:r>
        <w:rPr>
          <w:rFonts w:ascii="Arial" w:hAnsi="Arial" w:cs="Arial"/>
          <w:szCs w:val="24"/>
        </w:rPr>
        <w:t>momento histórico que se registraba en los</w:t>
      </w:r>
      <w:r w:rsidR="001A721A">
        <w:rPr>
          <w:rFonts w:ascii="Arial" w:hAnsi="Arial" w:cs="Arial"/>
          <w:szCs w:val="24"/>
        </w:rPr>
        <w:t xml:space="preserve"> altos precios del petróleo, no iría de acuerdo ni sería rentable una vez </w:t>
      </w:r>
      <w:r w:rsidR="00EF3303">
        <w:rPr>
          <w:rFonts w:ascii="Arial" w:hAnsi="Arial" w:cs="Arial"/>
          <w:szCs w:val="24"/>
        </w:rPr>
        <w:t xml:space="preserve">que </w:t>
      </w:r>
      <w:r w:rsidR="001A721A">
        <w:rPr>
          <w:rFonts w:ascii="Arial" w:hAnsi="Arial" w:cs="Arial"/>
          <w:szCs w:val="24"/>
        </w:rPr>
        <w:t>estos bajaran</w:t>
      </w:r>
      <w:r w:rsidR="008943BE">
        <w:rPr>
          <w:rFonts w:ascii="Arial" w:hAnsi="Arial" w:cs="Arial"/>
          <w:szCs w:val="24"/>
        </w:rPr>
        <w:t>. A</w:t>
      </w:r>
      <w:r w:rsidRPr="00123331">
        <w:rPr>
          <w:rFonts w:ascii="Arial" w:hAnsi="Arial" w:cs="Arial"/>
          <w:szCs w:val="24"/>
        </w:rPr>
        <w:t>unque la</w:t>
      </w:r>
      <w:r w:rsidR="008943BE">
        <w:rPr>
          <w:rFonts w:ascii="Arial" w:hAnsi="Arial" w:cs="Arial"/>
          <w:szCs w:val="24"/>
        </w:rPr>
        <w:t xml:space="preserve"> Ley de Seguridad energética impuso medidas para la</w:t>
      </w:r>
      <w:r w:rsidRPr="00123331">
        <w:rPr>
          <w:rFonts w:ascii="Arial" w:hAnsi="Arial" w:cs="Arial"/>
          <w:szCs w:val="24"/>
        </w:rPr>
        <w:t xml:space="preserve"> resolución inmediata</w:t>
      </w:r>
      <w:r>
        <w:rPr>
          <w:rFonts w:ascii="Arial" w:hAnsi="Arial" w:cs="Arial"/>
          <w:szCs w:val="24"/>
        </w:rPr>
        <w:t>,</w:t>
      </w:r>
      <w:r w:rsidRPr="00123331">
        <w:rPr>
          <w:rFonts w:ascii="Arial" w:hAnsi="Arial" w:cs="Arial"/>
          <w:szCs w:val="24"/>
        </w:rPr>
        <w:t xml:space="preserve"> su principal objetivo era la seguridad nacional</w:t>
      </w:r>
      <w:r>
        <w:rPr>
          <w:rFonts w:ascii="Arial" w:hAnsi="Arial" w:cs="Arial"/>
          <w:szCs w:val="24"/>
        </w:rPr>
        <w:t>. Es</w:t>
      </w:r>
      <w:r w:rsidRPr="00123331">
        <w:rPr>
          <w:rFonts w:ascii="Arial" w:hAnsi="Arial" w:cs="Arial"/>
          <w:szCs w:val="24"/>
        </w:rPr>
        <w:t xml:space="preserve">to permitiría abordar la </w:t>
      </w:r>
      <w:r>
        <w:rPr>
          <w:rFonts w:ascii="Arial" w:hAnsi="Arial" w:cs="Arial"/>
          <w:szCs w:val="24"/>
        </w:rPr>
        <w:t xml:space="preserve">principal </w:t>
      </w:r>
      <w:r w:rsidRPr="00123331">
        <w:rPr>
          <w:rFonts w:ascii="Arial" w:hAnsi="Arial" w:cs="Arial"/>
          <w:szCs w:val="24"/>
        </w:rPr>
        <w:t>preocupación</w:t>
      </w:r>
      <w:r w:rsidR="007C4750">
        <w:rPr>
          <w:rFonts w:ascii="Arial" w:hAnsi="Arial" w:cs="Arial"/>
          <w:szCs w:val="24"/>
        </w:rPr>
        <w:t>,</w:t>
      </w:r>
      <w:r w:rsidRPr="00123331">
        <w:rPr>
          <w:rFonts w:ascii="Arial" w:hAnsi="Arial" w:cs="Arial"/>
          <w:szCs w:val="24"/>
        </w:rPr>
        <w:t xml:space="preserve"> que era que los combustibles sintéticos se mantuvieran como una opción </w:t>
      </w:r>
      <w:r>
        <w:rPr>
          <w:rFonts w:ascii="Arial" w:hAnsi="Arial" w:cs="Arial"/>
          <w:szCs w:val="24"/>
        </w:rPr>
        <w:t>de reserva sin sustituir al petróleo no convencional, respondiendo a las necesidades de</w:t>
      </w:r>
      <w:r w:rsidRPr="00123331">
        <w:rPr>
          <w:rFonts w:ascii="Arial" w:hAnsi="Arial" w:cs="Arial"/>
          <w:szCs w:val="24"/>
        </w:rPr>
        <w:t xml:space="preserve"> seguridad ante disrupciones externas </w:t>
      </w:r>
      <w:r w:rsidR="007C4750">
        <w:rPr>
          <w:rFonts w:ascii="Arial" w:hAnsi="Arial" w:cs="Arial"/>
          <w:szCs w:val="24"/>
        </w:rPr>
        <w:t xml:space="preserve">y </w:t>
      </w:r>
      <w:r w:rsidRPr="00123331">
        <w:rPr>
          <w:rFonts w:ascii="Arial" w:hAnsi="Arial" w:cs="Arial"/>
          <w:szCs w:val="24"/>
        </w:rPr>
        <w:t xml:space="preserve">sin comprometer a los contribuyentes a invertir en proyectos prematuros y no probados en plantas comerciales. </w:t>
      </w:r>
    </w:p>
    <w:p w14:paraId="4F03E7D0" w14:textId="77777777" w:rsidR="00DB4E50" w:rsidRPr="00123331" w:rsidRDefault="00DB4E50" w:rsidP="00DB4E50">
      <w:pPr>
        <w:spacing w:line="360" w:lineRule="auto"/>
        <w:rPr>
          <w:rFonts w:ascii="Arial" w:hAnsi="Arial" w:cs="Arial"/>
          <w:szCs w:val="24"/>
        </w:rPr>
      </w:pPr>
      <w:r w:rsidRPr="00123331">
        <w:rPr>
          <w:rFonts w:ascii="Arial" w:hAnsi="Arial" w:cs="Arial"/>
          <w:szCs w:val="24"/>
        </w:rPr>
        <w:t xml:space="preserve">En vez de </w:t>
      </w:r>
      <w:r>
        <w:rPr>
          <w:rFonts w:ascii="Arial" w:hAnsi="Arial" w:cs="Arial"/>
          <w:szCs w:val="24"/>
        </w:rPr>
        <w:t xml:space="preserve">haber creado </w:t>
      </w:r>
      <w:r w:rsidRPr="00123331">
        <w:rPr>
          <w:rFonts w:ascii="Arial" w:hAnsi="Arial" w:cs="Arial"/>
          <w:szCs w:val="24"/>
        </w:rPr>
        <w:t>un programa de comercialización masivo, el gobierno pudo haber gastado sumas modestas de dinero para probar la factibilidad técnica de varios procesos</w:t>
      </w:r>
      <w:r>
        <w:rPr>
          <w:rFonts w:ascii="Arial" w:hAnsi="Arial" w:cs="Arial"/>
          <w:szCs w:val="24"/>
        </w:rPr>
        <w:t xml:space="preserve"> tecnológicos</w:t>
      </w:r>
      <w:r w:rsidRPr="00123331">
        <w:rPr>
          <w:rFonts w:ascii="Arial" w:hAnsi="Arial" w:cs="Arial"/>
          <w:szCs w:val="24"/>
        </w:rPr>
        <w:t xml:space="preserve"> y que estos pudieran estar disponibles en caso de ser necesario</w:t>
      </w:r>
      <w:r w:rsidR="008943BE">
        <w:rPr>
          <w:rFonts w:ascii="Arial" w:hAnsi="Arial" w:cs="Arial"/>
          <w:szCs w:val="24"/>
        </w:rPr>
        <w:t>,</w:t>
      </w:r>
      <w:r w:rsidRPr="00123331">
        <w:rPr>
          <w:rFonts w:ascii="Arial" w:hAnsi="Arial" w:cs="Arial"/>
          <w:szCs w:val="24"/>
        </w:rPr>
        <w:t xml:space="preserve"> por medio de una prueba piloto o en trabajos de escala media</w:t>
      </w:r>
      <w:r>
        <w:rPr>
          <w:rFonts w:ascii="Arial" w:hAnsi="Arial" w:cs="Arial"/>
          <w:szCs w:val="24"/>
        </w:rPr>
        <w:t>.</w:t>
      </w:r>
    </w:p>
    <w:p w14:paraId="63E0E742" w14:textId="77777777" w:rsidR="00DB4E50" w:rsidRDefault="00DB4E50" w:rsidP="00DB4E50">
      <w:pPr>
        <w:spacing w:line="360" w:lineRule="auto"/>
        <w:rPr>
          <w:rFonts w:ascii="Arial" w:hAnsi="Arial" w:cs="Arial"/>
          <w:szCs w:val="24"/>
        </w:rPr>
      </w:pPr>
      <w:r w:rsidRPr="00123331">
        <w:rPr>
          <w:rFonts w:ascii="Arial" w:hAnsi="Arial" w:cs="Arial"/>
          <w:szCs w:val="24"/>
        </w:rPr>
        <w:t xml:space="preserve">Una vez </w:t>
      </w:r>
      <w:r>
        <w:rPr>
          <w:rFonts w:ascii="Arial" w:hAnsi="Arial" w:cs="Arial"/>
          <w:szCs w:val="24"/>
        </w:rPr>
        <w:t xml:space="preserve"> cerrada la SFC</w:t>
      </w:r>
      <w:r w:rsidRPr="00123331">
        <w:rPr>
          <w:rFonts w:ascii="Arial" w:hAnsi="Arial" w:cs="Arial"/>
          <w:szCs w:val="24"/>
        </w:rPr>
        <w:t>, se publicaron numerosas evaluaciones tecnológicas como rep</w:t>
      </w:r>
      <w:r>
        <w:rPr>
          <w:rFonts w:ascii="Arial" w:hAnsi="Arial" w:cs="Arial"/>
          <w:szCs w:val="24"/>
        </w:rPr>
        <w:t>ortes del progreso de los proyectos</w:t>
      </w:r>
      <w:r w:rsidRPr="00123331">
        <w:rPr>
          <w:rFonts w:ascii="Arial" w:hAnsi="Arial" w:cs="Arial"/>
          <w:szCs w:val="24"/>
        </w:rPr>
        <w:t xml:space="preserve"> </w:t>
      </w:r>
      <w:r w:rsidR="00B524C7">
        <w:rPr>
          <w:rFonts w:ascii="Arial" w:hAnsi="Arial" w:cs="Arial"/>
          <w:szCs w:val="24"/>
        </w:rPr>
        <w:t>junto con</w:t>
      </w:r>
      <w:r w:rsidR="008943BE">
        <w:rPr>
          <w:rFonts w:ascii="Arial" w:hAnsi="Arial" w:cs="Arial"/>
          <w:szCs w:val="24"/>
        </w:rPr>
        <w:t xml:space="preserve"> </w:t>
      </w:r>
      <w:r w:rsidRPr="00123331">
        <w:rPr>
          <w:rFonts w:ascii="Arial" w:hAnsi="Arial" w:cs="Arial"/>
          <w:szCs w:val="24"/>
        </w:rPr>
        <w:t xml:space="preserve">reportes sobre el panorama general del sector </w:t>
      </w:r>
      <w:r>
        <w:rPr>
          <w:rFonts w:ascii="Arial" w:hAnsi="Arial" w:cs="Arial"/>
          <w:szCs w:val="24"/>
        </w:rPr>
        <w:t>(Yang, 2009), d</w:t>
      </w:r>
      <w:r w:rsidRPr="00123331">
        <w:rPr>
          <w:rFonts w:ascii="Arial" w:hAnsi="Arial" w:cs="Arial"/>
          <w:szCs w:val="24"/>
        </w:rPr>
        <w:t>ando fe de</w:t>
      </w:r>
      <w:r>
        <w:rPr>
          <w:rFonts w:ascii="Arial" w:hAnsi="Arial" w:cs="Arial"/>
          <w:szCs w:val="24"/>
        </w:rPr>
        <w:t xml:space="preserve"> que hubo </w:t>
      </w:r>
      <w:r w:rsidRPr="00123331">
        <w:rPr>
          <w:rFonts w:ascii="Arial" w:hAnsi="Arial" w:cs="Arial"/>
          <w:szCs w:val="24"/>
        </w:rPr>
        <w:t>avances tecnológicos</w:t>
      </w:r>
      <w:r>
        <w:rPr>
          <w:rFonts w:ascii="Arial" w:hAnsi="Arial" w:cs="Arial"/>
          <w:szCs w:val="24"/>
        </w:rPr>
        <w:t>,</w:t>
      </w:r>
      <w:r w:rsidRPr="00123331">
        <w:rPr>
          <w:rFonts w:ascii="Arial" w:hAnsi="Arial" w:cs="Arial"/>
          <w:szCs w:val="24"/>
        </w:rPr>
        <w:t xml:space="preserve"> a pesar de</w:t>
      </w:r>
      <w:r w:rsidR="0092607C">
        <w:rPr>
          <w:rFonts w:ascii="Arial" w:hAnsi="Arial" w:cs="Arial"/>
          <w:szCs w:val="24"/>
        </w:rPr>
        <w:t xml:space="preserve"> no ser viables en materia comercial.</w:t>
      </w:r>
    </w:p>
    <w:p w14:paraId="7BE864BB" w14:textId="77777777" w:rsidR="00CD301A" w:rsidRDefault="00CD301A" w:rsidP="00DB4E50">
      <w:pPr>
        <w:spacing w:line="360" w:lineRule="auto"/>
        <w:rPr>
          <w:rFonts w:ascii="Arial" w:hAnsi="Arial" w:cs="Arial"/>
          <w:szCs w:val="24"/>
        </w:rPr>
      </w:pPr>
    </w:p>
    <w:p w14:paraId="6E0243A6" w14:textId="77777777" w:rsidR="0032632D" w:rsidRDefault="00CD301A" w:rsidP="00DB4E50">
      <w:pPr>
        <w:spacing w:line="360" w:lineRule="auto"/>
        <w:rPr>
          <w:rFonts w:ascii="Arial" w:hAnsi="Arial" w:cs="Arial"/>
          <w:szCs w:val="24"/>
        </w:rPr>
      </w:pPr>
      <w:r>
        <w:rPr>
          <w:rFonts w:ascii="Arial" w:hAnsi="Arial" w:cs="Arial"/>
          <w:szCs w:val="24"/>
        </w:rPr>
        <w:lastRenderedPageBreak/>
        <w:t>Desde las disrupciones en el suministro de petróleo a EE.UU. en 1973 por el embargo de los miembros de la OPEP hasta la administración de Ronald Reagan</w:t>
      </w:r>
      <w:r w:rsidR="00465577">
        <w:rPr>
          <w:rFonts w:ascii="Arial" w:hAnsi="Arial" w:cs="Arial"/>
          <w:szCs w:val="24"/>
        </w:rPr>
        <w:t xml:space="preserve">, como se puede observar en la gráfica, hubo diversos acontecimientos internacionales que pusieron en riesgo y afectaron el suministro. A pesar de los diferentes enfoques que cada administración tuvo para afrontar las crisis, </w:t>
      </w:r>
      <w:r w:rsidR="0032632D">
        <w:rPr>
          <w:rFonts w:ascii="Arial" w:hAnsi="Arial" w:cs="Arial"/>
          <w:szCs w:val="24"/>
        </w:rPr>
        <w:t xml:space="preserve">desde la propuesta de ley de Nixon se tuvo presente que el impacto en la disrupción del suministro tiene una relación importante con el concepto de seguridad energética del país. Es decir, la posibilidad de disrupciones energéticas compromete el desarrollo interno y vuelve al Estado vulnerable en temas de negociación internacional. </w:t>
      </w:r>
    </w:p>
    <w:p w14:paraId="471F5CEB" w14:textId="0775BEB2" w:rsidR="0032632D" w:rsidRDefault="0032632D" w:rsidP="00DB4E50">
      <w:pPr>
        <w:spacing w:line="360" w:lineRule="auto"/>
        <w:rPr>
          <w:rFonts w:ascii="Arial" w:hAnsi="Arial" w:cs="Arial"/>
          <w:szCs w:val="24"/>
        </w:rPr>
      </w:pPr>
      <w:r>
        <w:rPr>
          <w:rFonts w:ascii="Arial" w:hAnsi="Arial" w:cs="Arial"/>
          <w:szCs w:val="24"/>
        </w:rPr>
        <w:t xml:space="preserve">Tal es el ejemplo del embargo de la OPEP, que al EE.UU. haber apoyado un conflicto externo en la región del medio oriente, </w:t>
      </w:r>
      <w:r w:rsidR="00187FCB">
        <w:rPr>
          <w:rFonts w:ascii="Arial" w:hAnsi="Arial" w:cs="Arial"/>
          <w:szCs w:val="24"/>
        </w:rPr>
        <w:t>tuvo un costo alto en cuanto a la</w:t>
      </w:r>
      <w:r>
        <w:rPr>
          <w:rFonts w:ascii="Arial" w:hAnsi="Arial" w:cs="Arial"/>
          <w:szCs w:val="24"/>
        </w:rPr>
        <w:t xml:space="preserve"> adquisición de barril</w:t>
      </w:r>
      <w:r w:rsidR="00187FCB">
        <w:rPr>
          <w:rFonts w:ascii="Arial" w:hAnsi="Arial" w:cs="Arial"/>
          <w:szCs w:val="24"/>
        </w:rPr>
        <w:t>es</w:t>
      </w:r>
      <w:r>
        <w:rPr>
          <w:rFonts w:ascii="Arial" w:hAnsi="Arial" w:cs="Arial"/>
          <w:szCs w:val="24"/>
        </w:rPr>
        <w:t xml:space="preserve"> de petróleo. Posteriormente, los conflictos </w:t>
      </w:r>
      <w:r w:rsidR="00657D92">
        <w:rPr>
          <w:rFonts w:ascii="Arial" w:hAnsi="Arial" w:cs="Arial"/>
          <w:szCs w:val="24"/>
        </w:rPr>
        <w:t>externos al Estado como la revolución Iraní y la guerra entre Irán e Irak evidencian nuevamente que la dependencia predominante a una fuente externa de petróleo vulnera la seguridad nacional. A pesar de tener un alto grado de poder dentro de la estructura internacional, existe una interdependencia entre cada ente</w:t>
      </w:r>
      <w:r w:rsidR="009F1996">
        <w:rPr>
          <w:rFonts w:ascii="Arial" w:hAnsi="Arial" w:cs="Arial"/>
          <w:szCs w:val="24"/>
        </w:rPr>
        <w:t xml:space="preserve">.  A </w:t>
      </w:r>
      <w:r w:rsidR="00657D92">
        <w:rPr>
          <w:rFonts w:ascii="Arial" w:hAnsi="Arial" w:cs="Arial"/>
          <w:szCs w:val="24"/>
        </w:rPr>
        <w:t xml:space="preserve">pesar de que Estados Unidos pudiera ser considerado un </w:t>
      </w:r>
      <w:r w:rsidR="009F1996">
        <w:rPr>
          <w:rFonts w:ascii="Arial" w:hAnsi="Arial" w:cs="Arial"/>
          <w:szCs w:val="24"/>
        </w:rPr>
        <w:t>Estado</w:t>
      </w:r>
      <w:r w:rsidR="00657D92">
        <w:rPr>
          <w:rFonts w:ascii="Arial" w:hAnsi="Arial" w:cs="Arial"/>
          <w:szCs w:val="24"/>
        </w:rPr>
        <w:t xml:space="preserve"> con </w:t>
      </w:r>
      <w:r w:rsidR="009F1996">
        <w:rPr>
          <w:rFonts w:ascii="Arial" w:hAnsi="Arial" w:cs="Arial"/>
          <w:szCs w:val="24"/>
        </w:rPr>
        <w:t>mayo</w:t>
      </w:r>
      <w:r w:rsidR="00187FCB">
        <w:rPr>
          <w:rFonts w:ascii="Arial" w:hAnsi="Arial" w:cs="Arial"/>
          <w:szCs w:val="24"/>
        </w:rPr>
        <w:t>r</w:t>
      </w:r>
      <w:r w:rsidR="00657D92">
        <w:rPr>
          <w:rFonts w:ascii="Arial" w:hAnsi="Arial" w:cs="Arial"/>
          <w:szCs w:val="24"/>
        </w:rPr>
        <w:t xml:space="preserve"> poder que otros, su seguridad depende de las acciones de otros dentro de un sistema anárquico. </w:t>
      </w:r>
    </w:p>
    <w:p w14:paraId="2E6A81E2" w14:textId="77777777" w:rsidR="009F1996" w:rsidRDefault="00657D92" w:rsidP="00DB4E50">
      <w:pPr>
        <w:spacing w:line="360" w:lineRule="auto"/>
        <w:rPr>
          <w:rFonts w:ascii="Arial" w:hAnsi="Arial" w:cs="Arial"/>
          <w:szCs w:val="24"/>
        </w:rPr>
      </w:pPr>
      <w:r>
        <w:rPr>
          <w:rFonts w:ascii="Arial" w:hAnsi="Arial" w:cs="Arial"/>
          <w:szCs w:val="24"/>
        </w:rPr>
        <w:t xml:space="preserve">A pesar de que el concepto de poder sea la forma de obtener seguridad estatal y así tener certeza de la sobrevivencia del Estado, ciertas acciones y desarrollo de capacidades sobrepasan la </w:t>
      </w:r>
      <w:r w:rsidR="009F1996">
        <w:rPr>
          <w:rFonts w:ascii="Arial" w:hAnsi="Arial" w:cs="Arial"/>
          <w:szCs w:val="24"/>
        </w:rPr>
        <w:t xml:space="preserve">tolerabilidad </w:t>
      </w:r>
      <w:r>
        <w:rPr>
          <w:rFonts w:ascii="Arial" w:hAnsi="Arial" w:cs="Arial"/>
          <w:szCs w:val="24"/>
        </w:rPr>
        <w:t xml:space="preserve">para la obtención de la seguridad energética. </w:t>
      </w:r>
    </w:p>
    <w:p w14:paraId="3B0C78BB" w14:textId="4705765F" w:rsidR="00657D92" w:rsidRDefault="00657D92" w:rsidP="00DB4E50">
      <w:pPr>
        <w:spacing w:line="360" w:lineRule="auto"/>
        <w:rPr>
          <w:rFonts w:ascii="Arial" w:hAnsi="Arial" w:cs="Arial"/>
          <w:szCs w:val="24"/>
        </w:rPr>
      </w:pPr>
      <w:r>
        <w:rPr>
          <w:rFonts w:ascii="Arial" w:hAnsi="Arial" w:cs="Arial"/>
          <w:szCs w:val="24"/>
        </w:rPr>
        <w:t xml:space="preserve">El concepto de seguridad energética establece que el suministro de energía debe ser confiable y costeable; por lo que diversas acciones que lleven a cabo otros entes dentro de la estructura cambiarán la configuración de las fuentes que otro ente, en este caso EE.UU., van a obtener los recursos. </w:t>
      </w:r>
    </w:p>
    <w:p w14:paraId="4CDBCB8A" w14:textId="4B217A72" w:rsidR="00657D92" w:rsidRDefault="00657D92" w:rsidP="00DB4E50">
      <w:pPr>
        <w:spacing w:line="360" w:lineRule="auto"/>
        <w:rPr>
          <w:rFonts w:ascii="Arial" w:hAnsi="Arial" w:cs="Arial"/>
          <w:szCs w:val="24"/>
        </w:rPr>
      </w:pPr>
      <w:r>
        <w:rPr>
          <w:rFonts w:ascii="Arial" w:hAnsi="Arial" w:cs="Arial"/>
          <w:szCs w:val="24"/>
        </w:rPr>
        <w:t xml:space="preserve">Si bien el despliegue de </w:t>
      </w:r>
      <w:r w:rsidR="00337300">
        <w:rPr>
          <w:rFonts w:ascii="Arial" w:hAnsi="Arial" w:cs="Arial"/>
          <w:szCs w:val="24"/>
        </w:rPr>
        <w:t>la fuerza</w:t>
      </w:r>
      <w:r>
        <w:rPr>
          <w:rFonts w:ascii="Arial" w:hAnsi="Arial" w:cs="Arial"/>
          <w:szCs w:val="24"/>
        </w:rPr>
        <w:t xml:space="preserve"> militar y </w:t>
      </w:r>
      <w:r w:rsidR="009F1996">
        <w:rPr>
          <w:rFonts w:ascii="Arial" w:hAnsi="Arial" w:cs="Arial"/>
          <w:szCs w:val="24"/>
        </w:rPr>
        <w:t xml:space="preserve">la </w:t>
      </w:r>
      <w:r>
        <w:rPr>
          <w:rFonts w:ascii="Arial" w:hAnsi="Arial" w:cs="Arial"/>
          <w:szCs w:val="24"/>
        </w:rPr>
        <w:t xml:space="preserve">negociación pueden ser </w:t>
      </w:r>
      <w:r w:rsidR="00337300">
        <w:rPr>
          <w:rFonts w:ascii="Arial" w:hAnsi="Arial" w:cs="Arial"/>
          <w:szCs w:val="24"/>
        </w:rPr>
        <w:t>una buena forma de obtención del suministro, es necesario el desarrollo de diferentes capacidades más allá de recaer en una sola. Por ello a pesar de que el enfoque neorrealista determine que el estado es un ente unitario, las capacidades se pueden encontrar incluso hacia el interior del mismo.</w:t>
      </w:r>
    </w:p>
    <w:p w14:paraId="1D6D5D6F" w14:textId="09D68531" w:rsidR="00CD301A" w:rsidRDefault="00337300" w:rsidP="00DB4E50">
      <w:pPr>
        <w:spacing w:line="360" w:lineRule="auto"/>
        <w:rPr>
          <w:rFonts w:ascii="Arial" w:hAnsi="Arial" w:cs="Arial"/>
          <w:szCs w:val="24"/>
        </w:rPr>
      </w:pPr>
      <w:r w:rsidRPr="00337300">
        <w:rPr>
          <w:rFonts w:ascii="Arial" w:hAnsi="Arial" w:cs="Arial"/>
          <w:szCs w:val="24"/>
        </w:rPr>
        <w:lastRenderedPageBreak/>
        <w:t xml:space="preserve">La administración de George W. Bush, entendió que en un sistema anárquico el poder puede estar sobreestimado para ciertos sectores estratégicos de la economía nacional y </w:t>
      </w:r>
      <w:r>
        <w:rPr>
          <w:rFonts w:ascii="Arial" w:hAnsi="Arial" w:cs="Arial"/>
          <w:szCs w:val="24"/>
        </w:rPr>
        <w:t>para asegurar dichos recursos, es necesario conocer a fondo los retos que enfrenta el mismo Estado, no solo al exterior, conociendo cómo es la dinámica dentro del sistema internacional, sino, cómo funciona la demanda interna de energía, cuáles son las fuentes, internas y externas de los recursos, y qué retos se vislumbran hacia el futuro para prevenirlos.</w:t>
      </w:r>
      <w:r w:rsidR="0032632D">
        <w:rPr>
          <w:rFonts w:ascii="Arial" w:hAnsi="Arial" w:cs="Arial"/>
          <w:szCs w:val="24"/>
        </w:rPr>
        <w:t xml:space="preserve"> </w:t>
      </w:r>
    </w:p>
    <w:p w14:paraId="62A89994" w14:textId="77777777" w:rsidR="009F1996" w:rsidRDefault="009F1996" w:rsidP="00DB4E50">
      <w:pPr>
        <w:spacing w:line="360" w:lineRule="auto"/>
        <w:rPr>
          <w:rFonts w:ascii="Arial" w:hAnsi="Arial" w:cs="Arial"/>
          <w:szCs w:val="24"/>
        </w:rPr>
      </w:pPr>
    </w:p>
    <w:p w14:paraId="4614C0DE" w14:textId="77777777" w:rsidR="002F6212" w:rsidRPr="00DF27F9" w:rsidRDefault="0092607C" w:rsidP="00DF27F9">
      <w:pPr>
        <w:pStyle w:val="Ttulo2"/>
        <w:rPr>
          <w:color w:val="000000" w:themeColor="text1"/>
        </w:rPr>
      </w:pPr>
      <w:bookmarkStart w:id="24" w:name="_Toc499918298"/>
      <w:r w:rsidRPr="00DF27F9">
        <w:rPr>
          <w:color w:val="000000" w:themeColor="text1"/>
        </w:rPr>
        <w:t>L</w:t>
      </w:r>
      <w:r w:rsidR="002F6212" w:rsidRPr="00DF27F9">
        <w:rPr>
          <w:color w:val="000000" w:themeColor="text1"/>
        </w:rPr>
        <w:t>a administración Bush</w:t>
      </w:r>
      <w:bookmarkEnd w:id="24"/>
    </w:p>
    <w:p w14:paraId="6F0CBF25" w14:textId="77777777" w:rsidR="009F1996" w:rsidRPr="00F15B81" w:rsidRDefault="009F1996">
      <w:pPr>
        <w:rPr>
          <w:rFonts w:ascii="Arial" w:hAnsi="Arial" w:cs="Arial"/>
          <w:b/>
        </w:rPr>
      </w:pPr>
    </w:p>
    <w:p w14:paraId="2537E216" w14:textId="27E2B2C0" w:rsidR="002F6212" w:rsidRPr="00DF27F9" w:rsidRDefault="002F6212" w:rsidP="00DF27F9">
      <w:pPr>
        <w:pStyle w:val="Ttulo3"/>
        <w:numPr>
          <w:ilvl w:val="0"/>
          <w:numId w:val="12"/>
        </w:numPr>
        <w:rPr>
          <w:color w:val="000000" w:themeColor="text1"/>
        </w:rPr>
      </w:pPr>
      <w:bookmarkStart w:id="25" w:name="_Toc499918299"/>
      <w:r w:rsidRPr="00DF27F9">
        <w:rPr>
          <w:color w:val="000000" w:themeColor="text1"/>
        </w:rPr>
        <w:t>El consumo energético de EEUU y sus proyecciones</w:t>
      </w:r>
      <w:bookmarkEnd w:id="25"/>
    </w:p>
    <w:p w14:paraId="6BE92CDF" w14:textId="1DFBAB82" w:rsidR="00A54538" w:rsidRPr="0083210D" w:rsidRDefault="00937317" w:rsidP="00A54538">
      <w:pPr>
        <w:spacing w:line="360" w:lineRule="auto"/>
        <w:rPr>
          <w:rFonts w:ascii="Arial" w:hAnsi="Arial" w:cs="Arial"/>
          <w:szCs w:val="24"/>
        </w:rPr>
      </w:pPr>
      <w:r w:rsidRPr="00340061">
        <w:rPr>
          <w:rFonts w:ascii="Arial" w:hAnsi="Arial" w:cs="Arial"/>
          <w:szCs w:val="24"/>
        </w:rPr>
        <w:t xml:space="preserve">A días de haber comenzado su cargo, el presidente George W. Bush encargó al vicepresidente Dick </w:t>
      </w:r>
      <w:proofErr w:type="spellStart"/>
      <w:r w:rsidRPr="00340061">
        <w:rPr>
          <w:rFonts w:ascii="Arial" w:hAnsi="Arial" w:cs="Arial"/>
          <w:szCs w:val="24"/>
        </w:rPr>
        <w:t>Cheney</w:t>
      </w:r>
      <w:proofErr w:type="spellEnd"/>
      <w:r w:rsidRPr="00340061">
        <w:rPr>
          <w:rFonts w:ascii="Arial" w:hAnsi="Arial" w:cs="Arial"/>
          <w:szCs w:val="24"/>
        </w:rPr>
        <w:t xml:space="preserve"> la elaboración de un reporte que </w:t>
      </w:r>
      <w:r w:rsidR="00B524C7" w:rsidRPr="00340061">
        <w:rPr>
          <w:rFonts w:ascii="Arial" w:hAnsi="Arial" w:cs="Arial"/>
          <w:szCs w:val="24"/>
        </w:rPr>
        <w:t xml:space="preserve">reflejara los requerimientos para el desarrollo de una política energética nacional conjuntando empresas, gobierno, comunidades locales y ciudadanos en el desarrollo energético costeable y medioambiental para el futuro. Se realizaron proyecciones y se descubrió que el consumo petrolero estadounidense </w:t>
      </w:r>
      <w:r w:rsidR="00EF3303">
        <w:rPr>
          <w:rFonts w:ascii="Arial" w:hAnsi="Arial" w:cs="Arial"/>
          <w:szCs w:val="24"/>
        </w:rPr>
        <w:t>mantendría una tendencia ascendente hacia el año 2020, mientras que</w:t>
      </w:r>
      <w:r w:rsidR="00340061" w:rsidRPr="00340061">
        <w:rPr>
          <w:rFonts w:ascii="Arial" w:hAnsi="Arial" w:cs="Arial"/>
          <w:szCs w:val="24"/>
        </w:rPr>
        <w:t xml:space="preserve"> la producción nacional tendr</w:t>
      </w:r>
      <w:r w:rsidR="00E67CCC">
        <w:rPr>
          <w:rFonts w:ascii="Arial" w:hAnsi="Arial" w:cs="Arial"/>
          <w:szCs w:val="24"/>
        </w:rPr>
        <w:t>ía</w:t>
      </w:r>
      <w:r w:rsidR="00340061" w:rsidRPr="00340061">
        <w:rPr>
          <w:rFonts w:ascii="Arial" w:hAnsi="Arial" w:cs="Arial"/>
          <w:szCs w:val="24"/>
        </w:rPr>
        <w:t xml:space="preserve"> un declive de 1.5 millones de barriles por día. </w:t>
      </w:r>
      <w:r w:rsidR="00A54538">
        <w:rPr>
          <w:rFonts w:ascii="Arial" w:hAnsi="Arial" w:cs="Arial"/>
          <w:szCs w:val="24"/>
        </w:rPr>
        <w:t xml:space="preserve"> </w:t>
      </w:r>
      <w:r w:rsidR="00A54538" w:rsidRPr="00A54538">
        <w:rPr>
          <w:rFonts w:ascii="Arial" w:hAnsi="Arial" w:cs="Arial"/>
          <w:szCs w:val="24"/>
        </w:rPr>
        <w:t>La demanda petrolera mundial  en el escenario de inicios de la administración Bush prospectaba un consumo creciente que alcanzaría los 110 millones de barriles al día para 2</w:t>
      </w:r>
      <w:r w:rsidR="00EA7567">
        <w:rPr>
          <w:rFonts w:ascii="Arial" w:hAnsi="Arial" w:cs="Arial"/>
          <w:szCs w:val="24"/>
        </w:rPr>
        <w:t>0</w:t>
      </w:r>
      <w:r w:rsidR="0083210D">
        <w:rPr>
          <w:rFonts w:ascii="Arial" w:hAnsi="Arial" w:cs="Arial"/>
          <w:szCs w:val="24"/>
        </w:rPr>
        <w:t xml:space="preserve">20 </w:t>
      </w:r>
      <w:r w:rsidR="0083210D" w:rsidRPr="0083210D">
        <w:rPr>
          <w:rFonts w:ascii="Arial" w:hAnsi="Arial" w:cs="Arial"/>
          <w:szCs w:val="24"/>
        </w:rPr>
        <w:t>(</w:t>
      </w:r>
      <w:proofErr w:type="spellStart"/>
      <w:r w:rsidR="0083210D" w:rsidRPr="0083210D">
        <w:rPr>
          <w:rFonts w:ascii="Arial" w:hAnsi="Arial" w:cs="Arial"/>
          <w:szCs w:val="24"/>
        </w:rPr>
        <w:t>National</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Energy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Policy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Development</w:t>
      </w:r>
      <w:proofErr w:type="spellEnd"/>
      <w:r w:rsidR="0083210D" w:rsidRPr="0083210D">
        <w:rPr>
          <w:rFonts w:ascii="Arial" w:hAnsi="Arial" w:cs="Arial"/>
          <w:szCs w:val="24"/>
        </w:rPr>
        <w:t>, 2001).</w:t>
      </w:r>
    </w:p>
    <w:p w14:paraId="39AA9212" w14:textId="77777777" w:rsidR="00E9414C" w:rsidRDefault="00504A45" w:rsidP="00A54538">
      <w:pPr>
        <w:spacing w:line="360" w:lineRule="auto"/>
        <w:rPr>
          <w:rFonts w:ascii="Arial" w:hAnsi="Arial" w:cs="Arial"/>
          <w:szCs w:val="24"/>
        </w:rPr>
      </w:pPr>
      <w:r w:rsidRPr="00340061">
        <w:rPr>
          <w:rFonts w:ascii="Arial" w:hAnsi="Arial" w:cs="Arial"/>
          <w:szCs w:val="24"/>
        </w:rPr>
        <w:t>El reto que afronta</w:t>
      </w:r>
      <w:r w:rsidR="00EF3303">
        <w:rPr>
          <w:rFonts w:ascii="Arial" w:hAnsi="Arial" w:cs="Arial"/>
          <w:szCs w:val="24"/>
        </w:rPr>
        <w:t>ba</w:t>
      </w:r>
      <w:r w:rsidRPr="00340061">
        <w:rPr>
          <w:rFonts w:ascii="Arial" w:hAnsi="Arial" w:cs="Arial"/>
          <w:szCs w:val="24"/>
        </w:rPr>
        <w:t xml:space="preserve"> el sector energético de Estados Unidos se deb</w:t>
      </w:r>
      <w:r w:rsidR="00EF3303">
        <w:rPr>
          <w:rFonts w:ascii="Arial" w:hAnsi="Arial" w:cs="Arial"/>
          <w:szCs w:val="24"/>
        </w:rPr>
        <w:t>ía</w:t>
      </w:r>
      <w:r w:rsidRPr="00340061">
        <w:rPr>
          <w:rFonts w:ascii="Arial" w:hAnsi="Arial" w:cs="Arial"/>
          <w:szCs w:val="24"/>
        </w:rPr>
        <w:t xml:space="preserve"> a que su economía se enc</w:t>
      </w:r>
      <w:r w:rsidR="00EF3303">
        <w:rPr>
          <w:rFonts w:ascii="Arial" w:hAnsi="Arial" w:cs="Arial"/>
          <w:szCs w:val="24"/>
        </w:rPr>
        <w:t>o</w:t>
      </w:r>
      <w:r w:rsidRPr="00340061">
        <w:rPr>
          <w:rFonts w:ascii="Arial" w:hAnsi="Arial" w:cs="Arial"/>
          <w:szCs w:val="24"/>
        </w:rPr>
        <w:t>ntra</w:t>
      </w:r>
      <w:r w:rsidR="00EF3303">
        <w:rPr>
          <w:rFonts w:ascii="Arial" w:hAnsi="Arial" w:cs="Arial"/>
          <w:szCs w:val="24"/>
        </w:rPr>
        <w:t>ba</w:t>
      </w:r>
      <w:r w:rsidRPr="00340061">
        <w:rPr>
          <w:rFonts w:ascii="Arial" w:hAnsi="Arial" w:cs="Arial"/>
          <w:szCs w:val="24"/>
        </w:rPr>
        <w:t xml:space="preserve"> en expansión, su población e</w:t>
      </w:r>
      <w:r w:rsidR="00EF3303">
        <w:rPr>
          <w:rFonts w:ascii="Arial" w:hAnsi="Arial" w:cs="Arial"/>
          <w:szCs w:val="24"/>
        </w:rPr>
        <w:t>ra</w:t>
      </w:r>
      <w:r w:rsidRPr="00340061">
        <w:rPr>
          <w:rFonts w:ascii="Arial" w:hAnsi="Arial" w:cs="Arial"/>
          <w:szCs w:val="24"/>
        </w:rPr>
        <w:t xml:space="preserve"> creciente y el estándar de vida también est</w:t>
      </w:r>
      <w:r w:rsidR="00EF3303">
        <w:rPr>
          <w:rFonts w:ascii="Arial" w:hAnsi="Arial" w:cs="Arial"/>
          <w:szCs w:val="24"/>
        </w:rPr>
        <w:t>aba</w:t>
      </w:r>
      <w:r w:rsidRPr="00340061">
        <w:rPr>
          <w:rFonts w:ascii="Arial" w:hAnsi="Arial" w:cs="Arial"/>
          <w:szCs w:val="24"/>
        </w:rPr>
        <w:t xml:space="preserve"> incrementando</w:t>
      </w:r>
      <w:r w:rsidR="004C6898">
        <w:rPr>
          <w:rFonts w:ascii="Arial" w:hAnsi="Arial" w:cs="Arial"/>
          <w:szCs w:val="24"/>
        </w:rPr>
        <w:t xml:space="preserve"> (</w:t>
      </w:r>
      <w:proofErr w:type="spellStart"/>
      <w:r w:rsidR="004C6898">
        <w:rPr>
          <w:rFonts w:ascii="Arial" w:hAnsi="Arial" w:cs="Arial"/>
          <w:szCs w:val="24"/>
        </w:rPr>
        <w:t>National</w:t>
      </w:r>
      <w:proofErr w:type="spellEnd"/>
      <w:r w:rsidR="004C6898">
        <w:rPr>
          <w:rFonts w:ascii="Arial" w:hAnsi="Arial" w:cs="Arial"/>
          <w:szCs w:val="24"/>
        </w:rPr>
        <w:t xml:space="preserve"> </w:t>
      </w:r>
      <w:proofErr w:type="spellStart"/>
      <w:r w:rsidR="004C6898">
        <w:rPr>
          <w:rFonts w:ascii="Arial" w:hAnsi="Arial" w:cs="Arial"/>
          <w:szCs w:val="24"/>
        </w:rPr>
        <w:t>Energy</w:t>
      </w:r>
      <w:proofErr w:type="spellEnd"/>
      <w:r w:rsidR="004C6898">
        <w:rPr>
          <w:rFonts w:ascii="Arial" w:hAnsi="Arial" w:cs="Arial"/>
          <w:szCs w:val="24"/>
        </w:rPr>
        <w:t xml:space="preserve"> </w:t>
      </w:r>
      <w:proofErr w:type="spellStart"/>
      <w:r w:rsidR="004C6898">
        <w:rPr>
          <w:rFonts w:ascii="Arial" w:hAnsi="Arial" w:cs="Arial"/>
          <w:szCs w:val="24"/>
        </w:rPr>
        <w:t>Policy</w:t>
      </w:r>
      <w:proofErr w:type="spellEnd"/>
      <w:r w:rsidR="004C6898">
        <w:rPr>
          <w:rFonts w:ascii="Arial" w:hAnsi="Arial" w:cs="Arial"/>
          <w:szCs w:val="24"/>
        </w:rPr>
        <w:t xml:space="preserve"> </w:t>
      </w:r>
      <w:proofErr w:type="spellStart"/>
      <w:r w:rsidR="004C6898">
        <w:rPr>
          <w:rFonts w:ascii="Arial" w:hAnsi="Arial" w:cs="Arial"/>
          <w:szCs w:val="24"/>
        </w:rPr>
        <w:t>Development</w:t>
      </w:r>
      <w:proofErr w:type="spellEnd"/>
      <w:r w:rsidR="004C6898">
        <w:rPr>
          <w:rFonts w:ascii="Arial" w:hAnsi="Arial" w:cs="Arial"/>
          <w:szCs w:val="24"/>
        </w:rPr>
        <w:t xml:space="preserve"> </w:t>
      </w:r>
      <w:proofErr w:type="spellStart"/>
      <w:r w:rsidR="004C6898">
        <w:rPr>
          <w:rFonts w:ascii="Arial" w:hAnsi="Arial" w:cs="Arial"/>
          <w:szCs w:val="24"/>
        </w:rPr>
        <w:t>Group</w:t>
      </w:r>
      <w:proofErr w:type="spellEnd"/>
      <w:r w:rsidR="004C6898">
        <w:rPr>
          <w:rFonts w:ascii="Arial" w:hAnsi="Arial" w:cs="Arial"/>
          <w:szCs w:val="24"/>
        </w:rPr>
        <w:t>, 2001)</w:t>
      </w:r>
      <w:r w:rsidRPr="00340061">
        <w:rPr>
          <w:rFonts w:ascii="Arial" w:hAnsi="Arial" w:cs="Arial"/>
          <w:szCs w:val="24"/>
        </w:rPr>
        <w:t>.</w:t>
      </w:r>
    </w:p>
    <w:p w14:paraId="6B6B60C5" w14:textId="43154141" w:rsidR="00340061" w:rsidRPr="00340061" w:rsidRDefault="009D5EF6" w:rsidP="00A54538">
      <w:pPr>
        <w:spacing w:line="360" w:lineRule="auto"/>
        <w:rPr>
          <w:rFonts w:ascii="Arial" w:hAnsi="Arial" w:cs="Arial"/>
          <w:szCs w:val="24"/>
        </w:rPr>
      </w:pPr>
      <w:r w:rsidRPr="00340061">
        <w:rPr>
          <w:rFonts w:ascii="Arial" w:hAnsi="Arial" w:cs="Arial"/>
          <w:szCs w:val="24"/>
        </w:rPr>
        <w:t>EE</w:t>
      </w:r>
      <w:r w:rsidR="00340061" w:rsidRPr="00340061">
        <w:rPr>
          <w:rFonts w:ascii="Arial" w:hAnsi="Arial" w:cs="Arial"/>
          <w:szCs w:val="24"/>
        </w:rPr>
        <w:t>.</w:t>
      </w:r>
      <w:r w:rsidRPr="00340061">
        <w:rPr>
          <w:rFonts w:ascii="Arial" w:hAnsi="Arial" w:cs="Arial"/>
          <w:szCs w:val="24"/>
        </w:rPr>
        <w:t>UU</w:t>
      </w:r>
      <w:r w:rsidR="00340061" w:rsidRPr="00340061">
        <w:rPr>
          <w:rFonts w:ascii="Arial" w:hAnsi="Arial" w:cs="Arial"/>
          <w:szCs w:val="24"/>
        </w:rPr>
        <w:t>.</w:t>
      </w:r>
      <w:r w:rsidRPr="00340061">
        <w:rPr>
          <w:rFonts w:ascii="Arial" w:hAnsi="Arial" w:cs="Arial"/>
          <w:szCs w:val="24"/>
        </w:rPr>
        <w:t xml:space="preserve"> </w:t>
      </w:r>
      <w:r w:rsidR="00340061" w:rsidRPr="00340061">
        <w:rPr>
          <w:rFonts w:ascii="Arial" w:hAnsi="Arial" w:cs="Arial"/>
          <w:szCs w:val="24"/>
        </w:rPr>
        <w:t>es el</w:t>
      </w:r>
      <w:r w:rsidRPr="00340061">
        <w:rPr>
          <w:rFonts w:ascii="Arial" w:hAnsi="Arial" w:cs="Arial"/>
          <w:szCs w:val="24"/>
        </w:rPr>
        <w:t xml:space="preserve"> principal consumidor de petróleo en el mundo</w:t>
      </w:r>
      <w:r w:rsidR="00785719">
        <w:rPr>
          <w:rStyle w:val="Refdenotaalpie"/>
          <w:rFonts w:ascii="Arial" w:hAnsi="Arial" w:cs="Arial"/>
          <w:szCs w:val="24"/>
        </w:rPr>
        <w:footnoteReference w:id="6"/>
      </w:r>
      <w:r w:rsidRPr="00340061">
        <w:rPr>
          <w:rFonts w:ascii="Arial" w:hAnsi="Arial" w:cs="Arial"/>
          <w:szCs w:val="24"/>
        </w:rPr>
        <w:t xml:space="preserve"> </w:t>
      </w:r>
      <w:r w:rsidR="00340061" w:rsidRPr="00340061">
        <w:rPr>
          <w:rFonts w:ascii="Arial" w:hAnsi="Arial" w:cs="Arial"/>
          <w:szCs w:val="24"/>
        </w:rPr>
        <w:t xml:space="preserve">y </w:t>
      </w:r>
      <w:r w:rsidRPr="00340061">
        <w:rPr>
          <w:rFonts w:ascii="Arial" w:hAnsi="Arial" w:cs="Arial"/>
          <w:szCs w:val="24"/>
        </w:rPr>
        <w:t xml:space="preserve">contrasta </w:t>
      </w:r>
      <w:r w:rsidR="00340061" w:rsidRPr="00340061">
        <w:rPr>
          <w:rFonts w:ascii="Arial" w:hAnsi="Arial" w:cs="Arial"/>
          <w:szCs w:val="24"/>
        </w:rPr>
        <w:t>con el resto de los consumidores ya que</w:t>
      </w:r>
      <w:r w:rsidRPr="00340061">
        <w:rPr>
          <w:rFonts w:ascii="Arial" w:hAnsi="Arial" w:cs="Arial"/>
          <w:szCs w:val="24"/>
        </w:rPr>
        <w:t xml:space="preserve"> su población solamente representa el 4% mundial. Poco más del 50% del consumo interno se importa y ello explica que la seguridad del abastecimiento se haya convertido en una política donde el Estado tenga la gran misión de asegurar el suministro para cubrir las necesidades</w:t>
      </w:r>
      <w:r w:rsidR="00340061" w:rsidRPr="00340061">
        <w:rPr>
          <w:rFonts w:ascii="Arial" w:hAnsi="Arial" w:cs="Arial"/>
          <w:szCs w:val="24"/>
        </w:rPr>
        <w:t xml:space="preserve"> de su población</w:t>
      </w:r>
      <w:r w:rsidR="00A54538">
        <w:rPr>
          <w:rFonts w:ascii="Arial" w:hAnsi="Arial" w:cs="Arial"/>
          <w:szCs w:val="24"/>
        </w:rPr>
        <w:t xml:space="preserve"> </w:t>
      </w:r>
      <w:r w:rsidR="00A54538" w:rsidRPr="00187FCB">
        <w:rPr>
          <w:rFonts w:ascii="Arial" w:hAnsi="Arial" w:cs="Arial"/>
          <w:szCs w:val="24"/>
        </w:rPr>
        <w:t>(</w:t>
      </w:r>
      <w:r w:rsidR="00193545" w:rsidRPr="00187FCB">
        <w:rPr>
          <w:rFonts w:ascii="Arial" w:hAnsi="Arial" w:cs="Arial"/>
          <w:szCs w:val="24"/>
        </w:rPr>
        <w:t>Ruiz-Caro, 2014)</w:t>
      </w:r>
      <w:r w:rsidR="00187FCB">
        <w:rPr>
          <w:rFonts w:ascii="Arial" w:hAnsi="Arial" w:cs="Arial"/>
          <w:szCs w:val="24"/>
        </w:rPr>
        <w:t>.</w:t>
      </w:r>
    </w:p>
    <w:p w14:paraId="556F25BC" w14:textId="2702C7FB" w:rsidR="0083210D" w:rsidRPr="0083210D" w:rsidRDefault="00A54538" w:rsidP="0083210D">
      <w:pPr>
        <w:spacing w:line="360" w:lineRule="auto"/>
        <w:rPr>
          <w:rFonts w:ascii="Arial" w:hAnsi="Arial" w:cs="Arial"/>
          <w:szCs w:val="24"/>
        </w:rPr>
      </w:pPr>
      <w:r w:rsidRPr="00A54538">
        <w:rPr>
          <w:rFonts w:ascii="Arial" w:hAnsi="Arial" w:cs="Arial"/>
        </w:rPr>
        <w:lastRenderedPageBreak/>
        <w:t xml:space="preserve">Este déficit entre la decreciente producción interna versus el consumo, ya se había hecho evidente con apagones en 2001. Sectores como el de transportación y </w:t>
      </w:r>
      <w:r w:rsidR="002F6212" w:rsidRPr="00A54538">
        <w:rPr>
          <w:rFonts w:ascii="Arial" w:hAnsi="Arial" w:cs="Arial"/>
        </w:rPr>
        <w:t>el militar</w:t>
      </w:r>
      <w:r w:rsidR="00E9414C">
        <w:rPr>
          <w:rFonts w:ascii="Arial" w:hAnsi="Arial" w:cs="Arial"/>
        </w:rPr>
        <w:t xml:space="preserve"> también</w:t>
      </w:r>
      <w:r w:rsidR="002F6212" w:rsidRPr="00A54538">
        <w:rPr>
          <w:rFonts w:ascii="Arial" w:hAnsi="Arial" w:cs="Arial"/>
        </w:rPr>
        <w:t xml:space="preserve"> hacían evidente la  dependencia a este recurso ya que consumían más de 53 millones de litros</w:t>
      </w:r>
      <w:r w:rsidR="00187FCB">
        <w:rPr>
          <w:rFonts w:ascii="Arial" w:hAnsi="Arial" w:cs="Arial"/>
        </w:rPr>
        <w:t xml:space="preserve"> de petróleo</w:t>
      </w:r>
      <w:r w:rsidR="002F6212" w:rsidRPr="00A54538">
        <w:rPr>
          <w:rFonts w:ascii="Arial" w:hAnsi="Arial" w:cs="Arial"/>
        </w:rPr>
        <w:t xml:space="preserve"> diarios en conjunto</w:t>
      </w:r>
      <w:r w:rsidR="0083210D">
        <w:rPr>
          <w:rFonts w:ascii="Arial" w:hAnsi="Arial" w:cs="Arial"/>
        </w:rPr>
        <w:t xml:space="preserve"> </w:t>
      </w:r>
      <w:r w:rsidR="0083210D" w:rsidRPr="0083210D">
        <w:rPr>
          <w:rFonts w:ascii="Arial" w:hAnsi="Arial" w:cs="Arial"/>
          <w:szCs w:val="24"/>
        </w:rPr>
        <w:t>(</w:t>
      </w:r>
      <w:proofErr w:type="spellStart"/>
      <w:r w:rsidR="0083210D" w:rsidRPr="0083210D">
        <w:rPr>
          <w:rFonts w:ascii="Arial" w:hAnsi="Arial" w:cs="Arial"/>
          <w:szCs w:val="24"/>
        </w:rPr>
        <w:t>National</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Energy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Policy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Development</w:t>
      </w:r>
      <w:proofErr w:type="spellEnd"/>
      <w:r w:rsidR="0083210D" w:rsidRPr="0083210D">
        <w:rPr>
          <w:rFonts w:ascii="Arial" w:hAnsi="Arial" w:cs="Arial"/>
          <w:szCs w:val="24"/>
        </w:rPr>
        <w:t>, 2001).</w:t>
      </w:r>
    </w:p>
    <w:p w14:paraId="116C45DA" w14:textId="292A4393" w:rsidR="002F6212" w:rsidRPr="005D23CD" w:rsidRDefault="002F6212" w:rsidP="00F15B81">
      <w:pPr>
        <w:spacing w:line="360" w:lineRule="auto"/>
        <w:rPr>
          <w:rFonts w:ascii="Arial" w:hAnsi="Arial" w:cs="Arial"/>
        </w:rPr>
      </w:pPr>
      <w:r w:rsidRPr="005D23CD">
        <w:rPr>
          <w:rFonts w:ascii="Arial" w:hAnsi="Arial" w:cs="Arial"/>
        </w:rPr>
        <w:t>.</w:t>
      </w:r>
    </w:p>
    <w:p w14:paraId="01C07F69" w14:textId="00B018FB" w:rsidR="00A01228" w:rsidRPr="005D23CD" w:rsidRDefault="00193545" w:rsidP="00EA7567">
      <w:pPr>
        <w:spacing w:line="360" w:lineRule="auto"/>
        <w:jc w:val="center"/>
        <w:rPr>
          <w:noProof/>
        </w:rPr>
      </w:pPr>
      <w:r>
        <w:rPr>
          <w:noProof/>
        </w:rPr>
        <mc:AlternateContent>
          <mc:Choice Requires="wps">
            <w:drawing>
              <wp:anchor distT="0" distB="0" distL="114300" distR="114300" simplePos="0" relativeHeight="251659264" behindDoc="0" locked="0" layoutInCell="1" allowOverlap="1" wp14:anchorId="2B666EE9" wp14:editId="34C9320F">
                <wp:simplePos x="0" y="0"/>
                <wp:positionH relativeFrom="column">
                  <wp:posOffset>1726860</wp:posOffset>
                </wp:positionH>
                <wp:positionV relativeFrom="paragraph">
                  <wp:posOffset>3034132</wp:posOffset>
                </wp:positionV>
                <wp:extent cx="2374265" cy="478465"/>
                <wp:effectExtent l="0" t="0" r="317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78465"/>
                        </a:xfrm>
                        <a:prstGeom prst="rect">
                          <a:avLst/>
                        </a:prstGeom>
                        <a:solidFill>
                          <a:srgbClr val="FFFFFF"/>
                        </a:solidFill>
                        <a:ln w="9525">
                          <a:noFill/>
                          <a:miter lim="800000"/>
                          <a:headEnd/>
                          <a:tailEnd/>
                        </a:ln>
                      </wps:spPr>
                      <wps:txbx>
                        <w:txbxContent>
                          <w:p w14:paraId="5F519990" w14:textId="77777777" w:rsidR="008029AF" w:rsidRPr="005D23CD" w:rsidRDefault="008029AF" w:rsidP="0083210D">
                            <w:pPr>
                              <w:spacing w:after="0" w:line="360" w:lineRule="auto"/>
                              <w:jc w:val="center"/>
                              <w:rPr>
                                <w:noProof/>
                                <w:sz w:val="18"/>
                                <w:lang w:val="en-US"/>
                              </w:rPr>
                            </w:pPr>
                            <w:r w:rsidRPr="005D23CD">
                              <w:rPr>
                                <w:noProof/>
                                <w:sz w:val="18"/>
                                <w:lang w:val="en-US"/>
                              </w:rPr>
                              <w:t>Fuente: Reporte Cheney</w:t>
                            </w:r>
                          </w:p>
                          <w:p w14:paraId="01CEF92C" w14:textId="497969DE" w:rsidR="008029AF" w:rsidRPr="0083210D" w:rsidRDefault="008029AF" w:rsidP="00193545">
                            <w:pPr>
                              <w:spacing w:line="360" w:lineRule="auto"/>
                              <w:jc w:val="center"/>
                              <w:rPr>
                                <w:noProof/>
                                <w:sz w:val="18"/>
                                <w:lang w:val="en-US"/>
                              </w:rPr>
                            </w:pPr>
                            <w:r w:rsidRPr="0083210D">
                              <w:rPr>
                                <w:noProof/>
                                <w:sz w:val="18"/>
                                <w:lang w:val="en-US"/>
                              </w:rPr>
                              <w:t>(National Energy Policy Development, 2001)</w:t>
                            </w:r>
                            <w:r w:rsidRPr="008D5699">
                              <w:rPr>
                                <w:rFonts w:ascii="Arial" w:hAnsi="Arial" w:cs="Arial"/>
                                <w:lang w:val="en-US"/>
                              </w:rPr>
                              <w:t xml:space="preserve"> Group</w:t>
                            </w:r>
                            <w:r w:rsidRPr="0083210D">
                              <w:rPr>
                                <w:noProof/>
                                <w:sz w:val="18"/>
                                <w:lang w:val="en-US"/>
                              </w:rPr>
                              <w:br/>
                            </w:r>
                          </w:p>
                          <w:p w14:paraId="5181100D" w14:textId="77777777" w:rsidR="008029AF" w:rsidRPr="0083210D" w:rsidRDefault="008029AF" w:rsidP="00193545">
                            <w:pPr>
                              <w:spacing w:line="360" w:lineRule="auto"/>
                              <w:jc w:val="center"/>
                              <w:rPr>
                                <w:sz w:val="18"/>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5.95pt;margin-top:238.9pt;width:186.95pt;height:37.6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" stroked="f">
                <v:textbox>
                  <w:txbxContent>
                    <w:p w14:paraId="5F519990" w14:textId="77777777" w:rsidR="008029AF" w:rsidRPr="005D23CD" w:rsidRDefault="008029AF" w:rsidP="0083210D">
                      <w:pPr>
                        <w:spacing w:after="0" w:line="360" w:lineRule="auto"/>
                        <w:jc w:val="center"/>
                        <w:rPr>
                          <w:noProof/>
                          <w:sz w:val="18"/>
                          <w:lang w:val="en-US"/>
                        </w:rPr>
                      </w:pPr>
                      <w:r w:rsidRPr="005D23CD">
                        <w:rPr>
                          <w:noProof/>
                          <w:sz w:val="18"/>
                          <w:lang w:val="en-US"/>
                        </w:rPr>
                        <w:t>Fuente: Reporte Cheney</w:t>
                      </w:r>
                    </w:p>
                    <w:p w14:paraId="01CEF92C" w14:textId="497969DE" w:rsidR="008029AF" w:rsidRPr="0083210D" w:rsidRDefault="008029AF" w:rsidP="00193545">
                      <w:pPr>
                        <w:spacing w:line="360" w:lineRule="auto"/>
                        <w:jc w:val="center"/>
                        <w:rPr>
                          <w:noProof/>
                          <w:sz w:val="18"/>
                          <w:lang w:val="en-US"/>
                        </w:rPr>
                      </w:pPr>
                      <w:r w:rsidRPr="0083210D">
                        <w:rPr>
                          <w:noProof/>
                          <w:sz w:val="18"/>
                          <w:lang w:val="en-US"/>
                        </w:rPr>
                        <w:t>(National Energy Policy Development, 2001)</w:t>
                      </w:r>
                      <w:r w:rsidRPr="008D5699">
                        <w:rPr>
                          <w:rFonts w:ascii="Arial" w:hAnsi="Arial" w:cs="Arial"/>
                          <w:lang w:val="en-US"/>
                        </w:rPr>
                        <w:t xml:space="preserve"> Group</w:t>
                      </w:r>
                      <w:r w:rsidRPr="0083210D">
                        <w:rPr>
                          <w:noProof/>
                          <w:sz w:val="18"/>
                          <w:lang w:val="en-US"/>
                        </w:rPr>
                        <w:br/>
                      </w:r>
                    </w:p>
                    <w:p w14:paraId="5181100D" w14:textId="77777777" w:rsidR="008029AF" w:rsidRPr="0083210D" w:rsidRDefault="008029AF" w:rsidP="00193545">
                      <w:pPr>
                        <w:spacing w:line="360" w:lineRule="auto"/>
                        <w:jc w:val="center"/>
                        <w:rPr>
                          <w:sz w:val="18"/>
                          <w:lang w:val="en-US"/>
                        </w:rPr>
                      </w:pPr>
                    </w:p>
                  </w:txbxContent>
                </v:textbox>
              </v:shape>
            </w:pict>
          </mc:Fallback>
        </mc:AlternateContent>
      </w:r>
      <w:r w:rsidR="008003F0">
        <w:rPr>
          <w:noProof/>
        </w:rPr>
        <w:drawing>
          <wp:inline distT="0" distB="0" distL="0" distR="0" wp14:anchorId="15A218A5" wp14:editId="02F21FF1">
            <wp:extent cx="2714625" cy="303276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8741" cy="3048530"/>
                    </a:xfrm>
                    <a:prstGeom prst="rect">
                      <a:avLst/>
                    </a:prstGeom>
                  </pic:spPr>
                </pic:pic>
              </a:graphicData>
            </a:graphic>
          </wp:inline>
        </w:drawing>
      </w:r>
      <w:r w:rsidR="001734FA" w:rsidRPr="005D23CD">
        <w:rPr>
          <w:noProof/>
        </w:rPr>
        <w:t xml:space="preserve"> </w:t>
      </w:r>
      <w:r w:rsidR="001734FA">
        <w:rPr>
          <w:noProof/>
        </w:rPr>
        <w:drawing>
          <wp:inline distT="0" distB="0" distL="0" distR="0" wp14:anchorId="15E8EB28" wp14:editId="522561AE">
            <wp:extent cx="2600325" cy="300959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46477" cy="3063015"/>
                    </a:xfrm>
                    <a:prstGeom prst="rect">
                      <a:avLst/>
                    </a:prstGeom>
                  </pic:spPr>
                </pic:pic>
              </a:graphicData>
            </a:graphic>
          </wp:inline>
        </w:drawing>
      </w:r>
    </w:p>
    <w:p w14:paraId="6022B466" w14:textId="1753B0BE" w:rsidR="00193545" w:rsidRPr="005D23CD" w:rsidRDefault="00193545" w:rsidP="00EA7567">
      <w:pPr>
        <w:spacing w:line="360" w:lineRule="auto"/>
        <w:jc w:val="center"/>
        <w:rPr>
          <w:noProof/>
        </w:rPr>
      </w:pPr>
    </w:p>
    <w:p w14:paraId="50E48FFF" w14:textId="320F29E4" w:rsidR="00A54538" w:rsidRPr="0083210D" w:rsidRDefault="00A54538" w:rsidP="00F15B81">
      <w:pPr>
        <w:spacing w:line="360" w:lineRule="auto"/>
        <w:rPr>
          <w:rFonts w:ascii="Arial" w:hAnsi="Arial" w:cs="Arial"/>
          <w:szCs w:val="24"/>
        </w:rPr>
      </w:pPr>
      <w:r w:rsidRPr="0083210D">
        <w:rPr>
          <w:rFonts w:ascii="Arial" w:hAnsi="Arial" w:cs="Arial"/>
        </w:rPr>
        <w:t xml:space="preserve">Gracias al reporte </w:t>
      </w:r>
      <w:proofErr w:type="spellStart"/>
      <w:r w:rsidRPr="0083210D">
        <w:rPr>
          <w:rFonts w:ascii="Arial" w:hAnsi="Arial" w:cs="Arial"/>
        </w:rPr>
        <w:t>Cheney</w:t>
      </w:r>
      <w:proofErr w:type="spellEnd"/>
      <w:r w:rsidR="0083210D" w:rsidRPr="0083210D">
        <w:rPr>
          <w:rFonts w:ascii="Arial" w:hAnsi="Arial" w:cs="Arial"/>
        </w:rPr>
        <w:t xml:space="preserve"> </w:t>
      </w:r>
      <w:r w:rsidR="0083210D" w:rsidRPr="0083210D">
        <w:rPr>
          <w:rFonts w:ascii="Arial" w:hAnsi="Arial" w:cs="Arial"/>
          <w:szCs w:val="24"/>
        </w:rPr>
        <w:t>(</w:t>
      </w:r>
      <w:proofErr w:type="spellStart"/>
      <w:r w:rsidR="0083210D" w:rsidRPr="0083210D">
        <w:rPr>
          <w:rFonts w:ascii="Arial" w:hAnsi="Arial" w:cs="Arial"/>
          <w:szCs w:val="24"/>
        </w:rPr>
        <w:t>National</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Energy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Policy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Development</w:t>
      </w:r>
      <w:proofErr w:type="spellEnd"/>
      <w:r w:rsidR="0083210D" w:rsidRPr="0083210D">
        <w:rPr>
          <w:rFonts w:ascii="Arial" w:hAnsi="Arial" w:cs="Arial"/>
          <w:szCs w:val="24"/>
        </w:rPr>
        <w:t>, 2001)</w:t>
      </w:r>
      <w:r w:rsidRPr="0083210D">
        <w:rPr>
          <w:rFonts w:ascii="Arial" w:hAnsi="Arial" w:cs="Arial"/>
        </w:rPr>
        <w:t xml:space="preserve"> </w:t>
      </w:r>
      <w:r w:rsidRPr="00F15B81">
        <w:rPr>
          <w:rFonts w:ascii="Arial" w:hAnsi="Arial" w:cs="Arial"/>
        </w:rPr>
        <w:t xml:space="preserve">se fijó al sector energético como asunto de seguridad nacional, y se establecen tres principios básicos para la creación de </w:t>
      </w:r>
      <w:r w:rsidR="00187FCB">
        <w:rPr>
          <w:rFonts w:ascii="Arial" w:hAnsi="Arial" w:cs="Arial"/>
        </w:rPr>
        <w:t>una estrategia nacional que afronte los retos anteriormente mencionados</w:t>
      </w:r>
      <w:r w:rsidRPr="00F15B81">
        <w:rPr>
          <w:rFonts w:ascii="Arial" w:hAnsi="Arial" w:cs="Arial"/>
        </w:rPr>
        <w:t>:</w:t>
      </w:r>
    </w:p>
    <w:p w14:paraId="6B7513F6" w14:textId="77777777" w:rsidR="00A54538" w:rsidRPr="00F15B81" w:rsidRDefault="00A54538" w:rsidP="00F15B81">
      <w:pPr>
        <w:pStyle w:val="Prrafodelista"/>
        <w:numPr>
          <w:ilvl w:val="0"/>
          <w:numId w:val="3"/>
        </w:numPr>
        <w:spacing w:line="360" w:lineRule="auto"/>
        <w:rPr>
          <w:rFonts w:ascii="Arial" w:hAnsi="Arial" w:cs="Arial"/>
        </w:rPr>
      </w:pPr>
      <w:r w:rsidRPr="00F15B81">
        <w:rPr>
          <w:rFonts w:ascii="Arial" w:hAnsi="Arial" w:cs="Arial"/>
        </w:rPr>
        <w:t>La creación de una política a largo plazo</w:t>
      </w:r>
    </w:p>
    <w:p w14:paraId="058BAB8C" w14:textId="77777777" w:rsidR="00A54538" w:rsidRPr="00F15B81" w:rsidRDefault="00A54538" w:rsidP="00F15B81">
      <w:pPr>
        <w:pStyle w:val="Prrafodelista"/>
        <w:numPr>
          <w:ilvl w:val="0"/>
          <w:numId w:val="3"/>
        </w:numPr>
        <w:spacing w:line="360" w:lineRule="auto"/>
        <w:rPr>
          <w:rFonts w:ascii="Arial" w:hAnsi="Arial" w:cs="Arial"/>
        </w:rPr>
      </w:pPr>
      <w:r w:rsidRPr="00F15B81">
        <w:rPr>
          <w:rFonts w:ascii="Arial" w:hAnsi="Arial" w:cs="Arial"/>
        </w:rPr>
        <w:t>Una política que incluya tecnologías medioambientales que incrementen el suministro, promuevan las energías limpias y su uso sea eficiente.</w:t>
      </w:r>
    </w:p>
    <w:p w14:paraId="5A40D1FB" w14:textId="77777777" w:rsidR="00A54538" w:rsidRPr="00F15B81" w:rsidRDefault="00A54538" w:rsidP="00F15B81">
      <w:pPr>
        <w:pStyle w:val="Prrafodelista"/>
        <w:numPr>
          <w:ilvl w:val="0"/>
          <w:numId w:val="3"/>
        </w:numPr>
        <w:spacing w:line="360" w:lineRule="auto"/>
        <w:rPr>
          <w:rFonts w:ascii="Arial" w:hAnsi="Arial" w:cs="Arial"/>
        </w:rPr>
      </w:pPr>
      <w:r w:rsidRPr="00F15B81">
        <w:rPr>
          <w:rFonts w:ascii="Arial" w:hAnsi="Arial" w:cs="Arial"/>
        </w:rPr>
        <w:t>La política busca incrementar el estándar de vida de sus ciudadanos integrando al país en políticas energéticas, medioambientales y económicas.</w:t>
      </w:r>
    </w:p>
    <w:p w14:paraId="03C465E6" w14:textId="77777777" w:rsidR="00ED53B8" w:rsidRPr="00F15B81" w:rsidRDefault="00ED53B8" w:rsidP="00F15B81">
      <w:pPr>
        <w:spacing w:line="360" w:lineRule="auto"/>
        <w:rPr>
          <w:rFonts w:ascii="Arial" w:hAnsi="Arial" w:cs="Arial"/>
        </w:rPr>
      </w:pPr>
      <w:r w:rsidRPr="00F15B81">
        <w:rPr>
          <w:rFonts w:ascii="Arial" w:hAnsi="Arial" w:cs="Arial"/>
        </w:rPr>
        <w:t xml:space="preserve">Dichos principios pretenden alcanzar objetivos puntuales: </w:t>
      </w:r>
    </w:p>
    <w:p w14:paraId="2085E89F" w14:textId="77777777" w:rsidR="00ED53B8" w:rsidRPr="00F15B81" w:rsidRDefault="00ED53B8" w:rsidP="00F15B81">
      <w:pPr>
        <w:pStyle w:val="Prrafodelista"/>
        <w:numPr>
          <w:ilvl w:val="0"/>
          <w:numId w:val="4"/>
        </w:numPr>
        <w:spacing w:line="360" w:lineRule="auto"/>
        <w:rPr>
          <w:rFonts w:ascii="Arial" w:hAnsi="Arial" w:cs="Arial"/>
        </w:rPr>
      </w:pPr>
      <w:r w:rsidRPr="00F15B81">
        <w:rPr>
          <w:rFonts w:ascii="Arial" w:hAnsi="Arial" w:cs="Arial"/>
        </w:rPr>
        <w:lastRenderedPageBreak/>
        <w:t xml:space="preserve">La modernización de la infraestructura, </w:t>
      </w:r>
    </w:p>
    <w:p w14:paraId="4C39DADA" w14:textId="77777777" w:rsidR="00ED53B8" w:rsidRPr="00F15B81" w:rsidRDefault="00ED53B8" w:rsidP="00F15B81">
      <w:pPr>
        <w:pStyle w:val="Prrafodelista"/>
        <w:numPr>
          <w:ilvl w:val="0"/>
          <w:numId w:val="4"/>
        </w:numPr>
        <w:spacing w:line="360" w:lineRule="auto"/>
        <w:rPr>
          <w:rFonts w:ascii="Arial" w:hAnsi="Arial" w:cs="Arial"/>
        </w:rPr>
      </w:pPr>
      <w:r w:rsidRPr="00F15B81">
        <w:rPr>
          <w:rFonts w:ascii="Arial" w:hAnsi="Arial" w:cs="Arial"/>
        </w:rPr>
        <w:t>El incremento del suministro,</w:t>
      </w:r>
    </w:p>
    <w:p w14:paraId="628DB4C9" w14:textId="77777777" w:rsidR="00ED53B8" w:rsidRPr="00F15B81" w:rsidRDefault="00ED53B8" w:rsidP="00F15B81">
      <w:pPr>
        <w:pStyle w:val="Prrafodelista"/>
        <w:numPr>
          <w:ilvl w:val="0"/>
          <w:numId w:val="4"/>
        </w:numPr>
        <w:spacing w:line="360" w:lineRule="auto"/>
        <w:rPr>
          <w:rFonts w:ascii="Arial" w:hAnsi="Arial" w:cs="Arial"/>
        </w:rPr>
      </w:pPr>
      <w:r w:rsidRPr="00F15B81">
        <w:rPr>
          <w:rFonts w:ascii="Arial" w:hAnsi="Arial" w:cs="Arial"/>
        </w:rPr>
        <w:t>La aceleración en la protección y mejora del ambiente</w:t>
      </w:r>
    </w:p>
    <w:p w14:paraId="715D69D2" w14:textId="77777777" w:rsidR="00ED53B8" w:rsidRPr="00F15B81" w:rsidRDefault="00ED53B8" w:rsidP="00F15B81">
      <w:pPr>
        <w:pStyle w:val="Prrafodelista"/>
        <w:numPr>
          <w:ilvl w:val="0"/>
          <w:numId w:val="4"/>
        </w:numPr>
        <w:spacing w:line="360" w:lineRule="auto"/>
        <w:rPr>
          <w:rFonts w:ascii="Arial" w:hAnsi="Arial" w:cs="Arial"/>
        </w:rPr>
      </w:pPr>
      <w:r w:rsidRPr="00F15B81">
        <w:rPr>
          <w:rFonts w:ascii="Arial" w:hAnsi="Arial" w:cs="Arial"/>
        </w:rPr>
        <w:t>El incremento de la seguridad energética</w:t>
      </w:r>
    </w:p>
    <w:p w14:paraId="40928026" w14:textId="77777777" w:rsidR="0083210D" w:rsidRPr="0083210D" w:rsidRDefault="00ED53B8" w:rsidP="0083210D">
      <w:pPr>
        <w:spacing w:line="360" w:lineRule="auto"/>
        <w:rPr>
          <w:rFonts w:ascii="Arial" w:hAnsi="Arial" w:cs="Arial"/>
          <w:szCs w:val="24"/>
        </w:rPr>
      </w:pPr>
      <w:r w:rsidRPr="00F15B81">
        <w:rPr>
          <w:rFonts w:ascii="Arial" w:hAnsi="Arial" w:cs="Arial"/>
        </w:rPr>
        <w:t>En el ámbito petrolero, se reconoce que es el combustible dominante en la economía estadounidense</w:t>
      </w:r>
      <w:r w:rsidR="00263EED">
        <w:rPr>
          <w:rFonts w:ascii="Arial" w:hAnsi="Arial" w:cs="Arial"/>
        </w:rPr>
        <w:t xml:space="preserve"> </w:t>
      </w:r>
      <w:r w:rsidRPr="00F15B81">
        <w:rPr>
          <w:rFonts w:ascii="Arial" w:hAnsi="Arial" w:cs="Arial"/>
        </w:rPr>
        <w:t>y</w:t>
      </w:r>
      <w:r w:rsidR="00E67CCC">
        <w:rPr>
          <w:rFonts w:ascii="Arial" w:hAnsi="Arial" w:cs="Arial"/>
        </w:rPr>
        <w:t>,</w:t>
      </w:r>
      <w:r w:rsidRPr="00F15B81">
        <w:rPr>
          <w:rFonts w:ascii="Arial" w:hAnsi="Arial" w:cs="Arial"/>
        </w:rPr>
        <w:t xml:space="preserve"> debido a que se espera continúe declinando su producción, el país continuará importando </w:t>
      </w:r>
      <w:r w:rsidR="00281D0C" w:rsidRPr="00F15B81">
        <w:rPr>
          <w:rFonts w:ascii="Arial" w:hAnsi="Arial" w:cs="Arial"/>
        </w:rPr>
        <w:t xml:space="preserve">recursos de todo el mundo. </w:t>
      </w:r>
      <w:r w:rsidR="00F15B81" w:rsidRPr="00F15B81">
        <w:rPr>
          <w:rFonts w:ascii="Arial" w:hAnsi="Arial" w:cs="Arial"/>
        </w:rPr>
        <w:t xml:space="preserve">Las importaciones constituían el 50% del consumo interno y se estimaba que para 2020 la dependencia alcanzaría 70% del consumo nacional. Es decir, se consideraba una tendencia </w:t>
      </w:r>
      <w:r w:rsidR="00E67CCC">
        <w:rPr>
          <w:rFonts w:ascii="Arial" w:hAnsi="Arial" w:cs="Arial"/>
        </w:rPr>
        <w:t xml:space="preserve">descendente </w:t>
      </w:r>
      <w:r w:rsidR="00F15B81" w:rsidRPr="00F15B81">
        <w:rPr>
          <w:rFonts w:ascii="Arial" w:hAnsi="Arial" w:cs="Arial"/>
        </w:rPr>
        <w:t>de la producción nacional</w:t>
      </w:r>
      <w:r w:rsidR="001963CB">
        <w:rPr>
          <w:rFonts w:ascii="Arial" w:hAnsi="Arial" w:cs="Arial"/>
        </w:rPr>
        <w:t xml:space="preserve"> y</w:t>
      </w:r>
      <w:r w:rsidR="00F15B81" w:rsidRPr="00F15B81">
        <w:rPr>
          <w:rFonts w:ascii="Arial" w:hAnsi="Arial" w:cs="Arial"/>
        </w:rPr>
        <w:t xml:space="preserve"> las estimaciones prospectivas basadas en la Curva de </w:t>
      </w:r>
      <w:proofErr w:type="spellStart"/>
      <w:r w:rsidR="00F15B81" w:rsidRPr="00F15B81">
        <w:rPr>
          <w:rFonts w:ascii="Arial" w:hAnsi="Arial" w:cs="Arial"/>
        </w:rPr>
        <w:t>Hubbert</w:t>
      </w:r>
      <w:proofErr w:type="spellEnd"/>
      <w:r w:rsidR="00F15B81" w:rsidRPr="001E6E20">
        <w:rPr>
          <w:rFonts w:ascii="Arial" w:hAnsi="Arial" w:cs="Arial"/>
          <w:vertAlign w:val="superscript"/>
        </w:rPr>
        <w:footnoteReference w:id="7"/>
      </w:r>
      <w:r w:rsidR="00F15B81" w:rsidRPr="00F15B81">
        <w:rPr>
          <w:rFonts w:ascii="Arial" w:hAnsi="Arial" w:cs="Arial"/>
        </w:rPr>
        <w:t xml:space="preserve"> predecían que entre 2005 y 2015 se entraría en una etapa de escasez relativa debido a las dificultades para producirlo. Esta etapa llevaría a buscar alternativas de extracción de petróleo en áreas glaciales o sitios de prospección compleja</w:t>
      </w:r>
      <w:r w:rsidR="0083210D">
        <w:rPr>
          <w:rFonts w:ascii="Arial" w:hAnsi="Arial" w:cs="Arial"/>
        </w:rPr>
        <w:t xml:space="preserve"> </w:t>
      </w:r>
      <w:r w:rsidR="0083210D" w:rsidRPr="0083210D">
        <w:rPr>
          <w:rFonts w:ascii="Arial" w:hAnsi="Arial" w:cs="Arial"/>
          <w:szCs w:val="24"/>
        </w:rPr>
        <w:t>(</w:t>
      </w:r>
      <w:proofErr w:type="spellStart"/>
      <w:r w:rsidR="0083210D" w:rsidRPr="0083210D">
        <w:rPr>
          <w:rFonts w:ascii="Arial" w:hAnsi="Arial" w:cs="Arial"/>
          <w:szCs w:val="24"/>
        </w:rPr>
        <w:t>National</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Energy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Policy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Development</w:t>
      </w:r>
      <w:proofErr w:type="spellEnd"/>
      <w:r w:rsidR="0083210D" w:rsidRPr="0083210D">
        <w:rPr>
          <w:rFonts w:ascii="Arial" w:hAnsi="Arial" w:cs="Arial"/>
          <w:szCs w:val="24"/>
        </w:rPr>
        <w:t>, 2001).</w:t>
      </w:r>
    </w:p>
    <w:p w14:paraId="5F6A70C4" w14:textId="2CBBE330" w:rsidR="002F6212" w:rsidRPr="00F15B81" w:rsidRDefault="00187FCB" w:rsidP="00F15B81">
      <w:pPr>
        <w:spacing w:line="360" w:lineRule="auto"/>
        <w:rPr>
          <w:rFonts w:ascii="Arial" w:hAnsi="Arial" w:cs="Arial"/>
        </w:rPr>
      </w:pPr>
      <w:r>
        <w:rPr>
          <w:rFonts w:ascii="Arial" w:hAnsi="Arial" w:cs="Arial"/>
        </w:rPr>
        <w:t xml:space="preserve">Aunque el reporte </w:t>
      </w:r>
      <w:proofErr w:type="spellStart"/>
      <w:r>
        <w:rPr>
          <w:rFonts w:ascii="Arial" w:hAnsi="Arial" w:cs="Arial"/>
        </w:rPr>
        <w:t>Cheney</w:t>
      </w:r>
      <w:proofErr w:type="spellEnd"/>
      <w:r>
        <w:rPr>
          <w:rFonts w:ascii="Arial" w:hAnsi="Arial" w:cs="Arial"/>
        </w:rPr>
        <w:t xml:space="preserve"> es comprensivo y abarca el estudio de todo el sector energético nacional, en el tema petrolero s</w:t>
      </w:r>
      <w:r w:rsidR="00F15B81" w:rsidRPr="00F15B81">
        <w:rPr>
          <w:rFonts w:ascii="Arial" w:hAnsi="Arial" w:cs="Arial"/>
        </w:rPr>
        <w:t xml:space="preserve">e </w:t>
      </w:r>
      <w:r>
        <w:rPr>
          <w:rFonts w:ascii="Arial" w:hAnsi="Arial" w:cs="Arial"/>
        </w:rPr>
        <w:t>reconocieron tres problemáticas a atacar</w:t>
      </w:r>
      <w:r w:rsidR="00F15B81" w:rsidRPr="00F15B81">
        <w:rPr>
          <w:rFonts w:ascii="Arial" w:hAnsi="Arial" w:cs="Arial"/>
        </w:rPr>
        <w:t>:</w:t>
      </w:r>
    </w:p>
    <w:p w14:paraId="1174FED9" w14:textId="77777777" w:rsidR="002F6212" w:rsidRPr="00F15B81" w:rsidRDefault="002F6212" w:rsidP="00F15B81">
      <w:pPr>
        <w:pStyle w:val="Prrafodelista"/>
        <w:numPr>
          <w:ilvl w:val="0"/>
          <w:numId w:val="5"/>
        </w:numPr>
        <w:spacing w:line="360" w:lineRule="auto"/>
        <w:rPr>
          <w:rFonts w:ascii="Arial" w:hAnsi="Arial" w:cs="Arial"/>
        </w:rPr>
      </w:pPr>
      <w:r w:rsidRPr="00F15B81">
        <w:rPr>
          <w:rFonts w:ascii="Arial" w:hAnsi="Arial" w:cs="Arial"/>
        </w:rPr>
        <w:t>Alto consumo petrolero interno.</w:t>
      </w:r>
    </w:p>
    <w:p w14:paraId="50619709" w14:textId="77777777" w:rsidR="002F6212" w:rsidRPr="00F15B81" w:rsidRDefault="002F6212" w:rsidP="00F15B81">
      <w:pPr>
        <w:pStyle w:val="Prrafodelista"/>
        <w:numPr>
          <w:ilvl w:val="0"/>
          <w:numId w:val="5"/>
        </w:numPr>
        <w:spacing w:line="360" w:lineRule="auto"/>
        <w:rPr>
          <w:rFonts w:ascii="Arial" w:hAnsi="Arial" w:cs="Arial"/>
        </w:rPr>
      </w:pPr>
      <w:r w:rsidRPr="00F15B81">
        <w:rPr>
          <w:rFonts w:ascii="Arial" w:hAnsi="Arial" w:cs="Arial"/>
        </w:rPr>
        <w:t>Grado de dependencia de las importaciones del exterior, no diversificado.</w:t>
      </w:r>
    </w:p>
    <w:p w14:paraId="4AEC03B1" w14:textId="77777777" w:rsidR="002F6212" w:rsidRPr="00F15B81" w:rsidRDefault="002F6212" w:rsidP="00F15B81">
      <w:pPr>
        <w:pStyle w:val="Prrafodelista"/>
        <w:numPr>
          <w:ilvl w:val="0"/>
          <w:numId w:val="5"/>
        </w:numPr>
        <w:spacing w:line="360" w:lineRule="auto"/>
        <w:rPr>
          <w:rFonts w:ascii="Arial" w:hAnsi="Arial" w:cs="Arial"/>
        </w:rPr>
      </w:pPr>
      <w:r w:rsidRPr="00F15B81">
        <w:rPr>
          <w:rFonts w:ascii="Arial" w:hAnsi="Arial" w:cs="Arial"/>
        </w:rPr>
        <w:t>Reservas petroleras que no permiten alcanzar la autosuficiencia.</w:t>
      </w:r>
    </w:p>
    <w:p w14:paraId="5B568BD2" w14:textId="77777777" w:rsidR="002F6212" w:rsidRDefault="00F15B81" w:rsidP="00F15B81">
      <w:pPr>
        <w:spacing w:line="360" w:lineRule="auto"/>
        <w:rPr>
          <w:rFonts w:ascii="GillSansMT" w:hAnsi="GillSansMT" w:cs="GillSansMT"/>
          <w:sz w:val="20"/>
          <w:szCs w:val="20"/>
        </w:rPr>
      </w:pPr>
      <w:r w:rsidRPr="00F15B81">
        <w:rPr>
          <w:rFonts w:ascii="Arial" w:hAnsi="Arial" w:cs="Arial"/>
        </w:rPr>
        <w:t xml:space="preserve">Para hacer frente a </w:t>
      </w:r>
      <w:r>
        <w:rPr>
          <w:rFonts w:ascii="Arial" w:hAnsi="Arial" w:cs="Arial"/>
        </w:rPr>
        <w:t>dichas problemáticas</w:t>
      </w:r>
      <w:r w:rsidR="00CB152E">
        <w:rPr>
          <w:rFonts w:ascii="Arial" w:hAnsi="Arial" w:cs="Arial"/>
        </w:rPr>
        <w:t xml:space="preserve"> en el tema petrolero</w:t>
      </w:r>
      <w:r>
        <w:rPr>
          <w:rFonts w:ascii="Arial" w:hAnsi="Arial" w:cs="Arial"/>
        </w:rPr>
        <w:t xml:space="preserve">, </w:t>
      </w:r>
      <w:r w:rsidR="00A01228" w:rsidRPr="00F15B81">
        <w:rPr>
          <w:rFonts w:ascii="Arial" w:hAnsi="Arial" w:cs="Arial"/>
        </w:rPr>
        <w:t xml:space="preserve">el reporte </w:t>
      </w:r>
      <w:proofErr w:type="spellStart"/>
      <w:r w:rsidR="00A01228" w:rsidRPr="00F15B81">
        <w:rPr>
          <w:rFonts w:ascii="Arial" w:hAnsi="Arial" w:cs="Arial"/>
        </w:rPr>
        <w:t>Cheney</w:t>
      </w:r>
      <w:proofErr w:type="spellEnd"/>
      <w:r w:rsidR="00A01228" w:rsidRPr="00F15B81">
        <w:rPr>
          <w:rFonts w:ascii="Arial" w:hAnsi="Arial" w:cs="Arial"/>
        </w:rPr>
        <w:t xml:space="preserve"> aconseja </w:t>
      </w:r>
      <w:r w:rsidR="00CB152E">
        <w:rPr>
          <w:rFonts w:ascii="Arial" w:hAnsi="Arial" w:cs="Arial"/>
        </w:rPr>
        <w:t xml:space="preserve">entre otras cosas, </w:t>
      </w:r>
      <w:r w:rsidR="00A01228" w:rsidRPr="00F15B81">
        <w:rPr>
          <w:rFonts w:ascii="Arial" w:hAnsi="Arial" w:cs="Arial"/>
        </w:rPr>
        <w:t>afianzar las alianzas globales, convirtiendo el desarrollo de las importaciones de petróleo en prioridad de la política exterior y la política comercial</w:t>
      </w:r>
      <w:r>
        <w:rPr>
          <w:rFonts w:ascii="Arial" w:hAnsi="Arial" w:cs="Arial"/>
        </w:rPr>
        <w:t>.</w:t>
      </w:r>
    </w:p>
    <w:p w14:paraId="223ECE0F" w14:textId="67382856" w:rsidR="00F15B81" w:rsidRDefault="00415BA8" w:rsidP="00263EED">
      <w:pPr>
        <w:jc w:val="center"/>
        <w:rPr>
          <w:rFonts w:ascii="GillSansMT" w:hAnsi="GillSansMT" w:cs="GillSansMT"/>
          <w:sz w:val="20"/>
          <w:szCs w:val="20"/>
        </w:rPr>
      </w:pPr>
      <w:r>
        <w:rPr>
          <w:noProof/>
        </w:rPr>
        <w:lastRenderedPageBreak/>
        <mc:AlternateContent>
          <mc:Choice Requires="wps">
            <w:drawing>
              <wp:anchor distT="0" distB="0" distL="114300" distR="114300" simplePos="0" relativeHeight="251661312" behindDoc="0" locked="0" layoutInCell="1" allowOverlap="1" wp14:anchorId="1BE6F30B" wp14:editId="5A13D31A">
                <wp:simplePos x="0" y="0"/>
                <wp:positionH relativeFrom="column">
                  <wp:posOffset>1830660</wp:posOffset>
                </wp:positionH>
                <wp:positionV relativeFrom="paragraph">
                  <wp:posOffset>2522545</wp:posOffset>
                </wp:positionV>
                <wp:extent cx="2374265" cy="228600"/>
                <wp:effectExtent l="0" t="0" r="3175"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8600"/>
                        </a:xfrm>
                        <a:prstGeom prst="rect">
                          <a:avLst/>
                        </a:prstGeom>
                        <a:solidFill>
                          <a:srgbClr val="FFFFFF"/>
                        </a:solidFill>
                        <a:ln w="9525">
                          <a:noFill/>
                          <a:miter lim="800000"/>
                          <a:headEnd/>
                          <a:tailEnd/>
                        </a:ln>
                      </wps:spPr>
                      <wps:txbx>
                        <w:txbxContent>
                          <w:p w14:paraId="12578F5B" w14:textId="2C88CC01" w:rsidR="008029AF" w:rsidRPr="00193545" w:rsidRDefault="008029AF" w:rsidP="0017083F">
                            <w:pPr>
                              <w:spacing w:line="360" w:lineRule="auto"/>
                              <w:jc w:val="center"/>
                              <w:rPr>
                                <w:sz w:val="18"/>
                              </w:rPr>
                            </w:pPr>
                            <w:r w:rsidRPr="00193545">
                              <w:rPr>
                                <w:noProof/>
                                <w:sz w:val="18"/>
                              </w:rPr>
                              <w:t xml:space="preserve">Fuente: </w:t>
                            </w:r>
                            <w:r>
                              <w:rPr>
                                <w:noProof/>
                                <w:sz w:val="18"/>
                              </w:rPr>
                              <w:t>Ruiz-Caro, 2014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44.15pt;margin-top:198.65pt;width:186.95pt;height:1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" stroked="f">
                <v:textbox>
                  <w:txbxContent>
                    <w:p w14:paraId="12578F5B" w14:textId="2C88CC01" w:rsidR="008029AF" w:rsidRPr="00193545" w:rsidRDefault="008029AF" w:rsidP="0017083F">
                      <w:pPr>
                        <w:spacing w:line="360" w:lineRule="auto"/>
                        <w:jc w:val="center"/>
                        <w:rPr>
                          <w:sz w:val="18"/>
                        </w:rPr>
                      </w:pPr>
                      <w:r w:rsidRPr="00193545">
                        <w:rPr>
                          <w:noProof/>
                          <w:sz w:val="18"/>
                        </w:rPr>
                        <w:t xml:space="preserve">Fuente: </w:t>
                      </w:r>
                      <w:r>
                        <w:rPr>
                          <w:noProof/>
                          <w:sz w:val="18"/>
                        </w:rPr>
                        <w:t>Ruiz-Caro, 2014</w:t>
                      </w:r>
                    </w:p>
                  </w:txbxContent>
                </v:textbox>
              </v:shape>
            </w:pict>
          </mc:Fallback>
        </mc:AlternateContent>
      </w:r>
      <w:r w:rsidR="00263EED">
        <w:rPr>
          <w:noProof/>
        </w:rPr>
        <w:drawing>
          <wp:inline distT="0" distB="0" distL="0" distR="0" wp14:anchorId="39777F4D" wp14:editId="66176A18">
            <wp:extent cx="4540087"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1335" cy="2717760"/>
                    </a:xfrm>
                    <a:prstGeom prst="rect">
                      <a:avLst/>
                    </a:prstGeom>
                  </pic:spPr>
                </pic:pic>
              </a:graphicData>
            </a:graphic>
          </wp:inline>
        </w:drawing>
      </w:r>
    </w:p>
    <w:p w14:paraId="1BF42DF7" w14:textId="19F85741" w:rsidR="0047512E" w:rsidRDefault="0047512E" w:rsidP="00466CB0">
      <w:pPr>
        <w:spacing w:line="360" w:lineRule="auto"/>
        <w:rPr>
          <w:rFonts w:ascii="Arial" w:hAnsi="Arial" w:cs="Arial"/>
        </w:rPr>
      </w:pPr>
    </w:p>
    <w:p w14:paraId="5DE955BF" w14:textId="1F924F6A" w:rsidR="0083210D" w:rsidRPr="0083210D" w:rsidRDefault="001734FA" w:rsidP="0083210D">
      <w:pPr>
        <w:spacing w:line="360" w:lineRule="auto"/>
        <w:rPr>
          <w:rFonts w:ascii="Arial" w:hAnsi="Arial" w:cs="Arial"/>
          <w:szCs w:val="24"/>
        </w:rPr>
      </w:pPr>
      <w:r w:rsidRPr="00466CB0">
        <w:rPr>
          <w:rFonts w:ascii="Arial" w:hAnsi="Arial" w:cs="Arial"/>
        </w:rPr>
        <w:t xml:space="preserve">Debido a que existe un déficit en la importación de petróleo a Estados Unidos, el reporte </w:t>
      </w:r>
      <w:proofErr w:type="spellStart"/>
      <w:r w:rsidRPr="00466CB0">
        <w:rPr>
          <w:rFonts w:ascii="Arial" w:hAnsi="Arial" w:cs="Arial"/>
        </w:rPr>
        <w:t>Cheney</w:t>
      </w:r>
      <w:proofErr w:type="spellEnd"/>
      <w:r w:rsidRPr="00466CB0">
        <w:rPr>
          <w:rFonts w:ascii="Arial" w:hAnsi="Arial" w:cs="Arial"/>
        </w:rPr>
        <w:t xml:space="preserve"> </w:t>
      </w:r>
      <w:r w:rsidR="006362B4" w:rsidRPr="00466CB0">
        <w:rPr>
          <w:rFonts w:ascii="Arial" w:hAnsi="Arial" w:cs="Arial"/>
        </w:rPr>
        <w:t>resalta</w:t>
      </w:r>
      <w:r w:rsidR="001963CB">
        <w:rPr>
          <w:rFonts w:ascii="Arial" w:hAnsi="Arial" w:cs="Arial"/>
        </w:rPr>
        <w:t>ba</w:t>
      </w:r>
      <w:r w:rsidR="006362B4" w:rsidRPr="00466CB0">
        <w:rPr>
          <w:rFonts w:ascii="Arial" w:hAnsi="Arial" w:cs="Arial"/>
        </w:rPr>
        <w:t xml:space="preserve"> que</w:t>
      </w:r>
      <w:r w:rsidR="001963CB">
        <w:rPr>
          <w:rFonts w:ascii="Arial" w:hAnsi="Arial" w:cs="Arial"/>
        </w:rPr>
        <w:t>,</w:t>
      </w:r>
      <w:r w:rsidR="006362B4" w:rsidRPr="00466CB0">
        <w:rPr>
          <w:rFonts w:ascii="Arial" w:hAnsi="Arial" w:cs="Arial"/>
        </w:rPr>
        <w:t xml:space="preserve"> de continuar</w:t>
      </w:r>
      <w:r w:rsidR="00F20630">
        <w:rPr>
          <w:rFonts w:ascii="Arial" w:hAnsi="Arial" w:cs="Arial"/>
        </w:rPr>
        <w:t xml:space="preserve"> con la misma tendencia</w:t>
      </w:r>
      <w:r w:rsidR="006362B4" w:rsidRPr="00466CB0">
        <w:rPr>
          <w:rFonts w:ascii="Arial" w:hAnsi="Arial" w:cs="Arial"/>
        </w:rPr>
        <w:t xml:space="preserve">, el país </w:t>
      </w:r>
      <w:r w:rsidR="001963CB">
        <w:rPr>
          <w:rFonts w:ascii="Arial" w:hAnsi="Arial" w:cs="Arial"/>
        </w:rPr>
        <w:t>seguiría</w:t>
      </w:r>
      <w:r w:rsidR="006362B4" w:rsidRPr="00466CB0">
        <w:rPr>
          <w:rFonts w:ascii="Arial" w:hAnsi="Arial" w:cs="Arial"/>
        </w:rPr>
        <w:t xml:space="preserve"> siendo afectado por inflaciones y tasas de interés altas</w:t>
      </w:r>
      <w:r w:rsidR="001963CB">
        <w:rPr>
          <w:rFonts w:ascii="Arial" w:hAnsi="Arial" w:cs="Arial"/>
        </w:rPr>
        <w:t>,</w:t>
      </w:r>
      <w:r w:rsidR="006362B4" w:rsidRPr="00466CB0">
        <w:rPr>
          <w:rFonts w:ascii="Arial" w:hAnsi="Arial" w:cs="Arial"/>
        </w:rPr>
        <w:t xml:space="preserve"> ya que los precios crecientes de la energía y la inestabilidad de los mercados afecta</w:t>
      </w:r>
      <w:r w:rsidR="00F20630">
        <w:rPr>
          <w:rFonts w:ascii="Arial" w:hAnsi="Arial" w:cs="Arial"/>
        </w:rPr>
        <w:t>n</w:t>
      </w:r>
      <w:r w:rsidR="006362B4" w:rsidRPr="00466CB0">
        <w:rPr>
          <w:rFonts w:ascii="Arial" w:hAnsi="Arial" w:cs="Arial"/>
        </w:rPr>
        <w:t xml:space="preserve"> directamente a la ec</w:t>
      </w:r>
      <w:r w:rsidR="0083210D">
        <w:rPr>
          <w:rFonts w:ascii="Arial" w:hAnsi="Arial" w:cs="Arial"/>
        </w:rPr>
        <w:t>onomía nacional. Por otro lado,</w:t>
      </w:r>
      <w:r w:rsidR="006362B4" w:rsidRPr="00466CB0">
        <w:rPr>
          <w:rFonts w:ascii="Arial" w:hAnsi="Arial" w:cs="Arial"/>
        </w:rPr>
        <w:t xml:space="preserve"> si EE.UU. cuenta con gran abundancia de fuentes energéticas y recursos, además de ser líder en el desarrollo tecnológico, estos se puede</w:t>
      </w:r>
      <w:r w:rsidR="00F20630">
        <w:rPr>
          <w:rFonts w:ascii="Arial" w:hAnsi="Arial" w:cs="Arial"/>
        </w:rPr>
        <w:t>n</w:t>
      </w:r>
      <w:r w:rsidR="006362B4" w:rsidRPr="00466CB0">
        <w:rPr>
          <w:rFonts w:ascii="Arial" w:hAnsi="Arial" w:cs="Arial"/>
        </w:rPr>
        <w:t xml:space="preserve"> explotar y utilizar para reducir el déficit y hacer frente a la tan alta demanda energética que se proyecta</w:t>
      </w:r>
      <w:r w:rsidR="00F20630">
        <w:rPr>
          <w:rFonts w:ascii="Arial" w:hAnsi="Arial" w:cs="Arial"/>
        </w:rPr>
        <w:t xml:space="preserve"> para los años por venir</w:t>
      </w:r>
      <w:r w:rsidR="0083210D">
        <w:rPr>
          <w:rFonts w:ascii="Arial" w:hAnsi="Arial" w:cs="Arial"/>
        </w:rPr>
        <w:t xml:space="preserve"> </w:t>
      </w:r>
      <w:r w:rsidR="0083210D" w:rsidRPr="0083210D">
        <w:rPr>
          <w:rFonts w:ascii="Arial" w:hAnsi="Arial" w:cs="Arial"/>
          <w:szCs w:val="24"/>
        </w:rPr>
        <w:t>(</w:t>
      </w:r>
      <w:proofErr w:type="spellStart"/>
      <w:r w:rsidR="0083210D" w:rsidRPr="0083210D">
        <w:rPr>
          <w:rFonts w:ascii="Arial" w:hAnsi="Arial" w:cs="Arial"/>
          <w:szCs w:val="24"/>
        </w:rPr>
        <w:t>National</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Energy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Policy</w:t>
      </w:r>
      <w:proofErr w:type="spellEnd"/>
      <w:r w:rsidR="0083210D" w:rsidRPr="0083210D">
        <w:rPr>
          <w:rFonts w:ascii="Arial" w:hAnsi="Arial" w:cs="Arial"/>
          <w:szCs w:val="24"/>
        </w:rPr>
        <w:t xml:space="preserve"> </w:t>
      </w:r>
      <w:proofErr w:type="spellStart"/>
      <w:r w:rsidR="0083210D" w:rsidRPr="0083210D">
        <w:rPr>
          <w:rFonts w:ascii="Arial" w:hAnsi="Arial" w:cs="Arial"/>
          <w:szCs w:val="24"/>
        </w:rPr>
        <w:t>Development</w:t>
      </w:r>
      <w:proofErr w:type="spellEnd"/>
      <w:r w:rsidR="0083210D" w:rsidRPr="0083210D">
        <w:rPr>
          <w:rFonts w:ascii="Arial" w:hAnsi="Arial" w:cs="Arial"/>
          <w:szCs w:val="24"/>
        </w:rPr>
        <w:t>, 2001).</w:t>
      </w:r>
    </w:p>
    <w:p w14:paraId="603F3B56" w14:textId="5F6852E7" w:rsidR="00AB27E6" w:rsidRPr="0083210D" w:rsidRDefault="00140F6B" w:rsidP="00AB27E6">
      <w:pPr>
        <w:spacing w:line="360" w:lineRule="auto"/>
        <w:rPr>
          <w:rFonts w:ascii="Arial" w:hAnsi="Arial" w:cs="Arial"/>
          <w:szCs w:val="24"/>
        </w:rPr>
      </w:pPr>
      <w:r>
        <w:rPr>
          <w:rFonts w:ascii="Arial" w:hAnsi="Arial" w:cs="Arial"/>
        </w:rPr>
        <w:t>L</w:t>
      </w:r>
      <w:r w:rsidR="001963CB">
        <w:rPr>
          <w:rFonts w:ascii="Arial" w:hAnsi="Arial" w:cs="Arial"/>
        </w:rPr>
        <w:t>o</w:t>
      </w:r>
      <w:r>
        <w:rPr>
          <w:rFonts w:ascii="Arial" w:hAnsi="Arial" w:cs="Arial"/>
        </w:rPr>
        <w:t>s</w:t>
      </w:r>
      <w:r w:rsidR="001963CB">
        <w:rPr>
          <w:rFonts w:ascii="Arial" w:hAnsi="Arial" w:cs="Arial"/>
        </w:rPr>
        <w:t xml:space="preserve"> costos de producción de</w:t>
      </w:r>
      <w:r w:rsidR="00466CB0" w:rsidRPr="00466CB0">
        <w:rPr>
          <w:rFonts w:ascii="Arial" w:hAnsi="Arial" w:cs="Arial"/>
        </w:rPr>
        <w:t xml:space="preserve"> reservas convencionales </w:t>
      </w:r>
      <w:r w:rsidR="001963CB">
        <w:rPr>
          <w:rFonts w:ascii="Arial" w:hAnsi="Arial" w:cs="Arial"/>
        </w:rPr>
        <w:t xml:space="preserve">se </w:t>
      </w:r>
      <w:r w:rsidR="00466CB0" w:rsidRPr="00466CB0">
        <w:rPr>
          <w:rFonts w:ascii="Arial" w:hAnsi="Arial" w:cs="Arial"/>
        </w:rPr>
        <w:t>han encarecido debido a que ya se ha recuperado el petróleo más accesible</w:t>
      </w:r>
      <w:r>
        <w:rPr>
          <w:rFonts w:ascii="Arial" w:hAnsi="Arial" w:cs="Arial"/>
        </w:rPr>
        <w:t xml:space="preserve"> y</w:t>
      </w:r>
      <w:r w:rsidR="00466CB0" w:rsidRPr="00466CB0">
        <w:rPr>
          <w:rFonts w:ascii="Arial" w:hAnsi="Arial" w:cs="Arial"/>
        </w:rPr>
        <w:t xml:space="preserve"> los recursos remanentes son más costosos en términos de exploración y producción</w:t>
      </w:r>
      <w:r w:rsidR="001963CB">
        <w:rPr>
          <w:rFonts w:ascii="Arial" w:hAnsi="Arial" w:cs="Arial"/>
        </w:rPr>
        <w:t>,</w:t>
      </w:r>
      <w:r w:rsidR="00466CB0" w:rsidRPr="00466CB0">
        <w:rPr>
          <w:rFonts w:ascii="Arial" w:hAnsi="Arial" w:cs="Arial"/>
        </w:rPr>
        <w:t xml:space="preserve"> </w:t>
      </w:r>
      <w:r w:rsidR="001963CB">
        <w:rPr>
          <w:rFonts w:ascii="Arial" w:hAnsi="Arial" w:cs="Arial"/>
        </w:rPr>
        <w:t>pues</w:t>
      </w:r>
      <w:r w:rsidR="00466CB0" w:rsidRPr="00466CB0">
        <w:rPr>
          <w:rFonts w:ascii="Arial" w:hAnsi="Arial" w:cs="Arial"/>
        </w:rPr>
        <w:t xml:space="preserve"> se encuentran en reservas geográficamente complejas, es decir, </w:t>
      </w:r>
      <w:r w:rsidR="00532CB0">
        <w:rPr>
          <w:rFonts w:ascii="Arial" w:hAnsi="Arial" w:cs="Arial"/>
        </w:rPr>
        <w:t xml:space="preserve">en </w:t>
      </w:r>
      <w:r w:rsidR="00466CB0" w:rsidRPr="00466CB0">
        <w:rPr>
          <w:rFonts w:ascii="Arial" w:hAnsi="Arial" w:cs="Arial"/>
        </w:rPr>
        <w:t xml:space="preserve">aguas profundas y ambientes hostiles. Sin embargo, con el desarrollo de nuevas tecnologías (el reporte </w:t>
      </w:r>
      <w:proofErr w:type="spellStart"/>
      <w:r w:rsidR="00466CB0" w:rsidRPr="00466CB0">
        <w:rPr>
          <w:rFonts w:ascii="Arial" w:hAnsi="Arial" w:cs="Arial"/>
        </w:rPr>
        <w:t>Cheney</w:t>
      </w:r>
      <w:proofErr w:type="spellEnd"/>
      <w:r w:rsidR="00466CB0" w:rsidRPr="00466CB0">
        <w:rPr>
          <w:rFonts w:ascii="Arial" w:hAnsi="Arial" w:cs="Arial"/>
        </w:rPr>
        <w:t xml:space="preserve"> señala que son amigables con el medio ambiente</w:t>
      </w:r>
      <w:r w:rsidR="00F20630">
        <w:rPr>
          <w:rFonts w:ascii="Arial" w:hAnsi="Arial" w:cs="Arial"/>
        </w:rPr>
        <w:t xml:space="preserve"> aunque diversos grupos ambientalistas demuestren lo contrario</w:t>
      </w:r>
      <w:r w:rsidR="00466CB0" w:rsidRPr="00466CB0">
        <w:rPr>
          <w:rFonts w:ascii="Arial" w:hAnsi="Arial" w:cs="Arial"/>
        </w:rPr>
        <w:t>), se reducen los efectos medioambientales y los costos de exploración. La tecnología a la que se refiere es la perforación horizontal</w:t>
      </w:r>
      <w:r w:rsidR="00AB27E6">
        <w:rPr>
          <w:rFonts w:ascii="Arial" w:hAnsi="Arial" w:cs="Arial"/>
        </w:rPr>
        <w:t xml:space="preserve"> </w:t>
      </w:r>
      <w:r w:rsidR="00AB27E6" w:rsidRPr="0083210D">
        <w:rPr>
          <w:rFonts w:ascii="Arial" w:hAnsi="Arial" w:cs="Arial"/>
          <w:szCs w:val="24"/>
        </w:rPr>
        <w:t>(</w:t>
      </w:r>
      <w:proofErr w:type="spellStart"/>
      <w:r w:rsidR="00AB27E6" w:rsidRPr="0083210D">
        <w:rPr>
          <w:rFonts w:ascii="Arial" w:hAnsi="Arial" w:cs="Arial"/>
          <w:szCs w:val="24"/>
        </w:rPr>
        <w:t>National</w:t>
      </w:r>
      <w:proofErr w:type="spellEnd"/>
      <w:r w:rsidR="00AB27E6" w:rsidRPr="0083210D">
        <w:rPr>
          <w:rFonts w:ascii="Arial" w:hAnsi="Arial" w:cs="Arial"/>
          <w:szCs w:val="24"/>
        </w:rPr>
        <w:t xml:space="preserve"> </w:t>
      </w:r>
      <w:proofErr w:type="spellStart"/>
      <w:r w:rsidR="00AB27E6" w:rsidRPr="0083210D">
        <w:rPr>
          <w:rFonts w:ascii="Arial" w:hAnsi="Arial" w:cs="Arial"/>
          <w:szCs w:val="24"/>
        </w:rPr>
        <w:t>Energy</w:t>
      </w:r>
      <w:proofErr w:type="spellEnd"/>
      <w:r w:rsidR="00AB27E6" w:rsidRPr="0083210D">
        <w:rPr>
          <w:rFonts w:ascii="Arial" w:hAnsi="Arial" w:cs="Arial"/>
          <w:szCs w:val="24"/>
        </w:rPr>
        <w:t xml:space="preserve"> </w:t>
      </w:r>
      <w:proofErr w:type="spellStart"/>
      <w:r w:rsidR="00AB27E6" w:rsidRPr="0083210D">
        <w:rPr>
          <w:rFonts w:ascii="Arial" w:hAnsi="Arial" w:cs="Arial"/>
          <w:szCs w:val="24"/>
        </w:rPr>
        <w:t>Policy</w:t>
      </w:r>
      <w:proofErr w:type="spellEnd"/>
      <w:r w:rsidR="00AB27E6" w:rsidRPr="0083210D">
        <w:rPr>
          <w:rFonts w:ascii="Arial" w:hAnsi="Arial" w:cs="Arial"/>
          <w:szCs w:val="24"/>
        </w:rPr>
        <w:t xml:space="preserve"> </w:t>
      </w:r>
      <w:proofErr w:type="spellStart"/>
      <w:r w:rsidR="00AB27E6" w:rsidRPr="0083210D">
        <w:rPr>
          <w:rFonts w:ascii="Arial" w:hAnsi="Arial" w:cs="Arial"/>
          <w:szCs w:val="24"/>
        </w:rPr>
        <w:t>Development</w:t>
      </w:r>
      <w:proofErr w:type="spellEnd"/>
      <w:r w:rsidR="00AB27E6" w:rsidRPr="0083210D">
        <w:rPr>
          <w:rFonts w:ascii="Arial" w:hAnsi="Arial" w:cs="Arial"/>
          <w:szCs w:val="24"/>
        </w:rPr>
        <w:t>, 2001).</w:t>
      </w:r>
    </w:p>
    <w:p w14:paraId="0D1BB73E" w14:textId="7B516CB5" w:rsidR="00AB27E6" w:rsidRPr="0083210D" w:rsidRDefault="00466CB0" w:rsidP="00AB27E6">
      <w:pPr>
        <w:spacing w:line="360" w:lineRule="auto"/>
        <w:rPr>
          <w:rFonts w:ascii="Arial" w:hAnsi="Arial" w:cs="Arial"/>
          <w:szCs w:val="24"/>
        </w:rPr>
      </w:pPr>
      <w:r w:rsidRPr="00532CB0">
        <w:rPr>
          <w:rFonts w:ascii="Arial" w:hAnsi="Arial" w:cs="Arial"/>
        </w:rPr>
        <w:t xml:space="preserve">En esta materia, el reporte </w:t>
      </w:r>
      <w:proofErr w:type="spellStart"/>
      <w:r w:rsidRPr="00532CB0">
        <w:rPr>
          <w:rFonts w:ascii="Arial" w:hAnsi="Arial" w:cs="Arial"/>
        </w:rPr>
        <w:t>Cheney</w:t>
      </w:r>
      <w:proofErr w:type="spellEnd"/>
      <w:r w:rsidRPr="00532CB0">
        <w:rPr>
          <w:rFonts w:ascii="Arial" w:hAnsi="Arial" w:cs="Arial"/>
        </w:rPr>
        <w:t xml:space="preserve"> resalta que  </w:t>
      </w:r>
      <w:r w:rsidR="00532CB0" w:rsidRPr="00532CB0">
        <w:rPr>
          <w:rFonts w:ascii="Arial" w:hAnsi="Arial" w:cs="Arial"/>
        </w:rPr>
        <w:t>la perforación hidráulica permite recuperar reservas con costos de exploración asequibles. De hecho</w:t>
      </w:r>
      <w:r w:rsidR="001963CB">
        <w:rPr>
          <w:rFonts w:ascii="Arial" w:hAnsi="Arial" w:cs="Arial"/>
        </w:rPr>
        <w:t>,</w:t>
      </w:r>
      <w:r w:rsidR="00532CB0" w:rsidRPr="00532CB0">
        <w:rPr>
          <w:rFonts w:ascii="Arial" w:hAnsi="Arial" w:cs="Arial"/>
        </w:rPr>
        <w:t xml:space="preserve"> pequeñas empresas que </w:t>
      </w:r>
      <w:r w:rsidR="00532CB0" w:rsidRPr="00532CB0">
        <w:rPr>
          <w:rFonts w:ascii="Arial" w:hAnsi="Arial" w:cs="Arial"/>
        </w:rPr>
        <w:lastRenderedPageBreak/>
        <w:t>recuperan petróleo de esta forma ya están aportando entre el 50</w:t>
      </w:r>
      <w:r w:rsidR="001963CB">
        <w:rPr>
          <w:rFonts w:ascii="Arial" w:hAnsi="Arial" w:cs="Arial"/>
        </w:rPr>
        <w:t>%</w:t>
      </w:r>
      <w:r w:rsidR="00532CB0" w:rsidRPr="00532CB0">
        <w:rPr>
          <w:rFonts w:ascii="Arial" w:hAnsi="Arial" w:cs="Arial"/>
        </w:rPr>
        <w:t xml:space="preserve"> </w:t>
      </w:r>
      <w:r w:rsidR="001963CB">
        <w:rPr>
          <w:rFonts w:ascii="Arial" w:hAnsi="Arial" w:cs="Arial"/>
        </w:rPr>
        <w:t>y</w:t>
      </w:r>
      <w:r w:rsidR="00532CB0" w:rsidRPr="00532CB0">
        <w:rPr>
          <w:rFonts w:ascii="Arial" w:hAnsi="Arial" w:cs="Arial"/>
        </w:rPr>
        <w:t xml:space="preserve"> 60% en distintos estados. Siguiendo esta tendencia, el reporte recomienda al presidente promover la recuperación de petróleo mediante esta tecnología. Una forma de in</w:t>
      </w:r>
      <w:r w:rsidR="001963CB">
        <w:rPr>
          <w:rFonts w:ascii="Arial" w:hAnsi="Arial" w:cs="Arial"/>
        </w:rPr>
        <w:t>cidir</w:t>
      </w:r>
      <w:r w:rsidR="00532CB0" w:rsidRPr="00532CB0">
        <w:rPr>
          <w:rFonts w:ascii="Arial" w:hAnsi="Arial" w:cs="Arial"/>
        </w:rPr>
        <w:t xml:space="preserve"> directamente es </w:t>
      </w:r>
      <w:r w:rsidR="001963CB">
        <w:rPr>
          <w:rFonts w:ascii="Arial" w:hAnsi="Arial" w:cs="Arial"/>
        </w:rPr>
        <w:t>promoviendo</w:t>
      </w:r>
      <w:r w:rsidR="001963CB" w:rsidRPr="00532CB0">
        <w:rPr>
          <w:rFonts w:ascii="Arial" w:hAnsi="Arial" w:cs="Arial"/>
        </w:rPr>
        <w:t xml:space="preserve"> la producción energética en lugares clave</w:t>
      </w:r>
      <w:r w:rsidR="001963CB">
        <w:rPr>
          <w:rFonts w:ascii="Arial" w:hAnsi="Arial" w:cs="Arial"/>
        </w:rPr>
        <w:t>,</w:t>
      </w:r>
      <w:r w:rsidR="001963CB" w:rsidRPr="00532CB0">
        <w:rPr>
          <w:rFonts w:ascii="Arial" w:hAnsi="Arial" w:cs="Arial"/>
        </w:rPr>
        <w:t xml:space="preserve"> ya que una gran proporción de los recursos energéticos se encuentran contenidos en tierras federales.</w:t>
      </w:r>
      <w:r w:rsidR="00532CB0" w:rsidRPr="00532CB0">
        <w:rPr>
          <w:rFonts w:ascii="Arial" w:hAnsi="Arial" w:cs="Arial"/>
        </w:rPr>
        <w:t xml:space="preserve"> </w:t>
      </w:r>
      <w:r w:rsidR="00517867" w:rsidRPr="002727DE">
        <w:rPr>
          <w:rFonts w:ascii="Arial" w:hAnsi="Arial" w:cs="Arial"/>
        </w:rPr>
        <w:t>Inclusive se recomienda la promoción de incentivos como reducción en regalías</w:t>
      </w:r>
      <w:r w:rsidR="00AB27E6">
        <w:rPr>
          <w:rFonts w:ascii="Arial" w:hAnsi="Arial" w:cs="Arial"/>
        </w:rPr>
        <w:t xml:space="preserve"> </w:t>
      </w:r>
      <w:r w:rsidR="00AB27E6" w:rsidRPr="0083210D">
        <w:rPr>
          <w:rFonts w:ascii="Arial" w:hAnsi="Arial" w:cs="Arial"/>
          <w:szCs w:val="24"/>
        </w:rPr>
        <w:t>(</w:t>
      </w:r>
      <w:proofErr w:type="spellStart"/>
      <w:r w:rsidR="00AB27E6" w:rsidRPr="0083210D">
        <w:rPr>
          <w:rFonts w:ascii="Arial" w:hAnsi="Arial" w:cs="Arial"/>
          <w:szCs w:val="24"/>
        </w:rPr>
        <w:t>National</w:t>
      </w:r>
      <w:proofErr w:type="spellEnd"/>
      <w:r w:rsidR="00AB27E6" w:rsidRPr="0083210D">
        <w:rPr>
          <w:rFonts w:ascii="Arial" w:hAnsi="Arial" w:cs="Arial"/>
          <w:szCs w:val="24"/>
        </w:rPr>
        <w:t xml:space="preserve"> </w:t>
      </w:r>
      <w:proofErr w:type="spellStart"/>
      <w:r w:rsidR="00AB27E6" w:rsidRPr="0083210D">
        <w:rPr>
          <w:rFonts w:ascii="Arial" w:hAnsi="Arial" w:cs="Arial"/>
          <w:szCs w:val="24"/>
        </w:rPr>
        <w:t>Energy</w:t>
      </w:r>
      <w:proofErr w:type="spellEnd"/>
      <w:r w:rsidR="00AB27E6" w:rsidRPr="0083210D">
        <w:rPr>
          <w:rFonts w:ascii="Arial" w:hAnsi="Arial" w:cs="Arial"/>
          <w:szCs w:val="24"/>
        </w:rPr>
        <w:t xml:space="preserve"> </w:t>
      </w:r>
      <w:proofErr w:type="spellStart"/>
      <w:r w:rsidR="00AB27E6" w:rsidRPr="0083210D">
        <w:rPr>
          <w:rFonts w:ascii="Arial" w:hAnsi="Arial" w:cs="Arial"/>
          <w:szCs w:val="24"/>
        </w:rPr>
        <w:t>Policy</w:t>
      </w:r>
      <w:proofErr w:type="spellEnd"/>
      <w:r w:rsidR="00AB27E6" w:rsidRPr="0083210D">
        <w:rPr>
          <w:rFonts w:ascii="Arial" w:hAnsi="Arial" w:cs="Arial"/>
          <w:szCs w:val="24"/>
        </w:rPr>
        <w:t xml:space="preserve"> </w:t>
      </w:r>
      <w:proofErr w:type="spellStart"/>
      <w:r w:rsidR="00AB27E6" w:rsidRPr="0083210D">
        <w:rPr>
          <w:rFonts w:ascii="Arial" w:hAnsi="Arial" w:cs="Arial"/>
          <w:szCs w:val="24"/>
        </w:rPr>
        <w:t>Development</w:t>
      </w:r>
      <w:proofErr w:type="spellEnd"/>
      <w:r w:rsidR="00AB27E6" w:rsidRPr="0083210D">
        <w:rPr>
          <w:rFonts w:ascii="Arial" w:hAnsi="Arial" w:cs="Arial"/>
          <w:szCs w:val="24"/>
        </w:rPr>
        <w:t>, 2001).</w:t>
      </w:r>
    </w:p>
    <w:p w14:paraId="2025158B" w14:textId="13CAFC6A" w:rsidR="002F6212" w:rsidRPr="00B31FDC" w:rsidRDefault="002F6212" w:rsidP="00B31FDC">
      <w:pPr>
        <w:pStyle w:val="Ttulo3"/>
        <w:numPr>
          <w:ilvl w:val="0"/>
          <w:numId w:val="12"/>
        </w:numPr>
        <w:rPr>
          <w:color w:val="000000" w:themeColor="text1"/>
        </w:rPr>
      </w:pPr>
      <w:bookmarkStart w:id="26" w:name="_Toc499918300"/>
      <w:r w:rsidRPr="00B31FDC">
        <w:rPr>
          <w:color w:val="000000" w:themeColor="text1"/>
        </w:rPr>
        <w:t>Diferencias con la política de Carter</w:t>
      </w:r>
      <w:bookmarkEnd w:id="26"/>
    </w:p>
    <w:p w14:paraId="49B83DE0" w14:textId="0C850CB1" w:rsidR="002F6212" w:rsidRDefault="002F6212" w:rsidP="002727DE">
      <w:pPr>
        <w:spacing w:line="360" w:lineRule="auto"/>
        <w:rPr>
          <w:rFonts w:ascii="Arial" w:hAnsi="Arial" w:cs="Arial"/>
        </w:rPr>
      </w:pPr>
      <w:r w:rsidRPr="002727DE">
        <w:rPr>
          <w:rFonts w:ascii="Arial" w:hAnsi="Arial" w:cs="Arial"/>
        </w:rPr>
        <w:t xml:space="preserve">A partir de las crisis de abastecimiento petrolero en los años setenta, EE.UU. realizó un esfuerzo importante </w:t>
      </w:r>
      <w:r w:rsidR="00EA7567" w:rsidRPr="002727DE">
        <w:rPr>
          <w:rFonts w:ascii="Arial" w:hAnsi="Arial" w:cs="Arial"/>
        </w:rPr>
        <w:t>por</w:t>
      </w:r>
      <w:r w:rsidRPr="002727DE">
        <w:rPr>
          <w:rFonts w:ascii="Arial" w:hAnsi="Arial" w:cs="Arial"/>
        </w:rPr>
        <w:t xml:space="preserve"> reducir las importaciones provenientes de países adheridos a la Organización de Países Productores de Petróleo (OPEP). Se establecieron políticas de conservación, </w:t>
      </w:r>
      <w:r w:rsidR="00DA451C">
        <w:rPr>
          <w:rFonts w:ascii="Arial" w:hAnsi="Arial" w:cs="Arial"/>
        </w:rPr>
        <w:t>diversificación de combustibles y</w:t>
      </w:r>
      <w:r w:rsidRPr="002727DE">
        <w:rPr>
          <w:rFonts w:ascii="Arial" w:hAnsi="Arial" w:cs="Arial"/>
        </w:rPr>
        <w:t xml:space="preserve"> construcción de instalaciones estratégicas. Se privilegiaron fuentes de petróleo localizadas en el Hemisferio Occidental para ten</w:t>
      </w:r>
      <w:r w:rsidR="00AB27E6">
        <w:rPr>
          <w:rFonts w:ascii="Arial" w:hAnsi="Arial" w:cs="Arial"/>
        </w:rPr>
        <w:t>er socios confiables y estables (Vargas, 2014).</w:t>
      </w:r>
    </w:p>
    <w:p w14:paraId="3C2AA60C" w14:textId="5C622268" w:rsidR="002F6212" w:rsidRPr="002727DE" w:rsidRDefault="002F6212" w:rsidP="002727DE">
      <w:pPr>
        <w:spacing w:line="360" w:lineRule="auto"/>
        <w:rPr>
          <w:rFonts w:ascii="Arial" w:hAnsi="Arial" w:cs="Arial"/>
        </w:rPr>
      </w:pPr>
      <w:r w:rsidRPr="002727DE">
        <w:rPr>
          <w:rFonts w:ascii="Arial" w:hAnsi="Arial" w:cs="Arial"/>
        </w:rPr>
        <w:t xml:space="preserve">Entre </w:t>
      </w:r>
      <w:r w:rsidR="00DA451C">
        <w:rPr>
          <w:rFonts w:ascii="Arial" w:hAnsi="Arial" w:cs="Arial"/>
        </w:rPr>
        <w:t xml:space="preserve">las fuentes a las que se les dio mayor importancia está </w:t>
      </w:r>
      <w:r w:rsidRPr="002727DE">
        <w:rPr>
          <w:rFonts w:ascii="Arial" w:hAnsi="Arial" w:cs="Arial"/>
        </w:rPr>
        <w:t xml:space="preserve"> la producción de Alaska (en el Mar del Norte) y México</w:t>
      </w:r>
      <w:r w:rsidR="00DA451C">
        <w:rPr>
          <w:rFonts w:ascii="Arial" w:hAnsi="Arial" w:cs="Arial"/>
        </w:rPr>
        <w:t xml:space="preserve">. Durante los años noventa se </w:t>
      </w:r>
      <w:r w:rsidRPr="002727DE">
        <w:rPr>
          <w:rFonts w:ascii="Arial" w:hAnsi="Arial" w:cs="Arial"/>
        </w:rPr>
        <w:t xml:space="preserve"> incrementó la producción de </w:t>
      </w:r>
      <w:r w:rsidR="00DA451C">
        <w:rPr>
          <w:rFonts w:ascii="Arial" w:hAnsi="Arial" w:cs="Arial"/>
        </w:rPr>
        <w:t>en ambos lugares</w:t>
      </w:r>
      <w:r w:rsidRPr="002727DE">
        <w:rPr>
          <w:rFonts w:ascii="Arial" w:hAnsi="Arial" w:cs="Arial"/>
        </w:rPr>
        <w:t>.</w:t>
      </w:r>
      <w:r w:rsidR="00DA451C">
        <w:rPr>
          <w:rFonts w:ascii="Arial" w:hAnsi="Arial" w:cs="Arial"/>
        </w:rPr>
        <w:t xml:space="preserve"> No obstante, s</w:t>
      </w:r>
      <w:r w:rsidRPr="002727DE">
        <w:rPr>
          <w:rFonts w:ascii="Arial" w:hAnsi="Arial" w:cs="Arial"/>
        </w:rPr>
        <w:t xml:space="preserve">e considera </w:t>
      </w:r>
      <w:r w:rsidR="00DA451C">
        <w:rPr>
          <w:rFonts w:ascii="Arial" w:hAnsi="Arial" w:cs="Arial"/>
        </w:rPr>
        <w:t xml:space="preserve">que habrá </w:t>
      </w:r>
      <w:r w:rsidRPr="002727DE">
        <w:rPr>
          <w:rFonts w:ascii="Arial" w:hAnsi="Arial" w:cs="Arial"/>
        </w:rPr>
        <w:t>un virtual agotamiento de las reservas de Alaska para 2020 y México alcanzó su producción máxima en 2004</w:t>
      </w:r>
      <w:r w:rsidR="001963CB">
        <w:rPr>
          <w:rFonts w:ascii="Arial" w:hAnsi="Arial" w:cs="Arial"/>
        </w:rPr>
        <w:t>,</w:t>
      </w:r>
      <w:r w:rsidRPr="002727DE">
        <w:rPr>
          <w:rFonts w:ascii="Arial" w:hAnsi="Arial" w:cs="Arial"/>
        </w:rPr>
        <w:t xml:space="preserve"> ahora en descenso</w:t>
      </w:r>
      <w:r w:rsidR="00AB27E6">
        <w:rPr>
          <w:rFonts w:ascii="Arial" w:hAnsi="Arial" w:cs="Arial"/>
        </w:rPr>
        <w:t xml:space="preserve"> (Vargas, 2014).</w:t>
      </w:r>
    </w:p>
    <w:p w14:paraId="4B30F4DF" w14:textId="263BF658" w:rsidR="002F6212" w:rsidRDefault="002F6212" w:rsidP="002727DE">
      <w:pPr>
        <w:spacing w:line="360" w:lineRule="auto"/>
      </w:pPr>
      <w:r w:rsidRPr="002727DE">
        <w:rPr>
          <w:rFonts w:ascii="Arial" w:hAnsi="Arial" w:cs="Arial"/>
        </w:rPr>
        <w:t xml:space="preserve">A diferencia de Carter, que proponía políticas conservacionistas que reducían la utilización energética, Bush abordó la situación más bien alentando la producción nacional para desacelerar la dependencia hacia el petróleo extranjero. </w:t>
      </w:r>
      <w:r w:rsidR="002727DE">
        <w:rPr>
          <w:rFonts w:ascii="Arial" w:hAnsi="Arial" w:cs="Arial"/>
        </w:rPr>
        <w:t>A pesar de que</w:t>
      </w:r>
      <w:r w:rsidRPr="002727DE">
        <w:rPr>
          <w:rFonts w:ascii="Arial" w:hAnsi="Arial" w:cs="Arial"/>
        </w:rPr>
        <w:t xml:space="preserve"> la Política Nacional de Energía buscaba asegurar las fuentes externas del rec</w:t>
      </w:r>
      <w:r w:rsidR="002727DE">
        <w:rPr>
          <w:rFonts w:ascii="Arial" w:hAnsi="Arial" w:cs="Arial"/>
        </w:rPr>
        <w:t xml:space="preserve">urso, como las de Medio Oriente y países de América, las importaciones no serían suficientes y la inestabilidad de la región ameritaba el desarrollo e incentivos </w:t>
      </w:r>
      <w:r w:rsidR="00F20630">
        <w:rPr>
          <w:rFonts w:ascii="Arial" w:hAnsi="Arial" w:cs="Arial"/>
        </w:rPr>
        <w:t>hacia</w:t>
      </w:r>
      <w:r w:rsidR="002727DE">
        <w:rPr>
          <w:rFonts w:ascii="Arial" w:hAnsi="Arial" w:cs="Arial"/>
        </w:rPr>
        <w:t xml:space="preserve"> una industria nacional</w:t>
      </w:r>
      <w:r w:rsidR="00193545">
        <w:rPr>
          <w:rFonts w:ascii="Arial" w:hAnsi="Arial" w:cs="Arial"/>
        </w:rPr>
        <w:t xml:space="preserve"> (Vargas, 2014)</w:t>
      </w:r>
      <w:r w:rsidR="002727DE">
        <w:rPr>
          <w:rFonts w:ascii="Arial" w:hAnsi="Arial" w:cs="Arial"/>
        </w:rPr>
        <w:t>.</w:t>
      </w:r>
    </w:p>
    <w:p w14:paraId="570DD671" w14:textId="77777777" w:rsidR="009F1996" w:rsidRDefault="009F1996" w:rsidP="009F1996">
      <w:pPr>
        <w:pStyle w:val="Prrafodelista"/>
        <w:spacing w:line="360" w:lineRule="auto"/>
        <w:ind w:left="1440"/>
        <w:rPr>
          <w:rFonts w:ascii="Arial" w:hAnsi="Arial" w:cs="Arial"/>
        </w:rPr>
      </w:pPr>
    </w:p>
    <w:p w14:paraId="302EF909" w14:textId="2DAA462C" w:rsidR="002F6212" w:rsidRPr="00B31FDC" w:rsidRDefault="002F6212" w:rsidP="00B31FDC">
      <w:pPr>
        <w:pStyle w:val="Ttulo3"/>
        <w:numPr>
          <w:ilvl w:val="0"/>
          <w:numId w:val="12"/>
        </w:numPr>
        <w:rPr>
          <w:color w:val="000000" w:themeColor="text1"/>
        </w:rPr>
      </w:pPr>
      <w:bookmarkStart w:id="27" w:name="_Toc499918301"/>
      <w:r w:rsidRPr="00B31FDC">
        <w:rPr>
          <w:color w:val="000000" w:themeColor="text1"/>
        </w:rPr>
        <w:t>Guerra de Irak</w:t>
      </w:r>
      <w:bookmarkEnd w:id="27"/>
    </w:p>
    <w:p w14:paraId="1514A8F0" w14:textId="1B85D726" w:rsidR="002F6212" w:rsidRPr="002727DE" w:rsidRDefault="002F6212" w:rsidP="002727DE">
      <w:pPr>
        <w:spacing w:line="360" w:lineRule="auto"/>
        <w:rPr>
          <w:rFonts w:ascii="Arial" w:hAnsi="Arial" w:cs="Arial"/>
        </w:rPr>
      </w:pPr>
      <w:r w:rsidRPr="002727DE">
        <w:rPr>
          <w:rFonts w:ascii="Arial" w:hAnsi="Arial" w:cs="Arial"/>
        </w:rPr>
        <w:t xml:space="preserve">Tras los atentados terroristas de 2001, la política de seguridad interna en el tema del petróleo hizo </w:t>
      </w:r>
      <w:r w:rsidR="002727DE">
        <w:rPr>
          <w:rFonts w:ascii="Arial" w:hAnsi="Arial" w:cs="Arial"/>
        </w:rPr>
        <w:t>evidente que</w:t>
      </w:r>
      <w:r w:rsidRPr="002727DE">
        <w:rPr>
          <w:rFonts w:ascii="Arial" w:hAnsi="Arial" w:cs="Arial"/>
        </w:rPr>
        <w:t xml:space="preserve"> ha crecido la distancia entre los centros de producción y el consumo</w:t>
      </w:r>
      <w:r w:rsidR="002727DE">
        <w:rPr>
          <w:rFonts w:ascii="Arial" w:hAnsi="Arial" w:cs="Arial"/>
        </w:rPr>
        <w:t xml:space="preserve"> y esto no solo encarece la transportación de los recursos, sino también se </w:t>
      </w:r>
      <w:r w:rsidR="002727DE">
        <w:rPr>
          <w:rFonts w:ascii="Arial" w:hAnsi="Arial" w:cs="Arial"/>
        </w:rPr>
        <w:lastRenderedPageBreak/>
        <w:t>deben desplegar cada vez más costosas operaciones para asegurar el suministro</w:t>
      </w:r>
      <w:r w:rsidRPr="002727DE">
        <w:rPr>
          <w:rFonts w:ascii="Arial" w:hAnsi="Arial" w:cs="Arial"/>
        </w:rPr>
        <w:t>. Si las proyecciones suponían que la mayor parte del suministro petrolero provendría del Medio Oriente, era necesario que la lucha contra el terrorismo tuviera una posición central. Se debía proteger no s</w:t>
      </w:r>
      <w:r w:rsidR="001963CB">
        <w:rPr>
          <w:rFonts w:ascii="Arial" w:hAnsi="Arial" w:cs="Arial"/>
        </w:rPr>
        <w:t>ó</w:t>
      </w:r>
      <w:r w:rsidRPr="002727DE">
        <w:rPr>
          <w:rFonts w:ascii="Arial" w:hAnsi="Arial" w:cs="Arial"/>
        </w:rPr>
        <w:t>lo los centros de producción, si no las rutas. Consecuentemente, el departamento de defensa modernizó su flota de combate</w:t>
      </w:r>
      <w:r w:rsidR="002727DE">
        <w:rPr>
          <w:rFonts w:ascii="Arial" w:hAnsi="Arial" w:cs="Arial"/>
        </w:rPr>
        <w:t xml:space="preserve"> y reforzó las zonas militares</w:t>
      </w:r>
      <w:r w:rsidR="00193545">
        <w:rPr>
          <w:rFonts w:ascii="Arial" w:hAnsi="Arial" w:cs="Arial"/>
        </w:rPr>
        <w:t xml:space="preserve"> (Vargas, 2014)</w:t>
      </w:r>
      <w:r w:rsidRPr="002727DE">
        <w:rPr>
          <w:rFonts w:ascii="Arial" w:hAnsi="Arial" w:cs="Arial"/>
        </w:rPr>
        <w:t>.</w:t>
      </w:r>
    </w:p>
    <w:p w14:paraId="54A1AA6C" w14:textId="678BB8F6" w:rsidR="009F2A77" w:rsidRDefault="002F6212" w:rsidP="002727DE">
      <w:pPr>
        <w:spacing w:line="360" w:lineRule="auto"/>
        <w:rPr>
          <w:rFonts w:ascii="Arial" w:hAnsi="Arial" w:cs="Arial"/>
        </w:rPr>
      </w:pPr>
      <w:r w:rsidRPr="002727DE">
        <w:rPr>
          <w:rFonts w:ascii="Arial" w:hAnsi="Arial" w:cs="Arial"/>
        </w:rPr>
        <w:t xml:space="preserve">En septiembre de 2001, posterior a los atentados a las torres gemelas de Nueva York, </w:t>
      </w:r>
      <w:r w:rsidR="002727DE">
        <w:rPr>
          <w:rFonts w:ascii="Arial" w:hAnsi="Arial" w:cs="Arial"/>
        </w:rPr>
        <w:t xml:space="preserve">se </w:t>
      </w:r>
      <w:r w:rsidRPr="002727DE">
        <w:rPr>
          <w:rFonts w:ascii="Arial" w:hAnsi="Arial" w:cs="Arial"/>
        </w:rPr>
        <w:t>pone en operación el Proyecto para un Nuevo Siglo Americano. Proyecto impulsado por el grupo neoconservador republicano que tenía nexos con petroleras texanas y empresas transnacionales petroleras. En octubre de 2001, es aprobó el Acta Patriota, la cual junto con la Doctrina de Defensa Anticipatoria de 2002, buscaban defender la seguridad nacional desde el ámbito interno como externo</w:t>
      </w:r>
      <w:r w:rsidR="004C6898">
        <w:rPr>
          <w:rFonts w:ascii="Arial" w:hAnsi="Arial" w:cs="Arial"/>
        </w:rPr>
        <w:t xml:space="preserve"> </w:t>
      </w:r>
      <w:r w:rsidR="00193545">
        <w:rPr>
          <w:rFonts w:ascii="Arial" w:hAnsi="Arial" w:cs="Arial"/>
        </w:rPr>
        <w:t>(Ruiz-Caro, 200</w:t>
      </w:r>
      <w:r w:rsidR="00193545" w:rsidRPr="00193545">
        <w:rPr>
          <w:rFonts w:ascii="Arial" w:hAnsi="Arial" w:cs="Arial"/>
        </w:rPr>
        <w:t>6)</w:t>
      </w:r>
      <w:r w:rsidRPr="00193545">
        <w:rPr>
          <w:rFonts w:ascii="Arial" w:hAnsi="Arial" w:cs="Arial"/>
        </w:rPr>
        <w:t>.</w:t>
      </w:r>
      <w:r w:rsidRPr="002727DE">
        <w:rPr>
          <w:rFonts w:ascii="Arial" w:hAnsi="Arial" w:cs="Arial"/>
        </w:rPr>
        <w:t xml:space="preserve"> </w:t>
      </w:r>
    </w:p>
    <w:p w14:paraId="5913C3A7" w14:textId="1130688D" w:rsidR="002F6212" w:rsidRPr="002727DE" w:rsidRDefault="002F6212" w:rsidP="002727DE">
      <w:pPr>
        <w:spacing w:line="360" w:lineRule="auto"/>
        <w:rPr>
          <w:rFonts w:ascii="Arial" w:hAnsi="Arial" w:cs="Arial"/>
        </w:rPr>
      </w:pPr>
      <w:r w:rsidRPr="002727DE">
        <w:rPr>
          <w:rFonts w:ascii="Arial" w:hAnsi="Arial" w:cs="Arial"/>
        </w:rPr>
        <w:t xml:space="preserve">Con antecedentes en la Doctrina Carter, la estrategia de George Bush para controlar el medio oriente, pretendía obtener acceso al </w:t>
      </w:r>
      <w:r w:rsidR="009F2A77">
        <w:rPr>
          <w:rFonts w:ascii="Arial" w:hAnsi="Arial" w:cs="Arial"/>
        </w:rPr>
        <w:t>petróleo del Golfo Pérsico.  Consecuentemente</w:t>
      </w:r>
      <w:r w:rsidRPr="002727DE">
        <w:rPr>
          <w:rFonts w:ascii="Arial" w:hAnsi="Arial" w:cs="Arial"/>
        </w:rPr>
        <w:t>,  tener control del petróleo iraquí representaba la posibilidad de tener el control de una fuente capaz de debilitar a la OPEP y contar con una alternativa de producción más barata</w:t>
      </w:r>
      <w:r w:rsidR="00193545">
        <w:rPr>
          <w:rFonts w:ascii="Arial" w:hAnsi="Arial" w:cs="Arial"/>
        </w:rPr>
        <w:t xml:space="preserve"> (Vargas, 2014)</w:t>
      </w:r>
      <w:r w:rsidRPr="002727DE">
        <w:rPr>
          <w:rFonts w:ascii="Arial" w:hAnsi="Arial" w:cs="Arial"/>
        </w:rPr>
        <w:t xml:space="preserve">. </w:t>
      </w:r>
    </w:p>
    <w:p w14:paraId="6645D660" w14:textId="77777777" w:rsidR="002F6212" w:rsidRDefault="002F6212" w:rsidP="002F6212"/>
    <w:p w14:paraId="203E129E" w14:textId="796DEE54" w:rsidR="002F6212" w:rsidRPr="00B31FDC" w:rsidRDefault="002F6212" w:rsidP="00B31FDC">
      <w:pPr>
        <w:pStyle w:val="Ttulo3"/>
        <w:numPr>
          <w:ilvl w:val="0"/>
          <w:numId w:val="12"/>
        </w:numPr>
        <w:rPr>
          <w:color w:val="000000" w:themeColor="text1"/>
        </w:rPr>
      </w:pPr>
      <w:bookmarkStart w:id="28" w:name="_Toc499918302"/>
      <w:r w:rsidRPr="00B31FDC">
        <w:rPr>
          <w:color w:val="000000" w:themeColor="text1"/>
        </w:rPr>
        <w:t>Política hacia Latinoamérica</w:t>
      </w:r>
      <w:bookmarkEnd w:id="28"/>
    </w:p>
    <w:p w14:paraId="085D06E7" w14:textId="563E4A38" w:rsidR="00C929F5" w:rsidRPr="009F2A77" w:rsidRDefault="00C929F5" w:rsidP="009F2A77">
      <w:pPr>
        <w:spacing w:line="360" w:lineRule="auto"/>
        <w:rPr>
          <w:rFonts w:ascii="Arial" w:hAnsi="Arial" w:cs="Arial"/>
        </w:rPr>
      </w:pPr>
      <w:r w:rsidRPr="009F2A77">
        <w:rPr>
          <w:rFonts w:ascii="Arial" w:hAnsi="Arial" w:cs="Arial"/>
        </w:rPr>
        <w:t>Otro enfoque que se consideró fueron los acuerdos de integración como la Iniciativa Energética Hemisférica para toda América</w:t>
      </w:r>
      <w:r w:rsidR="00193545">
        <w:rPr>
          <w:rFonts w:ascii="Arial" w:hAnsi="Arial" w:cs="Arial"/>
        </w:rPr>
        <w:t xml:space="preserve"> (Ruiz-Caro, 2006)</w:t>
      </w:r>
      <w:r w:rsidRPr="009F2A77">
        <w:rPr>
          <w:rFonts w:ascii="Arial" w:hAnsi="Arial" w:cs="Arial"/>
        </w:rPr>
        <w:t xml:space="preserve">. </w:t>
      </w:r>
    </w:p>
    <w:p w14:paraId="73DE74AD" w14:textId="2593C5DB" w:rsidR="00C929F5" w:rsidRDefault="00C929F5" w:rsidP="009F2A77">
      <w:pPr>
        <w:spacing w:line="360" w:lineRule="auto"/>
        <w:rPr>
          <w:rFonts w:ascii="Arial" w:hAnsi="Arial" w:cs="Arial"/>
        </w:rPr>
      </w:pPr>
      <w:r w:rsidRPr="009F2A77">
        <w:rPr>
          <w:rFonts w:ascii="Arial" w:hAnsi="Arial" w:cs="Arial"/>
        </w:rPr>
        <w:t xml:space="preserve">Bajo el marco de la Iniciativa Energética Hemisférica, EE.UU. intentó poner en práctica la recomendación del reporte </w:t>
      </w:r>
      <w:proofErr w:type="spellStart"/>
      <w:r w:rsidRPr="009F2A77">
        <w:rPr>
          <w:rFonts w:ascii="Arial" w:hAnsi="Arial" w:cs="Arial"/>
        </w:rPr>
        <w:t>Cheney</w:t>
      </w:r>
      <w:proofErr w:type="spellEnd"/>
      <w:r w:rsidRPr="009F2A77">
        <w:rPr>
          <w:rFonts w:ascii="Arial" w:hAnsi="Arial" w:cs="Arial"/>
        </w:rPr>
        <w:t xml:space="preserve"> en la parte de diversificación de las fuentes de importación y buscó </w:t>
      </w:r>
      <w:r w:rsidR="009F2A77">
        <w:rPr>
          <w:rFonts w:ascii="Arial" w:hAnsi="Arial" w:cs="Arial"/>
        </w:rPr>
        <w:t xml:space="preserve">incentivar la creación de un mercado energético americano. Esto se realizaría promoviendo la homologación de </w:t>
      </w:r>
      <w:r w:rsidRPr="009F2A77">
        <w:rPr>
          <w:rFonts w:ascii="Arial" w:hAnsi="Arial" w:cs="Arial"/>
        </w:rPr>
        <w:t xml:space="preserve">legislaciones </w:t>
      </w:r>
      <w:r w:rsidR="009F2A77">
        <w:rPr>
          <w:rFonts w:ascii="Arial" w:hAnsi="Arial" w:cs="Arial"/>
        </w:rPr>
        <w:t xml:space="preserve">además de que se </w:t>
      </w:r>
      <w:r w:rsidRPr="009F2A77">
        <w:rPr>
          <w:rFonts w:ascii="Arial" w:hAnsi="Arial" w:cs="Arial"/>
        </w:rPr>
        <w:t>crear</w:t>
      </w:r>
      <w:r w:rsidR="009F2A77">
        <w:rPr>
          <w:rFonts w:ascii="Arial" w:hAnsi="Arial" w:cs="Arial"/>
        </w:rPr>
        <w:t>ía</w:t>
      </w:r>
      <w:r w:rsidRPr="009F2A77">
        <w:rPr>
          <w:rFonts w:ascii="Arial" w:hAnsi="Arial" w:cs="Arial"/>
        </w:rPr>
        <w:t xml:space="preserve"> una red de comercio de energía q</w:t>
      </w:r>
      <w:r w:rsidR="009F2A77">
        <w:rPr>
          <w:rFonts w:ascii="Arial" w:hAnsi="Arial" w:cs="Arial"/>
        </w:rPr>
        <w:t>ue sin duda favorecería a Estados Unidos</w:t>
      </w:r>
      <w:r w:rsidR="00193545">
        <w:rPr>
          <w:rFonts w:ascii="Arial" w:hAnsi="Arial" w:cs="Arial"/>
        </w:rPr>
        <w:t xml:space="preserve"> (Ruiz-Caro, 2006)</w:t>
      </w:r>
      <w:r w:rsidR="009F2A77">
        <w:rPr>
          <w:rFonts w:ascii="Arial" w:hAnsi="Arial" w:cs="Arial"/>
        </w:rPr>
        <w:t>.</w:t>
      </w:r>
      <w:r w:rsidRPr="009F2A77">
        <w:rPr>
          <w:rFonts w:ascii="Arial" w:hAnsi="Arial" w:cs="Arial"/>
        </w:rPr>
        <w:t xml:space="preserve"> </w:t>
      </w:r>
    </w:p>
    <w:p w14:paraId="382F09DC" w14:textId="0B4574C9" w:rsidR="00C929F5" w:rsidRDefault="009F2A77" w:rsidP="007235C6">
      <w:pPr>
        <w:spacing w:line="360" w:lineRule="auto"/>
        <w:rPr>
          <w:rFonts w:ascii="Arial" w:hAnsi="Arial" w:cs="Arial"/>
        </w:rPr>
      </w:pPr>
      <w:r>
        <w:rPr>
          <w:rFonts w:ascii="Arial" w:hAnsi="Arial" w:cs="Arial"/>
        </w:rPr>
        <w:t xml:space="preserve">A pesar de que se </w:t>
      </w:r>
      <w:r w:rsidR="007235C6">
        <w:rPr>
          <w:rFonts w:ascii="Arial" w:hAnsi="Arial" w:cs="Arial"/>
        </w:rPr>
        <w:t xml:space="preserve">llevaron a cabo diversas cumbres de países, con la llegada de nuevos gobiernos </w:t>
      </w:r>
      <w:r w:rsidR="00C929F5" w:rsidRPr="009F2A77">
        <w:rPr>
          <w:rFonts w:ascii="Arial" w:hAnsi="Arial" w:cs="Arial"/>
        </w:rPr>
        <w:t>a Brasil Argentina y Uruguay</w:t>
      </w:r>
      <w:r w:rsidR="007235C6">
        <w:rPr>
          <w:rFonts w:ascii="Arial" w:hAnsi="Arial" w:cs="Arial"/>
        </w:rPr>
        <w:t>, el paradigma de la Iniciativa se modificó</w:t>
      </w:r>
      <w:r w:rsidR="002654F1">
        <w:rPr>
          <w:rFonts w:ascii="Arial" w:hAnsi="Arial" w:cs="Arial"/>
        </w:rPr>
        <w:t>,</w:t>
      </w:r>
      <w:r w:rsidR="007235C6">
        <w:rPr>
          <w:rFonts w:ascii="Arial" w:hAnsi="Arial" w:cs="Arial"/>
        </w:rPr>
        <w:t xml:space="preserve"> lo que causó</w:t>
      </w:r>
      <w:r w:rsidR="00C929F5" w:rsidRPr="009F2A77">
        <w:rPr>
          <w:rFonts w:ascii="Arial" w:hAnsi="Arial" w:cs="Arial"/>
        </w:rPr>
        <w:t xml:space="preserve"> que se revisaran las políticas liberalizadoras y se comenzó una planificación estatal. En general hubo dificultades internas que entorpecieron las reuniones de la Iniciativa Energética Hemisférica y en vez de abordar la iniciativa como un tema para la integración </w:t>
      </w:r>
      <w:r w:rsidR="00C929F5" w:rsidRPr="009F2A77">
        <w:rPr>
          <w:rFonts w:ascii="Arial" w:hAnsi="Arial" w:cs="Arial"/>
        </w:rPr>
        <w:lastRenderedPageBreak/>
        <w:t>energética, se comenzó a discutir sobre el uso eficiente y las tecnologías limpias</w:t>
      </w:r>
      <w:r w:rsidR="00193545">
        <w:rPr>
          <w:rFonts w:ascii="Arial" w:hAnsi="Arial" w:cs="Arial"/>
        </w:rPr>
        <w:t xml:space="preserve"> (Ruiz-Caro, 2006)</w:t>
      </w:r>
      <w:r w:rsidR="00C929F5" w:rsidRPr="009F2A77">
        <w:rPr>
          <w:rFonts w:ascii="Arial" w:hAnsi="Arial" w:cs="Arial"/>
        </w:rPr>
        <w:t xml:space="preserve">. </w:t>
      </w:r>
      <w:r w:rsidR="00C929F5" w:rsidRPr="009F2A77">
        <w:rPr>
          <w:rFonts w:ascii="Arial" w:hAnsi="Arial" w:cs="Arial"/>
        </w:rPr>
        <w:tab/>
      </w:r>
    </w:p>
    <w:p w14:paraId="7F99FDE2" w14:textId="59282787" w:rsidR="00C929F5" w:rsidRDefault="009F2A77" w:rsidP="00CB351C">
      <w:pPr>
        <w:spacing w:line="360" w:lineRule="auto"/>
        <w:rPr>
          <w:rFonts w:ascii="Arial" w:hAnsi="Arial" w:cs="Arial"/>
        </w:rPr>
      </w:pPr>
      <w:r w:rsidRPr="009F2A77">
        <w:rPr>
          <w:rFonts w:ascii="Arial" w:hAnsi="Arial" w:cs="Arial"/>
        </w:rPr>
        <w:t>Esta iniciativa no trascendió en su momento debido a los procesos internos de los países</w:t>
      </w:r>
      <w:r>
        <w:rPr>
          <w:rFonts w:ascii="Arial" w:hAnsi="Arial" w:cs="Arial"/>
        </w:rPr>
        <w:t xml:space="preserve"> latinoamericanos</w:t>
      </w:r>
      <w:r w:rsidR="007235C6">
        <w:rPr>
          <w:rFonts w:ascii="Arial" w:hAnsi="Arial" w:cs="Arial"/>
        </w:rPr>
        <w:t xml:space="preserve">, no obstante, el comercio energético con Canadá, México y Venezuela continuó. </w:t>
      </w:r>
      <w:r w:rsidR="00C929F5" w:rsidRPr="007235C6">
        <w:rPr>
          <w:rFonts w:ascii="Arial" w:hAnsi="Arial" w:cs="Arial"/>
        </w:rPr>
        <w:t>Si bien en 2006, la distribución de las importaciones estadounidenses de petróleo se centraban en tres países (Canadá, Arabia Saudita, México y Venezuela)  Canadá representaba el 18% y México el 13%. Las reservas petroleras de ambos países tiene una vida útil reducida y a pesar de desarrollar infraestructura energética, no existe un mercado común de energía. Es decir, a pesar de haber un comercio importante e interdependencia, no hay una integración</w:t>
      </w:r>
      <w:r w:rsidR="005B6D20">
        <w:rPr>
          <w:rFonts w:ascii="Arial" w:hAnsi="Arial" w:cs="Arial"/>
        </w:rPr>
        <w:t xml:space="preserve"> del mercado</w:t>
      </w:r>
      <w:r w:rsidR="00193545">
        <w:rPr>
          <w:rFonts w:ascii="Arial" w:hAnsi="Arial" w:cs="Arial"/>
        </w:rPr>
        <w:t xml:space="preserve"> (Ruiz-Caro, 2006)</w:t>
      </w:r>
      <w:r w:rsidR="00C929F5" w:rsidRPr="007235C6">
        <w:rPr>
          <w:rFonts w:ascii="Arial" w:hAnsi="Arial" w:cs="Arial"/>
        </w:rPr>
        <w:t xml:space="preserve">. </w:t>
      </w:r>
    </w:p>
    <w:p w14:paraId="30999B55" w14:textId="77777777" w:rsidR="009F1996" w:rsidRPr="007235C6" w:rsidRDefault="009F1996" w:rsidP="00CB351C">
      <w:pPr>
        <w:spacing w:line="360" w:lineRule="auto"/>
        <w:rPr>
          <w:rFonts w:ascii="Arial" w:hAnsi="Arial" w:cs="Arial"/>
        </w:rPr>
      </w:pPr>
    </w:p>
    <w:p w14:paraId="51ADB372" w14:textId="533EEF43" w:rsidR="002F6212" w:rsidRPr="00B31FDC" w:rsidRDefault="00B367AA" w:rsidP="00B31FDC">
      <w:pPr>
        <w:pStyle w:val="Ttulo3"/>
        <w:numPr>
          <w:ilvl w:val="0"/>
          <w:numId w:val="12"/>
        </w:numPr>
        <w:rPr>
          <w:color w:val="000000" w:themeColor="text1"/>
        </w:rPr>
      </w:pPr>
      <w:bookmarkStart w:id="29" w:name="_Toc499918303"/>
      <w:r w:rsidRPr="00B31FDC">
        <w:rPr>
          <w:color w:val="000000" w:themeColor="text1"/>
        </w:rPr>
        <w:t>Ley de Política Energética de 2005</w:t>
      </w:r>
      <w:bookmarkEnd w:id="29"/>
    </w:p>
    <w:p w14:paraId="01923304" w14:textId="128A2597" w:rsidR="000C29DF" w:rsidRDefault="000C29DF" w:rsidP="00CB351C">
      <w:pPr>
        <w:spacing w:line="360" w:lineRule="auto"/>
        <w:rPr>
          <w:rFonts w:ascii="Arial" w:hAnsi="Arial" w:cs="Arial"/>
        </w:rPr>
      </w:pPr>
      <w:r>
        <w:rPr>
          <w:rFonts w:ascii="Arial" w:hAnsi="Arial" w:cs="Arial"/>
        </w:rPr>
        <w:t xml:space="preserve">La Ley de Política Energética de 2005 es la primera ley comprehensiva en más de diez años que incluye legislación a nivel nacional sobre energía. Misma que provee de incentivos fiscales </w:t>
      </w:r>
      <w:r w:rsidR="001372FA">
        <w:rPr>
          <w:rFonts w:ascii="Arial" w:hAnsi="Arial" w:cs="Arial"/>
        </w:rPr>
        <w:t>por</w:t>
      </w:r>
      <w:r>
        <w:rPr>
          <w:rFonts w:ascii="Arial" w:hAnsi="Arial" w:cs="Arial"/>
        </w:rPr>
        <w:t xml:space="preserve"> $14.5 mil millones de dólares</w:t>
      </w:r>
      <w:r w:rsidR="001372FA">
        <w:rPr>
          <w:rFonts w:ascii="Arial" w:hAnsi="Arial" w:cs="Arial"/>
        </w:rPr>
        <w:t xml:space="preserve"> (Govtracks.us, 2017)</w:t>
      </w:r>
      <w:r>
        <w:rPr>
          <w:rFonts w:ascii="Arial" w:hAnsi="Arial" w:cs="Arial"/>
        </w:rPr>
        <w:t>.</w:t>
      </w:r>
    </w:p>
    <w:p w14:paraId="0FCA0F6F" w14:textId="0B182545" w:rsidR="00B367AA" w:rsidRDefault="00CB351C" w:rsidP="00CB351C">
      <w:pPr>
        <w:spacing w:line="360" w:lineRule="auto"/>
        <w:rPr>
          <w:rFonts w:ascii="Arial" w:hAnsi="Arial" w:cs="Arial"/>
        </w:rPr>
      </w:pPr>
      <w:r w:rsidRPr="00CB351C">
        <w:rPr>
          <w:rFonts w:ascii="Arial" w:hAnsi="Arial" w:cs="Arial"/>
        </w:rPr>
        <w:t xml:space="preserve">Dentro de la Ley de Política Energética de 2005 se designa la </w:t>
      </w:r>
      <w:r w:rsidR="00B367AA" w:rsidRPr="00CB351C">
        <w:rPr>
          <w:rFonts w:ascii="Arial" w:hAnsi="Arial" w:cs="Arial"/>
        </w:rPr>
        <w:t xml:space="preserve"> Ley de 2005 de Petróleo </w:t>
      </w:r>
      <w:proofErr w:type="spellStart"/>
      <w:r w:rsidR="00B367AA" w:rsidRPr="00CB351C">
        <w:rPr>
          <w:rFonts w:ascii="Arial" w:hAnsi="Arial" w:cs="Arial"/>
        </w:rPr>
        <w:t>Shale</w:t>
      </w:r>
      <w:proofErr w:type="spellEnd"/>
      <w:r w:rsidR="00B367AA" w:rsidRPr="00CB351C">
        <w:rPr>
          <w:rFonts w:ascii="Arial" w:hAnsi="Arial" w:cs="Arial"/>
        </w:rPr>
        <w:t>, Arenas Bituminosas y  Otros Combustibles Estratégicos.</w:t>
      </w:r>
      <w:r w:rsidRPr="00CB351C">
        <w:rPr>
          <w:rFonts w:ascii="Arial" w:hAnsi="Arial" w:cs="Arial"/>
        </w:rPr>
        <w:t xml:space="preserve"> Ésta permite arrendar tierras federales</w:t>
      </w:r>
      <w:r w:rsidR="00B367AA" w:rsidRPr="00CB351C">
        <w:rPr>
          <w:rFonts w:ascii="Arial" w:hAnsi="Arial" w:cs="Arial"/>
        </w:rPr>
        <w:t xml:space="preserve"> en los estados de Colorado, Utah y Wyoming</w:t>
      </w:r>
      <w:r w:rsidR="002856C5" w:rsidRPr="00CB351C">
        <w:rPr>
          <w:rFonts w:ascii="Arial" w:hAnsi="Arial" w:cs="Arial"/>
        </w:rPr>
        <w:t xml:space="preserve"> (en la región de </w:t>
      </w:r>
      <w:r w:rsidR="00665474">
        <w:rPr>
          <w:rFonts w:ascii="Arial" w:hAnsi="Arial" w:cs="Arial"/>
        </w:rPr>
        <w:t>Río Verde</w:t>
      </w:r>
      <w:r w:rsidR="002856C5" w:rsidRPr="00CB351C">
        <w:rPr>
          <w:rFonts w:ascii="Arial" w:hAnsi="Arial" w:cs="Arial"/>
        </w:rPr>
        <w:t>)</w:t>
      </w:r>
      <w:r w:rsidR="00B367AA" w:rsidRPr="00CB351C">
        <w:rPr>
          <w:rFonts w:ascii="Arial" w:hAnsi="Arial" w:cs="Arial"/>
        </w:rPr>
        <w:t xml:space="preserve"> para actividades de investigación, desarrollo y recuperación de combustibles de petróleo </w:t>
      </w:r>
      <w:proofErr w:type="spellStart"/>
      <w:r w:rsidR="00B367AA" w:rsidRPr="0083210D">
        <w:rPr>
          <w:rFonts w:ascii="Arial" w:hAnsi="Arial" w:cs="Arial"/>
          <w:i/>
        </w:rPr>
        <w:t>shale</w:t>
      </w:r>
      <w:proofErr w:type="spellEnd"/>
      <w:r w:rsidR="00B367AA" w:rsidRPr="00CB351C">
        <w:rPr>
          <w:rFonts w:ascii="Arial" w:hAnsi="Arial" w:cs="Arial"/>
        </w:rPr>
        <w:t xml:space="preserve"> y arenas bituminosas</w:t>
      </w:r>
      <w:r w:rsidR="001372FA">
        <w:rPr>
          <w:rFonts w:ascii="Arial" w:hAnsi="Arial" w:cs="Arial"/>
        </w:rPr>
        <w:t xml:space="preserve"> (Randall, 2006)</w:t>
      </w:r>
      <w:r w:rsidR="00B367AA" w:rsidRPr="00CB351C">
        <w:rPr>
          <w:rFonts w:ascii="Arial" w:hAnsi="Arial" w:cs="Arial"/>
        </w:rPr>
        <w:t>.</w:t>
      </w:r>
    </w:p>
    <w:p w14:paraId="58D0D61D" w14:textId="34B99568" w:rsidR="001372FA" w:rsidRDefault="001372FA" w:rsidP="001372FA">
      <w:pPr>
        <w:spacing w:line="360" w:lineRule="auto"/>
        <w:rPr>
          <w:rFonts w:ascii="Arial" w:hAnsi="Arial" w:cs="Arial"/>
        </w:rPr>
      </w:pPr>
      <w:r>
        <w:rPr>
          <w:rFonts w:ascii="Arial" w:hAnsi="Arial" w:cs="Arial"/>
        </w:rPr>
        <w:t>Dicha ley realiza modificaciones a la cantidad de tierra que se puede arrendar para las actividades de investigación y recuperación de recursos</w:t>
      </w:r>
      <w:r w:rsidR="002654F1">
        <w:rPr>
          <w:rFonts w:ascii="Arial" w:hAnsi="Arial" w:cs="Arial"/>
        </w:rPr>
        <w:t xml:space="preserve">, y </w:t>
      </w:r>
      <w:r>
        <w:rPr>
          <w:rFonts w:ascii="Arial" w:hAnsi="Arial" w:cs="Arial"/>
        </w:rPr>
        <w:t>cambia los costos de la renta de las tierras federales.</w:t>
      </w:r>
    </w:p>
    <w:p w14:paraId="2B152706" w14:textId="4EA58010" w:rsidR="0047512E" w:rsidRDefault="0047512E" w:rsidP="001372FA">
      <w:pPr>
        <w:spacing w:line="360" w:lineRule="auto"/>
        <w:rPr>
          <w:rFonts w:ascii="Arial" w:hAnsi="Arial" w:cs="Arial"/>
        </w:rPr>
      </w:pPr>
      <w:r>
        <w:rPr>
          <w:rFonts w:ascii="Arial" w:hAnsi="Arial" w:cs="Arial"/>
        </w:rPr>
        <w:t>En cuanto a los subsidios a las actividades de investigación y recuperación, la legislación da exenciones en el pago de impuestos y permite otorga</w:t>
      </w:r>
      <w:r w:rsidR="002654F1">
        <w:rPr>
          <w:rFonts w:ascii="Arial" w:hAnsi="Arial" w:cs="Arial"/>
        </w:rPr>
        <w:t>r</w:t>
      </w:r>
      <w:r>
        <w:rPr>
          <w:rFonts w:ascii="Arial" w:hAnsi="Arial" w:cs="Arial"/>
        </w:rPr>
        <w:t xml:space="preserve"> créditos gubernamentales a las empresas. </w:t>
      </w:r>
    </w:p>
    <w:p w14:paraId="7E977BF3" w14:textId="3E2EB204" w:rsidR="00A750D1" w:rsidRDefault="00A750D1" w:rsidP="001372FA">
      <w:pPr>
        <w:spacing w:line="360" w:lineRule="auto"/>
        <w:rPr>
          <w:rFonts w:ascii="Arial" w:hAnsi="Arial" w:cs="Arial"/>
        </w:rPr>
      </w:pPr>
      <w:r>
        <w:rPr>
          <w:rFonts w:ascii="Arial" w:hAnsi="Arial" w:cs="Arial"/>
        </w:rPr>
        <w:t>La ley determina que el Departamento del Interior permita el arrendamiento</w:t>
      </w:r>
      <w:r w:rsidR="002654F1">
        <w:rPr>
          <w:rFonts w:ascii="Arial" w:hAnsi="Arial" w:cs="Arial"/>
        </w:rPr>
        <w:t>,</w:t>
      </w:r>
      <w:r>
        <w:rPr>
          <w:rFonts w:ascii="Arial" w:hAnsi="Arial" w:cs="Arial"/>
        </w:rPr>
        <w:t xml:space="preserve"> ya que se considera necesario el desarrollo de actividades de investigación y desarrollo dentro de un periodo de 6 meses una vez que</w:t>
      </w:r>
      <w:r w:rsidR="001372FA">
        <w:rPr>
          <w:rFonts w:ascii="Arial" w:hAnsi="Arial" w:cs="Arial"/>
        </w:rPr>
        <w:t xml:space="preserve"> la legislación fuera aprobada (Randall, 2006).</w:t>
      </w:r>
    </w:p>
    <w:p w14:paraId="5350F7C6" w14:textId="6E082097" w:rsidR="005D7416" w:rsidRDefault="005D7416" w:rsidP="001372FA">
      <w:pPr>
        <w:spacing w:line="360" w:lineRule="auto"/>
        <w:rPr>
          <w:rFonts w:ascii="Arial" w:hAnsi="Arial" w:cs="Arial"/>
        </w:rPr>
      </w:pPr>
      <w:r>
        <w:rPr>
          <w:rFonts w:ascii="Arial" w:hAnsi="Arial" w:cs="Arial"/>
        </w:rPr>
        <w:lastRenderedPageBreak/>
        <w:t>La ley de Política energética solicitó a la Secretaría del Interior establecer un programa que emitiera arrendamientos para investigación y desarrollo</w:t>
      </w:r>
      <w:r w:rsidR="001372FA">
        <w:rPr>
          <w:rFonts w:ascii="Arial" w:hAnsi="Arial" w:cs="Arial"/>
        </w:rPr>
        <w:t xml:space="preserve">  (Randall, 2006)</w:t>
      </w:r>
      <w:r>
        <w:rPr>
          <w:rFonts w:ascii="Arial" w:hAnsi="Arial" w:cs="Arial"/>
        </w:rPr>
        <w:t>.</w:t>
      </w:r>
      <w:r w:rsidR="001372FA">
        <w:rPr>
          <w:rFonts w:ascii="Arial" w:hAnsi="Arial" w:cs="Arial"/>
        </w:rPr>
        <w:t xml:space="preserve"> </w:t>
      </w:r>
      <w:r w:rsidR="00E41B83">
        <w:rPr>
          <w:rFonts w:ascii="Arial" w:hAnsi="Arial" w:cs="Arial"/>
        </w:rPr>
        <w:t>Se habilit</w:t>
      </w:r>
      <w:r w:rsidR="001372FA">
        <w:rPr>
          <w:rFonts w:ascii="Arial" w:hAnsi="Arial" w:cs="Arial"/>
        </w:rPr>
        <w:t>ó</w:t>
      </w:r>
      <w:r w:rsidR="00E41B83">
        <w:rPr>
          <w:rFonts w:ascii="Arial" w:hAnsi="Arial" w:cs="Arial"/>
        </w:rPr>
        <w:t xml:space="preserve"> el subsidio denominado “permiso de porcentaje de agotamiento”, el cual permite a los productores deducir el 15% del ingreso total por el costo de agotamiento de los depósitos </w:t>
      </w:r>
      <w:proofErr w:type="spellStart"/>
      <w:r w:rsidR="00E41B83" w:rsidRPr="0083210D">
        <w:rPr>
          <w:rFonts w:ascii="Arial" w:hAnsi="Arial" w:cs="Arial"/>
          <w:i/>
        </w:rPr>
        <w:t>shale</w:t>
      </w:r>
      <w:proofErr w:type="spellEnd"/>
      <w:r w:rsidR="00E41B83">
        <w:rPr>
          <w:rFonts w:ascii="Arial" w:hAnsi="Arial" w:cs="Arial"/>
        </w:rPr>
        <w:t>.</w:t>
      </w:r>
    </w:p>
    <w:p w14:paraId="7548849C" w14:textId="01A9E83F" w:rsidR="00E41B83" w:rsidRDefault="00E41B83" w:rsidP="001372FA">
      <w:pPr>
        <w:spacing w:line="360" w:lineRule="auto"/>
        <w:rPr>
          <w:rFonts w:ascii="Arial" w:hAnsi="Arial" w:cs="Arial"/>
        </w:rPr>
      </w:pPr>
      <w:r>
        <w:rPr>
          <w:rFonts w:ascii="Arial" w:hAnsi="Arial" w:cs="Arial"/>
        </w:rPr>
        <w:t xml:space="preserve">La amortización de los gastos geológicos y geofísicos de dos años por créditos fiscales permite deducir todos los costos incurridos durante dos años de exploración de petróleo y gas </w:t>
      </w:r>
      <w:proofErr w:type="spellStart"/>
      <w:r w:rsidRPr="0083210D">
        <w:rPr>
          <w:rFonts w:ascii="Arial" w:hAnsi="Arial" w:cs="Arial"/>
          <w:i/>
        </w:rPr>
        <w:t>shale</w:t>
      </w:r>
      <w:proofErr w:type="spellEnd"/>
      <w:r>
        <w:rPr>
          <w:rFonts w:ascii="Arial" w:hAnsi="Arial" w:cs="Arial"/>
        </w:rPr>
        <w:t>. (</w:t>
      </w:r>
      <w:proofErr w:type="spellStart"/>
      <w:r w:rsidR="00E436DE">
        <w:rPr>
          <w:rFonts w:ascii="Arial" w:hAnsi="Arial" w:cs="Arial"/>
        </w:rPr>
        <w:t>Hanna</w:t>
      </w:r>
      <w:proofErr w:type="spellEnd"/>
      <w:r w:rsidR="00E436DE">
        <w:rPr>
          <w:rFonts w:ascii="Arial" w:hAnsi="Arial" w:cs="Arial"/>
        </w:rPr>
        <w:t>, 2012</w:t>
      </w:r>
      <w:r>
        <w:rPr>
          <w:rFonts w:ascii="Arial" w:hAnsi="Arial" w:cs="Arial"/>
        </w:rPr>
        <w:t>)</w:t>
      </w:r>
    </w:p>
    <w:p w14:paraId="39037542" w14:textId="6E055338" w:rsidR="007D1A5A" w:rsidRDefault="00E41B83" w:rsidP="001372FA">
      <w:pPr>
        <w:spacing w:line="360" w:lineRule="auto"/>
        <w:rPr>
          <w:rFonts w:ascii="Arial" w:hAnsi="Arial" w:cs="Arial"/>
        </w:rPr>
      </w:pPr>
      <w:r>
        <w:rPr>
          <w:rFonts w:ascii="Arial" w:hAnsi="Arial" w:cs="Arial"/>
        </w:rPr>
        <w:t>La Le</w:t>
      </w:r>
      <w:r w:rsidR="007D1A5A">
        <w:rPr>
          <w:rFonts w:ascii="Arial" w:hAnsi="Arial" w:cs="Arial"/>
        </w:rPr>
        <w:t>y</w:t>
      </w:r>
      <w:r>
        <w:rPr>
          <w:rFonts w:ascii="Arial" w:hAnsi="Arial" w:cs="Arial"/>
        </w:rPr>
        <w:t xml:space="preserve"> de Política Energética enmendó la Ley de Arrendamiento Minero incrementando el tamaño de las licitaciones federales, </w:t>
      </w:r>
      <w:r w:rsidR="007D1A5A">
        <w:rPr>
          <w:rFonts w:ascii="Arial" w:hAnsi="Arial" w:cs="Arial"/>
        </w:rPr>
        <w:t xml:space="preserve">incrementó las rentas y la cantidad de tierra federal que un arrendatario podría tener. </w:t>
      </w:r>
      <w:r w:rsidR="00E436DE">
        <w:rPr>
          <w:rFonts w:ascii="Arial" w:hAnsi="Arial" w:cs="Arial"/>
        </w:rPr>
        <w:t>(Randall, 2006)</w:t>
      </w:r>
    </w:p>
    <w:p w14:paraId="3B22544F" w14:textId="2164C782" w:rsidR="007D1A5A" w:rsidRDefault="007D1A5A" w:rsidP="001372FA">
      <w:pPr>
        <w:spacing w:line="360" w:lineRule="auto"/>
        <w:rPr>
          <w:rFonts w:ascii="Arial" w:hAnsi="Arial" w:cs="Arial"/>
        </w:rPr>
      </w:pPr>
      <w:r>
        <w:rPr>
          <w:rFonts w:ascii="Arial" w:hAnsi="Arial" w:cs="Arial"/>
        </w:rPr>
        <w:t>El tamaño de los arrenda</w:t>
      </w:r>
      <w:r w:rsidR="001372FA">
        <w:rPr>
          <w:rFonts w:ascii="Arial" w:hAnsi="Arial" w:cs="Arial"/>
        </w:rPr>
        <w:t>mientos individuales se aumentó</w:t>
      </w:r>
      <w:r>
        <w:rPr>
          <w:rFonts w:ascii="Arial" w:hAnsi="Arial" w:cs="Arial"/>
        </w:rPr>
        <w:t xml:space="preserve"> de 5</w:t>
      </w:r>
      <w:r w:rsidR="00F20630">
        <w:rPr>
          <w:rFonts w:ascii="Arial" w:hAnsi="Arial" w:cs="Arial"/>
        </w:rPr>
        <w:t>,</w:t>
      </w:r>
      <w:r>
        <w:rPr>
          <w:rFonts w:ascii="Arial" w:hAnsi="Arial" w:cs="Arial"/>
        </w:rPr>
        <w:t>120 acres a 5</w:t>
      </w:r>
      <w:r w:rsidR="00F20630">
        <w:rPr>
          <w:rFonts w:ascii="Arial" w:hAnsi="Arial" w:cs="Arial"/>
        </w:rPr>
        <w:t>,</w:t>
      </w:r>
      <w:r>
        <w:rPr>
          <w:rFonts w:ascii="Arial" w:hAnsi="Arial" w:cs="Arial"/>
        </w:rPr>
        <w:t>760 acres.</w:t>
      </w:r>
      <w:r w:rsidR="001A721A">
        <w:rPr>
          <w:rFonts w:ascii="Arial" w:hAnsi="Arial" w:cs="Arial"/>
        </w:rPr>
        <w:t xml:space="preserve"> </w:t>
      </w:r>
      <w:r>
        <w:rPr>
          <w:rFonts w:ascii="Arial" w:hAnsi="Arial" w:cs="Arial"/>
        </w:rPr>
        <w:t>El costo de la renta se incrementó de $0.50 dólares por acre a $2.00</w:t>
      </w:r>
      <w:r w:rsidR="001A721A">
        <w:rPr>
          <w:rFonts w:ascii="Arial" w:hAnsi="Arial" w:cs="Arial"/>
        </w:rPr>
        <w:t>.</w:t>
      </w:r>
    </w:p>
    <w:p w14:paraId="5BA113F4" w14:textId="4CB79575" w:rsidR="007D1A5A" w:rsidRDefault="007D1A5A" w:rsidP="001372FA">
      <w:pPr>
        <w:spacing w:line="360" w:lineRule="auto"/>
        <w:rPr>
          <w:rFonts w:ascii="Arial" w:hAnsi="Arial" w:cs="Arial"/>
        </w:rPr>
      </w:pPr>
      <w:r>
        <w:rPr>
          <w:rFonts w:ascii="Arial" w:hAnsi="Arial" w:cs="Arial"/>
        </w:rPr>
        <w:t xml:space="preserve">Se incrementó la cantidad de acres que una persona o compañía tiene derecho a poseer bajo el arrendamiento de petróleo </w:t>
      </w:r>
      <w:proofErr w:type="spellStart"/>
      <w:r w:rsidRPr="0083210D">
        <w:rPr>
          <w:rFonts w:ascii="Arial" w:hAnsi="Arial" w:cs="Arial"/>
          <w:i/>
        </w:rPr>
        <w:t>shale</w:t>
      </w:r>
      <w:proofErr w:type="spellEnd"/>
      <w:r>
        <w:rPr>
          <w:rFonts w:ascii="Arial" w:hAnsi="Arial" w:cs="Arial"/>
        </w:rPr>
        <w:t xml:space="preserve"> en un estado. Anteriormente solo se permitía tener una sola participación de 5120 </w:t>
      </w:r>
      <w:r w:rsidR="009F1996">
        <w:rPr>
          <w:rFonts w:ascii="Arial" w:hAnsi="Arial" w:cs="Arial"/>
        </w:rPr>
        <w:t xml:space="preserve">acres. El incremento permitió que </w:t>
      </w:r>
      <w:r>
        <w:rPr>
          <w:rFonts w:ascii="Arial" w:hAnsi="Arial" w:cs="Arial"/>
        </w:rPr>
        <w:t xml:space="preserve">una sola empresa </w:t>
      </w:r>
      <w:r w:rsidR="009F1996">
        <w:rPr>
          <w:rFonts w:ascii="Arial" w:hAnsi="Arial" w:cs="Arial"/>
        </w:rPr>
        <w:t>tuviera</w:t>
      </w:r>
      <w:r w:rsidR="0047512E">
        <w:rPr>
          <w:rFonts w:ascii="Arial" w:hAnsi="Arial" w:cs="Arial"/>
        </w:rPr>
        <w:t xml:space="preserve"> 50,000 acres en un estado</w:t>
      </w:r>
      <w:r>
        <w:rPr>
          <w:rFonts w:ascii="Arial" w:hAnsi="Arial" w:cs="Arial"/>
        </w:rPr>
        <w:t xml:space="preserve"> (</w:t>
      </w:r>
      <w:r w:rsidR="00E436DE">
        <w:rPr>
          <w:rFonts w:ascii="Arial" w:hAnsi="Arial" w:cs="Arial"/>
        </w:rPr>
        <w:t>Randall, 2006</w:t>
      </w:r>
      <w:r>
        <w:rPr>
          <w:rFonts w:ascii="Arial" w:hAnsi="Arial" w:cs="Arial"/>
        </w:rPr>
        <w:t>)</w:t>
      </w:r>
      <w:r w:rsidR="0047512E">
        <w:rPr>
          <w:rFonts w:ascii="Arial" w:hAnsi="Arial" w:cs="Arial"/>
        </w:rPr>
        <w:t>.</w:t>
      </w:r>
    </w:p>
    <w:p w14:paraId="0FE8CA39" w14:textId="77777777" w:rsidR="009F1996" w:rsidRDefault="009F1996" w:rsidP="003A5C93">
      <w:pPr>
        <w:spacing w:line="360" w:lineRule="auto"/>
        <w:rPr>
          <w:rFonts w:ascii="Arial" w:hAnsi="Arial" w:cs="Arial"/>
          <w:b/>
        </w:rPr>
      </w:pPr>
    </w:p>
    <w:p w14:paraId="628EE8FC" w14:textId="0D3DA245" w:rsidR="003A5C93" w:rsidRPr="00B31FDC" w:rsidRDefault="009F2C78" w:rsidP="00B31FDC">
      <w:pPr>
        <w:pStyle w:val="Ttulo2"/>
        <w:spacing w:after="240"/>
        <w:rPr>
          <w:color w:val="000000" w:themeColor="text1"/>
        </w:rPr>
      </w:pPr>
      <w:bookmarkStart w:id="30" w:name="_Toc499918304"/>
      <w:r w:rsidRPr="00B31FDC">
        <w:rPr>
          <w:color w:val="000000" w:themeColor="text1"/>
        </w:rPr>
        <w:t>Análisis</w:t>
      </w:r>
      <w:bookmarkEnd w:id="30"/>
    </w:p>
    <w:p w14:paraId="0E7D461A" w14:textId="17DBE350" w:rsidR="003C7C41" w:rsidRDefault="003C7C41" w:rsidP="003A5C93">
      <w:pPr>
        <w:spacing w:line="360" w:lineRule="auto"/>
        <w:rPr>
          <w:rFonts w:ascii="Arial" w:hAnsi="Arial" w:cs="Arial"/>
        </w:rPr>
      </w:pPr>
      <w:r>
        <w:rPr>
          <w:rFonts w:ascii="Arial" w:hAnsi="Arial" w:cs="Arial"/>
        </w:rPr>
        <w:t xml:space="preserve">Los intentos anteriores a la administración Bush hijo fueron importantes para dejar claro desde una perspectiva neorrealista que dentro del tema de la seguridad energética, el desarrollo de la industria del petróleo no convencional puede ser una forma de alcanzar la </w:t>
      </w:r>
      <w:proofErr w:type="gramStart"/>
      <w:r>
        <w:rPr>
          <w:rFonts w:ascii="Arial" w:hAnsi="Arial" w:cs="Arial"/>
        </w:rPr>
        <w:t>seguridad</w:t>
      </w:r>
      <w:proofErr w:type="gramEnd"/>
      <w:r>
        <w:rPr>
          <w:rFonts w:ascii="Arial" w:hAnsi="Arial" w:cs="Arial"/>
        </w:rPr>
        <w:t xml:space="preserve">. Aunque fallidos durante la administración Carter, los esfuerzos para desarrollar la industria dejan un precedente que el reporte </w:t>
      </w:r>
      <w:proofErr w:type="spellStart"/>
      <w:r>
        <w:rPr>
          <w:rFonts w:ascii="Arial" w:hAnsi="Arial" w:cs="Arial"/>
        </w:rPr>
        <w:t>Cheney</w:t>
      </w:r>
      <w:proofErr w:type="spellEnd"/>
      <w:r>
        <w:rPr>
          <w:rFonts w:ascii="Arial" w:hAnsi="Arial" w:cs="Arial"/>
        </w:rPr>
        <w:t xml:space="preserve"> retoma.</w:t>
      </w:r>
    </w:p>
    <w:p w14:paraId="3B1F089C" w14:textId="2ADAEC7D" w:rsidR="003A5C93" w:rsidRDefault="003A5C93" w:rsidP="003A5C93">
      <w:pPr>
        <w:spacing w:line="360" w:lineRule="auto"/>
        <w:rPr>
          <w:rFonts w:ascii="Arial" w:hAnsi="Arial" w:cs="Arial"/>
        </w:rPr>
      </w:pPr>
      <w:r>
        <w:rPr>
          <w:rFonts w:ascii="Arial" w:hAnsi="Arial" w:cs="Arial"/>
        </w:rPr>
        <w:t xml:space="preserve">El reporte </w:t>
      </w:r>
      <w:proofErr w:type="spellStart"/>
      <w:r>
        <w:rPr>
          <w:rFonts w:ascii="Arial" w:hAnsi="Arial" w:cs="Arial"/>
        </w:rPr>
        <w:t>C</w:t>
      </w:r>
      <w:r w:rsidR="001E3E8E">
        <w:rPr>
          <w:rFonts w:ascii="Arial" w:hAnsi="Arial" w:cs="Arial"/>
        </w:rPr>
        <w:t>h</w:t>
      </w:r>
      <w:r>
        <w:rPr>
          <w:rFonts w:ascii="Arial" w:hAnsi="Arial" w:cs="Arial"/>
        </w:rPr>
        <w:t>eney</w:t>
      </w:r>
      <w:proofErr w:type="spellEnd"/>
      <w:r>
        <w:rPr>
          <w:rFonts w:ascii="Arial" w:hAnsi="Arial" w:cs="Arial"/>
        </w:rPr>
        <w:t xml:space="preserve"> </w:t>
      </w:r>
      <w:r w:rsidR="003C7C41">
        <w:rPr>
          <w:rFonts w:ascii="Arial" w:hAnsi="Arial" w:cs="Arial"/>
        </w:rPr>
        <w:t xml:space="preserve">por su parte fue la </w:t>
      </w:r>
      <w:r>
        <w:rPr>
          <w:rFonts w:ascii="Arial" w:hAnsi="Arial" w:cs="Arial"/>
        </w:rPr>
        <w:t>base para la redacción de la Ley de Seguridad Energética de 2005</w:t>
      </w:r>
      <w:r w:rsidR="000A00EB">
        <w:rPr>
          <w:rFonts w:ascii="Arial" w:hAnsi="Arial" w:cs="Arial"/>
        </w:rPr>
        <w:t>,</w:t>
      </w:r>
      <w:r>
        <w:rPr>
          <w:rFonts w:ascii="Arial" w:hAnsi="Arial" w:cs="Arial"/>
        </w:rPr>
        <w:t xml:space="preserve"> </w:t>
      </w:r>
      <w:r w:rsidR="000A00EB">
        <w:rPr>
          <w:rFonts w:ascii="Arial" w:hAnsi="Arial" w:cs="Arial"/>
        </w:rPr>
        <w:t>pues</w:t>
      </w:r>
      <w:r>
        <w:rPr>
          <w:rFonts w:ascii="Arial" w:hAnsi="Arial" w:cs="Arial"/>
        </w:rPr>
        <w:t xml:space="preserve"> explica los retos a futuro que la economía estadounidense tendría y realiza recomendaciones sobre cómo abordarlos.</w:t>
      </w:r>
    </w:p>
    <w:p w14:paraId="1147822B" w14:textId="21543CBE" w:rsidR="00E81DE9" w:rsidRDefault="001E3E8E" w:rsidP="003A5C93">
      <w:pPr>
        <w:spacing w:line="360" w:lineRule="auto"/>
        <w:rPr>
          <w:rFonts w:ascii="Arial" w:hAnsi="Arial" w:cs="Arial"/>
        </w:rPr>
      </w:pPr>
      <w:r>
        <w:rPr>
          <w:rFonts w:ascii="Arial" w:hAnsi="Arial" w:cs="Arial"/>
        </w:rPr>
        <w:t xml:space="preserve">El consumo ascendente </w:t>
      </w:r>
      <w:r w:rsidR="000A00EB">
        <w:rPr>
          <w:rFonts w:ascii="Arial" w:hAnsi="Arial" w:cs="Arial"/>
        </w:rPr>
        <w:t>proyectado y</w:t>
      </w:r>
      <w:r>
        <w:rPr>
          <w:rFonts w:ascii="Arial" w:hAnsi="Arial" w:cs="Arial"/>
        </w:rPr>
        <w:t xml:space="preserve"> una reducción de 1.5 millones de barriles al día en la producción nacional, dejan claro que el sector energético es un asunto de seguridad </w:t>
      </w:r>
      <w:r>
        <w:rPr>
          <w:rFonts w:ascii="Arial" w:hAnsi="Arial" w:cs="Arial"/>
        </w:rPr>
        <w:lastRenderedPageBreak/>
        <w:t>nacional que se debe entender como una política a largo plazo</w:t>
      </w:r>
      <w:r w:rsidR="000A00EB">
        <w:rPr>
          <w:rFonts w:ascii="Arial" w:hAnsi="Arial" w:cs="Arial"/>
        </w:rPr>
        <w:t>,</w:t>
      </w:r>
      <w:r>
        <w:rPr>
          <w:rFonts w:ascii="Arial" w:hAnsi="Arial" w:cs="Arial"/>
        </w:rPr>
        <w:t xml:space="preserve"> </w:t>
      </w:r>
      <w:r w:rsidR="009F1996">
        <w:rPr>
          <w:rFonts w:ascii="Arial" w:hAnsi="Arial" w:cs="Arial"/>
        </w:rPr>
        <w:t>y</w:t>
      </w:r>
      <w:r w:rsidR="00EB1E02">
        <w:rPr>
          <w:rFonts w:ascii="Arial" w:hAnsi="Arial" w:cs="Arial"/>
        </w:rPr>
        <w:t xml:space="preserve"> debe respetar la máxima de la seguridad energética</w:t>
      </w:r>
      <w:r w:rsidR="000A00EB">
        <w:rPr>
          <w:rFonts w:ascii="Arial" w:hAnsi="Arial" w:cs="Arial"/>
        </w:rPr>
        <w:t>:</w:t>
      </w:r>
      <w:r w:rsidR="00EB1E02">
        <w:rPr>
          <w:rFonts w:ascii="Arial" w:hAnsi="Arial" w:cs="Arial"/>
        </w:rPr>
        <w:t xml:space="preserve"> el suministro debe ser confiable y costeable. </w:t>
      </w:r>
    </w:p>
    <w:p w14:paraId="55F9B6CC" w14:textId="17467A09" w:rsidR="00EB1E02" w:rsidRDefault="00EB1E02" w:rsidP="003A5C93">
      <w:pPr>
        <w:spacing w:line="360" w:lineRule="auto"/>
        <w:rPr>
          <w:rFonts w:ascii="Arial" w:hAnsi="Arial" w:cs="Arial"/>
        </w:rPr>
      </w:pPr>
      <w:r>
        <w:rPr>
          <w:rFonts w:ascii="Arial" w:hAnsi="Arial" w:cs="Arial"/>
        </w:rPr>
        <w:t>Por esa razón, las recomendaciones del reporte como</w:t>
      </w:r>
      <w:r w:rsidR="009F1996">
        <w:rPr>
          <w:rFonts w:ascii="Arial" w:hAnsi="Arial" w:cs="Arial"/>
        </w:rPr>
        <w:t xml:space="preserve"> lo es</w:t>
      </w:r>
      <w:r>
        <w:rPr>
          <w:rFonts w:ascii="Arial" w:hAnsi="Arial" w:cs="Arial"/>
        </w:rPr>
        <w:t xml:space="preserve"> la diversificación en las fuentes de importación, llevan a la búsqueda de petróleo en regiones como Latinoamérica debido a su relativa estabilidad, o en Irak donde es posible tener una injerencia directa en las decisiones nacionales para reducir los riesgos que implica continuar importando petróleo de países que no se adapten a la ideología e intereses estadounidenses como </w:t>
      </w:r>
      <w:r w:rsidR="009F1996">
        <w:rPr>
          <w:rFonts w:ascii="Arial" w:hAnsi="Arial" w:cs="Arial"/>
        </w:rPr>
        <w:t>los países miembros de la</w:t>
      </w:r>
      <w:r>
        <w:rPr>
          <w:rFonts w:ascii="Arial" w:hAnsi="Arial" w:cs="Arial"/>
        </w:rPr>
        <w:t xml:space="preserve"> OPEP.</w:t>
      </w:r>
    </w:p>
    <w:p w14:paraId="7DF07563" w14:textId="67E69BA1" w:rsidR="001E3E8E" w:rsidRDefault="00EB1E02" w:rsidP="003A5C93">
      <w:pPr>
        <w:spacing w:line="360" w:lineRule="auto"/>
        <w:rPr>
          <w:rFonts w:ascii="Arial" w:hAnsi="Arial" w:cs="Arial"/>
        </w:rPr>
      </w:pPr>
      <w:r>
        <w:rPr>
          <w:rFonts w:ascii="Arial" w:hAnsi="Arial" w:cs="Arial"/>
        </w:rPr>
        <w:t>También se toma en cuenta que la inestabilidad de los mercados internacionales ha afectado directamente los costos de importación y las vías de suministro, por ello, el mismo reporte explica que al ser EE.UU. líder en desarrollo tecnológico, utilice esto a su favor, y señala la aplicación de la fracturación hidráulica para la reducción de costos elevados en la producción del petróleo.</w:t>
      </w:r>
    </w:p>
    <w:p w14:paraId="78EBDAE7" w14:textId="37AAFFFE" w:rsidR="003A5C93" w:rsidRDefault="00EB1E02" w:rsidP="003A5C93">
      <w:pPr>
        <w:spacing w:line="360" w:lineRule="auto"/>
        <w:rPr>
          <w:rFonts w:ascii="Arial" w:hAnsi="Arial" w:cs="Arial"/>
        </w:rPr>
      </w:pPr>
      <w:r>
        <w:rPr>
          <w:rFonts w:ascii="Arial" w:hAnsi="Arial" w:cs="Arial"/>
        </w:rPr>
        <w:t xml:space="preserve">A pesar de que las reservas más accesibles de extraer se han agotado, la perforación horizontal permite la producción en nuevas zonas, como la región de Río Verde, que además de tener la ventaja de </w:t>
      </w:r>
      <w:r w:rsidR="009F1996">
        <w:rPr>
          <w:rFonts w:ascii="Arial" w:hAnsi="Arial" w:cs="Arial"/>
        </w:rPr>
        <w:t>pertenecer a</w:t>
      </w:r>
      <w:r>
        <w:rPr>
          <w:rFonts w:ascii="Arial" w:hAnsi="Arial" w:cs="Arial"/>
        </w:rPr>
        <w:t xml:space="preserve"> tierras federales y </w:t>
      </w:r>
      <w:r w:rsidR="00830847">
        <w:rPr>
          <w:rFonts w:ascii="Arial" w:hAnsi="Arial" w:cs="Arial"/>
        </w:rPr>
        <w:t xml:space="preserve">que se puedan adjudicar, contienen la mayor reserva de petróleo no convencional de EE.UU.; inclusive el reporte recomienda otorgar incentivos </w:t>
      </w:r>
      <w:r w:rsidR="009F1996">
        <w:rPr>
          <w:rFonts w:ascii="Arial" w:hAnsi="Arial" w:cs="Arial"/>
        </w:rPr>
        <w:t xml:space="preserve">para la investigación y producción </w:t>
      </w:r>
      <w:r w:rsidR="00830847">
        <w:rPr>
          <w:rFonts w:ascii="Arial" w:hAnsi="Arial" w:cs="Arial"/>
        </w:rPr>
        <w:t xml:space="preserve">en esta zona. </w:t>
      </w:r>
    </w:p>
    <w:p w14:paraId="5062A45A" w14:textId="234887D4" w:rsidR="00830847" w:rsidRDefault="00830847" w:rsidP="00830847">
      <w:pPr>
        <w:spacing w:line="360" w:lineRule="auto"/>
        <w:rPr>
          <w:rFonts w:ascii="Arial" w:hAnsi="Arial" w:cs="Arial"/>
        </w:rPr>
      </w:pPr>
      <w:r>
        <w:rPr>
          <w:rFonts w:ascii="Arial" w:hAnsi="Arial" w:cs="Arial"/>
        </w:rPr>
        <w:t xml:space="preserve">Las recomendaciones del reporte </w:t>
      </w:r>
      <w:proofErr w:type="spellStart"/>
      <w:r>
        <w:rPr>
          <w:rFonts w:ascii="Arial" w:hAnsi="Arial" w:cs="Arial"/>
        </w:rPr>
        <w:t>Cheney</w:t>
      </w:r>
      <w:proofErr w:type="spellEnd"/>
      <w:r>
        <w:rPr>
          <w:rFonts w:ascii="Arial" w:hAnsi="Arial" w:cs="Arial"/>
        </w:rPr>
        <w:t xml:space="preserve"> se ven materializadas en la adopción de la Ley de Seguridad Energética de 2005 otorgando incentivos a la industria por 14.5 mil millones de dólares</w:t>
      </w:r>
      <w:r w:rsidR="009F1996">
        <w:rPr>
          <w:rFonts w:ascii="Arial" w:hAnsi="Arial" w:cs="Arial"/>
        </w:rPr>
        <w:t>. Se</w:t>
      </w:r>
      <w:r>
        <w:rPr>
          <w:rFonts w:ascii="Arial" w:hAnsi="Arial" w:cs="Arial"/>
        </w:rPr>
        <w:t xml:space="preserve"> </w:t>
      </w:r>
      <w:r w:rsidR="009F1996">
        <w:rPr>
          <w:rFonts w:ascii="Arial" w:hAnsi="Arial" w:cs="Arial"/>
        </w:rPr>
        <w:t>dan</w:t>
      </w:r>
      <w:r>
        <w:rPr>
          <w:rFonts w:ascii="Arial" w:hAnsi="Arial" w:cs="Arial"/>
        </w:rPr>
        <w:t xml:space="preserve"> permisos para la extracción en la región de Río Verde, cambiando diversas leyes y ofreciendo incentivos</w:t>
      </w:r>
      <w:r w:rsidR="009F1996">
        <w:rPr>
          <w:rFonts w:ascii="Arial" w:hAnsi="Arial" w:cs="Arial"/>
        </w:rPr>
        <w:t xml:space="preserve"> para la industria privada</w:t>
      </w:r>
      <w:r>
        <w:rPr>
          <w:rFonts w:ascii="Arial" w:hAnsi="Arial" w:cs="Arial"/>
        </w:rPr>
        <w:t xml:space="preserve">. </w:t>
      </w:r>
    </w:p>
    <w:p w14:paraId="7A21E180" w14:textId="77777777" w:rsidR="000A00EB" w:rsidRDefault="00830847" w:rsidP="00830847">
      <w:pPr>
        <w:spacing w:line="360" w:lineRule="auto"/>
        <w:rPr>
          <w:rFonts w:ascii="Arial" w:hAnsi="Arial" w:cs="Arial"/>
        </w:rPr>
      </w:pPr>
      <w:r>
        <w:rPr>
          <w:rFonts w:ascii="Arial" w:hAnsi="Arial" w:cs="Arial"/>
        </w:rPr>
        <w:t>La aprobación de las leyes en materia energé</w:t>
      </w:r>
      <w:r w:rsidR="00AB730E">
        <w:rPr>
          <w:rFonts w:ascii="Arial" w:hAnsi="Arial" w:cs="Arial"/>
        </w:rPr>
        <w:t xml:space="preserve">tica </w:t>
      </w:r>
      <w:r>
        <w:rPr>
          <w:rFonts w:ascii="Arial" w:hAnsi="Arial" w:cs="Arial"/>
        </w:rPr>
        <w:t xml:space="preserve">responde al interés nacional plasmado en el </w:t>
      </w:r>
      <w:r w:rsidR="00AB730E">
        <w:rPr>
          <w:rFonts w:ascii="Arial" w:hAnsi="Arial" w:cs="Arial"/>
        </w:rPr>
        <w:t xml:space="preserve">reporte </w:t>
      </w:r>
      <w:proofErr w:type="spellStart"/>
      <w:r w:rsidR="00AB730E">
        <w:rPr>
          <w:rFonts w:ascii="Arial" w:hAnsi="Arial" w:cs="Arial"/>
        </w:rPr>
        <w:t>Cheney</w:t>
      </w:r>
      <w:proofErr w:type="spellEnd"/>
      <w:r w:rsidR="00AB730E">
        <w:rPr>
          <w:rFonts w:ascii="Arial" w:hAnsi="Arial" w:cs="Arial"/>
        </w:rPr>
        <w:t xml:space="preserve"> y a la necesidad de seguridad a través de una mezcla en la o</w:t>
      </w:r>
      <w:r w:rsidR="00E81DE9">
        <w:rPr>
          <w:rFonts w:ascii="Arial" w:hAnsi="Arial" w:cs="Arial"/>
        </w:rPr>
        <w:t>b</w:t>
      </w:r>
      <w:r w:rsidR="00AB730E">
        <w:rPr>
          <w:rFonts w:ascii="Arial" w:hAnsi="Arial" w:cs="Arial"/>
        </w:rPr>
        <w:t>tención de</w:t>
      </w:r>
      <w:r w:rsidR="00E81DE9">
        <w:rPr>
          <w:rFonts w:ascii="Arial" w:hAnsi="Arial" w:cs="Arial"/>
        </w:rPr>
        <w:t xml:space="preserve"> los recursos energéticos</w:t>
      </w:r>
      <w:r w:rsidR="00AB730E">
        <w:rPr>
          <w:rFonts w:ascii="Arial" w:hAnsi="Arial" w:cs="Arial"/>
        </w:rPr>
        <w:t xml:space="preserve"> </w:t>
      </w:r>
      <w:r w:rsidR="000A00EB">
        <w:rPr>
          <w:rFonts w:ascii="Arial" w:hAnsi="Arial" w:cs="Arial"/>
        </w:rPr>
        <w:t xml:space="preserve">de </w:t>
      </w:r>
      <w:r w:rsidR="00AB730E">
        <w:rPr>
          <w:rFonts w:ascii="Arial" w:hAnsi="Arial" w:cs="Arial"/>
        </w:rPr>
        <w:t>f</w:t>
      </w:r>
      <w:r w:rsidR="00E81DE9">
        <w:rPr>
          <w:rFonts w:ascii="Arial" w:hAnsi="Arial" w:cs="Arial"/>
        </w:rPr>
        <w:t>uentes externas e internas</w:t>
      </w:r>
      <w:r w:rsidR="000A00EB">
        <w:rPr>
          <w:rFonts w:ascii="Arial" w:hAnsi="Arial" w:cs="Arial"/>
        </w:rPr>
        <w:t>.</w:t>
      </w:r>
      <w:r w:rsidR="00E81DE9">
        <w:rPr>
          <w:rFonts w:ascii="Arial" w:hAnsi="Arial" w:cs="Arial"/>
        </w:rPr>
        <w:t xml:space="preserve"> </w:t>
      </w:r>
    </w:p>
    <w:p w14:paraId="471D90AA" w14:textId="6F818AB7" w:rsidR="00E81DE9" w:rsidRDefault="000A00EB" w:rsidP="00830847">
      <w:pPr>
        <w:spacing w:line="360" w:lineRule="auto"/>
        <w:rPr>
          <w:rFonts w:ascii="Arial" w:hAnsi="Arial" w:cs="Arial"/>
        </w:rPr>
      </w:pPr>
      <w:r>
        <w:rPr>
          <w:rFonts w:ascii="Arial" w:hAnsi="Arial" w:cs="Arial"/>
        </w:rPr>
        <w:t>P</w:t>
      </w:r>
      <w:r w:rsidR="00E81DE9">
        <w:rPr>
          <w:rFonts w:ascii="Arial" w:hAnsi="Arial" w:cs="Arial"/>
        </w:rPr>
        <w:t xml:space="preserve">or un lado, </w:t>
      </w:r>
      <w:r>
        <w:rPr>
          <w:rFonts w:ascii="Arial" w:hAnsi="Arial" w:cs="Arial"/>
        </w:rPr>
        <w:t xml:space="preserve">las </w:t>
      </w:r>
      <w:r w:rsidR="00E81DE9">
        <w:rPr>
          <w:rFonts w:ascii="Arial" w:hAnsi="Arial" w:cs="Arial"/>
        </w:rPr>
        <w:t xml:space="preserve">fuentes externas como la importación de petróleo de países pertenecientes a la OPEP puede afectar la libertad del Estado en tomar decisiones que respondan completamente </w:t>
      </w:r>
      <w:r>
        <w:rPr>
          <w:rFonts w:ascii="Arial" w:hAnsi="Arial" w:cs="Arial"/>
        </w:rPr>
        <w:t xml:space="preserve">a </w:t>
      </w:r>
      <w:r w:rsidR="00E81DE9">
        <w:rPr>
          <w:rFonts w:ascii="Arial" w:hAnsi="Arial" w:cs="Arial"/>
        </w:rPr>
        <w:t>los intereses nacionales en materia de política internacional</w:t>
      </w:r>
      <w:r>
        <w:rPr>
          <w:rFonts w:ascii="Arial" w:hAnsi="Arial" w:cs="Arial"/>
        </w:rPr>
        <w:t>;</w:t>
      </w:r>
      <w:r w:rsidR="00E81DE9">
        <w:rPr>
          <w:rFonts w:ascii="Arial" w:hAnsi="Arial" w:cs="Arial"/>
        </w:rPr>
        <w:t xml:space="preserve"> </w:t>
      </w:r>
      <w:r>
        <w:rPr>
          <w:rFonts w:ascii="Arial" w:hAnsi="Arial" w:cs="Arial"/>
        </w:rPr>
        <w:t xml:space="preserve">y el acceso a la producción de  </w:t>
      </w:r>
      <w:r w:rsidR="00E81DE9">
        <w:rPr>
          <w:rFonts w:ascii="Arial" w:hAnsi="Arial" w:cs="Arial"/>
        </w:rPr>
        <w:t xml:space="preserve">Latinoamérica </w:t>
      </w:r>
      <w:r>
        <w:rPr>
          <w:rFonts w:ascii="Arial" w:hAnsi="Arial" w:cs="Arial"/>
        </w:rPr>
        <w:t>−</w:t>
      </w:r>
      <w:r w:rsidR="00E81DE9">
        <w:rPr>
          <w:rFonts w:ascii="Arial" w:hAnsi="Arial" w:cs="Arial"/>
        </w:rPr>
        <w:t>a pesar de ser una región conveniente para el interés estadounidense</w:t>
      </w:r>
      <w:r>
        <w:rPr>
          <w:rFonts w:ascii="Arial" w:hAnsi="Arial" w:cs="Arial"/>
        </w:rPr>
        <w:t>−</w:t>
      </w:r>
      <w:r w:rsidR="00E81DE9">
        <w:rPr>
          <w:rFonts w:ascii="Arial" w:hAnsi="Arial" w:cs="Arial"/>
        </w:rPr>
        <w:t xml:space="preserve"> no se</w:t>
      </w:r>
      <w:r>
        <w:rPr>
          <w:rFonts w:ascii="Arial" w:hAnsi="Arial" w:cs="Arial"/>
        </w:rPr>
        <w:t>ría</w:t>
      </w:r>
      <w:r w:rsidR="00E81DE9">
        <w:rPr>
          <w:rFonts w:ascii="Arial" w:hAnsi="Arial" w:cs="Arial"/>
        </w:rPr>
        <w:t xml:space="preserve"> suficiente </w:t>
      </w:r>
      <w:r>
        <w:rPr>
          <w:rFonts w:ascii="Arial" w:hAnsi="Arial" w:cs="Arial"/>
        </w:rPr>
        <w:t>para la</w:t>
      </w:r>
      <w:r w:rsidR="00E81DE9">
        <w:rPr>
          <w:rFonts w:ascii="Arial" w:hAnsi="Arial" w:cs="Arial"/>
        </w:rPr>
        <w:t xml:space="preserve"> demanda interna. Por otro lado, </w:t>
      </w:r>
      <w:r w:rsidR="00E81DE9">
        <w:rPr>
          <w:rFonts w:ascii="Arial" w:hAnsi="Arial" w:cs="Arial"/>
        </w:rPr>
        <w:lastRenderedPageBreak/>
        <w:t>el tener acceso al petróleo persa puede ser una gran ventaja, pero la inestabilidad en la región y posiblemente la distancia para l</w:t>
      </w:r>
      <w:r w:rsidR="00D11340">
        <w:rPr>
          <w:rFonts w:ascii="Arial" w:hAnsi="Arial" w:cs="Arial"/>
        </w:rPr>
        <w:t>a</w:t>
      </w:r>
      <w:r w:rsidR="00E81DE9">
        <w:rPr>
          <w:rFonts w:ascii="Arial" w:hAnsi="Arial" w:cs="Arial"/>
        </w:rPr>
        <w:t xml:space="preserve"> transportación ofrezcan desventajas como para depender completamente de ello. </w:t>
      </w:r>
    </w:p>
    <w:p w14:paraId="2EEBE346" w14:textId="57B37BF3" w:rsidR="00D11340" w:rsidRDefault="00D11340" w:rsidP="00D11340">
      <w:pPr>
        <w:spacing w:line="360" w:lineRule="auto"/>
        <w:rPr>
          <w:rFonts w:ascii="Arial" w:hAnsi="Arial" w:cs="Arial"/>
        </w:rPr>
      </w:pPr>
      <w:r>
        <w:rPr>
          <w:rFonts w:ascii="Arial" w:hAnsi="Arial" w:cs="Arial"/>
        </w:rPr>
        <w:t xml:space="preserve">Como la estrategia de seguridad energética lo señala, el diversificar las fuentes incluyendo fuentes internas permite reducir el riesgo de amenazas y desarrollar la industria nacional con miras a </w:t>
      </w:r>
      <w:r w:rsidR="00587E28">
        <w:rPr>
          <w:rFonts w:ascii="Arial" w:hAnsi="Arial" w:cs="Arial"/>
        </w:rPr>
        <w:t>que la</w:t>
      </w:r>
      <w:r>
        <w:rPr>
          <w:rFonts w:ascii="Arial" w:hAnsi="Arial" w:cs="Arial"/>
        </w:rPr>
        <w:t xml:space="preserve"> producción interna sea mayor a las importaciones en el largo plazo.</w:t>
      </w:r>
    </w:p>
    <w:p w14:paraId="1722B3F3" w14:textId="70F73E7A" w:rsidR="007860D0" w:rsidRDefault="00D11340" w:rsidP="00830847">
      <w:pPr>
        <w:spacing w:line="360" w:lineRule="auto"/>
        <w:rPr>
          <w:rFonts w:ascii="Arial" w:hAnsi="Arial" w:cs="Arial"/>
        </w:rPr>
      </w:pPr>
      <w:r>
        <w:rPr>
          <w:rFonts w:ascii="Arial" w:hAnsi="Arial" w:cs="Arial"/>
        </w:rPr>
        <w:t xml:space="preserve">El enfoque del presidente George W. Bush para enfrentar los retos energéticos fue el opuesto a la política conservacionista de James Carter. Probablemente por los aprendizajes que </w:t>
      </w:r>
      <w:r w:rsidR="00587E28">
        <w:rPr>
          <w:rFonts w:ascii="Arial" w:hAnsi="Arial" w:cs="Arial"/>
        </w:rPr>
        <w:t>dejaron las</w:t>
      </w:r>
      <w:r>
        <w:rPr>
          <w:rFonts w:ascii="Arial" w:hAnsi="Arial" w:cs="Arial"/>
        </w:rPr>
        <w:t xml:space="preserve"> experiencias fallidas del pasado, en políticas públicas </w:t>
      </w:r>
      <w:r w:rsidR="007860D0">
        <w:rPr>
          <w:rFonts w:ascii="Arial" w:hAnsi="Arial" w:cs="Arial"/>
        </w:rPr>
        <w:t>y la creación de instituciones con enfoques equívocos.</w:t>
      </w:r>
    </w:p>
    <w:p w14:paraId="31A37B5F" w14:textId="5824D437" w:rsidR="009F2C78" w:rsidRDefault="009F2C78" w:rsidP="009F2C78">
      <w:pPr>
        <w:spacing w:line="360" w:lineRule="auto"/>
        <w:rPr>
          <w:rFonts w:ascii="Arial" w:hAnsi="Arial" w:cs="Arial"/>
        </w:rPr>
      </w:pPr>
      <w:r>
        <w:rPr>
          <w:rFonts w:ascii="Arial" w:hAnsi="Arial" w:cs="Arial"/>
        </w:rPr>
        <w:t xml:space="preserve">El costo beneficio de continuar con la tendencia </w:t>
      </w:r>
      <w:r w:rsidR="00587E28">
        <w:rPr>
          <w:rFonts w:ascii="Arial" w:hAnsi="Arial" w:cs="Arial"/>
        </w:rPr>
        <w:t>al alza</w:t>
      </w:r>
      <w:r>
        <w:rPr>
          <w:rFonts w:ascii="Arial" w:hAnsi="Arial" w:cs="Arial"/>
        </w:rPr>
        <w:t xml:space="preserve"> del consumo energético, también beneficia el desarrollo interno de capacidades que se ven reflejados en la posición que ocupa Estados Unidos dentro del sistema internacional. </w:t>
      </w:r>
    </w:p>
    <w:p w14:paraId="67C0B803" w14:textId="77777777" w:rsidR="009F2C78" w:rsidRDefault="009F2C78" w:rsidP="009F2C78">
      <w:pPr>
        <w:spacing w:line="360" w:lineRule="auto"/>
        <w:rPr>
          <w:rFonts w:ascii="Arial" w:hAnsi="Arial" w:cs="Arial"/>
        </w:rPr>
      </w:pPr>
      <w:r>
        <w:rPr>
          <w:rFonts w:ascii="Arial" w:hAnsi="Arial" w:cs="Arial"/>
        </w:rPr>
        <w:t>Es decir, el alto consumo energético de la economía estadounidense quiere decir que otras industrias continúan desarrollándose, la economía nacional continúa en expansión y que la calidad de vida de sus ciudadanos continúa mejorando. Así, a pesar de que la energía se utilice más eficientemente, el ritmo en el crecimiento económico no hará que Estados Unidos reduzca su demanda, sino que esta, por el curso que lleva, continuará incrementando.</w:t>
      </w:r>
    </w:p>
    <w:p w14:paraId="25286747" w14:textId="77777777" w:rsidR="009F2C78" w:rsidRDefault="007860D0" w:rsidP="00830847">
      <w:pPr>
        <w:spacing w:line="360" w:lineRule="auto"/>
        <w:rPr>
          <w:rFonts w:ascii="Arial" w:hAnsi="Arial" w:cs="Arial"/>
        </w:rPr>
      </w:pPr>
      <w:r>
        <w:rPr>
          <w:rFonts w:ascii="Arial" w:hAnsi="Arial" w:cs="Arial"/>
        </w:rPr>
        <w:t>Realizando un análisis d</w:t>
      </w:r>
      <w:r w:rsidR="00D11340">
        <w:rPr>
          <w:rFonts w:ascii="Arial" w:hAnsi="Arial" w:cs="Arial"/>
        </w:rPr>
        <w:t xml:space="preserve">esde </w:t>
      </w:r>
      <w:r>
        <w:rPr>
          <w:rFonts w:ascii="Arial" w:hAnsi="Arial" w:cs="Arial"/>
        </w:rPr>
        <w:t>la</w:t>
      </w:r>
      <w:r w:rsidR="00D11340">
        <w:rPr>
          <w:rFonts w:ascii="Arial" w:hAnsi="Arial" w:cs="Arial"/>
        </w:rPr>
        <w:t xml:space="preserve"> perspectiva neorrealista</w:t>
      </w:r>
      <w:r>
        <w:rPr>
          <w:rFonts w:ascii="Arial" w:hAnsi="Arial" w:cs="Arial"/>
        </w:rPr>
        <w:t>,</w:t>
      </w:r>
      <w:r w:rsidR="00D11340">
        <w:rPr>
          <w:rFonts w:ascii="Arial" w:hAnsi="Arial" w:cs="Arial"/>
        </w:rPr>
        <w:t xml:space="preserve"> </w:t>
      </w:r>
      <w:r w:rsidR="009F2C78">
        <w:rPr>
          <w:rFonts w:ascii="Arial" w:hAnsi="Arial" w:cs="Arial"/>
        </w:rPr>
        <w:t>s</w:t>
      </w:r>
      <w:r w:rsidR="000C3024">
        <w:rPr>
          <w:rFonts w:ascii="Arial" w:hAnsi="Arial" w:cs="Arial"/>
        </w:rPr>
        <w:t xml:space="preserve">e pueden deducir las siguientes ideas: </w:t>
      </w:r>
    </w:p>
    <w:p w14:paraId="4636E2DA" w14:textId="34B45D2B" w:rsidR="000C3024" w:rsidRDefault="009F2C78" w:rsidP="00830847">
      <w:pPr>
        <w:spacing w:line="360" w:lineRule="auto"/>
        <w:rPr>
          <w:rFonts w:ascii="Arial" w:hAnsi="Arial" w:cs="Arial"/>
        </w:rPr>
      </w:pPr>
      <w:r>
        <w:rPr>
          <w:rFonts w:ascii="Arial" w:hAnsi="Arial" w:cs="Arial"/>
        </w:rPr>
        <w:t>A</w:t>
      </w:r>
      <w:r w:rsidR="000C3024">
        <w:rPr>
          <w:rFonts w:ascii="Arial" w:hAnsi="Arial" w:cs="Arial"/>
        </w:rPr>
        <w:t xml:space="preserve"> nivel estructural, para el desarrollo de capacidades y la satisfacción de sus necesidades internas, Estados Unidos necesita importar petróleo desde otros Estados pero esto lo constriñe debido a que cada región desde la que se importe conlleva diferentes tipos de interacciones</w:t>
      </w:r>
      <w:r w:rsidR="007D44A9">
        <w:rPr>
          <w:rFonts w:ascii="Arial" w:hAnsi="Arial" w:cs="Arial"/>
        </w:rPr>
        <w:t xml:space="preserve">, en los que se involucra </w:t>
      </w:r>
      <w:r w:rsidR="000C3024">
        <w:rPr>
          <w:rFonts w:ascii="Arial" w:hAnsi="Arial" w:cs="Arial"/>
        </w:rPr>
        <w:t>un beneficio individual y que responden solamente a sus propios intereses. Esto deriva en</w:t>
      </w:r>
      <w:r w:rsidR="007D44A9">
        <w:rPr>
          <w:rFonts w:ascii="Arial" w:hAnsi="Arial" w:cs="Arial"/>
        </w:rPr>
        <w:t xml:space="preserve"> el</w:t>
      </w:r>
      <w:r w:rsidR="000C3024">
        <w:rPr>
          <w:rFonts w:ascii="Arial" w:hAnsi="Arial" w:cs="Arial"/>
        </w:rPr>
        <w:t xml:space="preserve"> </w:t>
      </w:r>
      <w:r w:rsidR="007D44A9">
        <w:rPr>
          <w:rFonts w:ascii="Arial" w:hAnsi="Arial" w:cs="Arial"/>
        </w:rPr>
        <w:t>condicionamiento para el intercambio de recursos entre</w:t>
      </w:r>
      <w:r w:rsidR="000C3024">
        <w:rPr>
          <w:rFonts w:ascii="Arial" w:hAnsi="Arial" w:cs="Arial"/>
        </w:rPr>
        <w:t xml:space="preserve"> las partes que interactúan</w:t>
      </w:r>
      <w:r>
        <w:rPr>
          <w:rFonts w:ascii="Arial" w:hAnsi="Arial" w:cs="Arial"/>
        </w:rPr>
        <w:t xml:space="preserve">, </w:t>
      </w:r>
      <w:r w:rsidR="00AC177C">
        <w:rPr>
          <w:rFonts w:ascii="Arial" w:hAnsi="Arial" w:cs="Arial"/>
        </w:rPr>
        <w:t xml:space="preserve">es </w:t>
      </w:r>
      <w:r>
        <w:rPr>
          <w:rFonts w:ascii="Arial" w:hAnsi="Arial" w:cs="Arial"/>
        </w:rPr>
        <w:t>no solo de forma económica sino que también puede condicionarse por intereses políticos.</w:t>
      </w:r>
    </w:p>
    <w:p w14:paraId="67E060C9" w14:textId="77777777" w:rsidR="009F2C78" w:rsidRDefault="009F2C78" w:rsidP="00830847">
      <w:pPr>
        <w:spacing w:line="360" w:lineRule="auto"/>
        <w:rPr>
          <w:rFonts w:ascii="Arial" w:hAnsi="Arial" w:cs="Arial"/>
        </w:rPr>
      </w:pPr>
      <w:r>
        <w:rPr>
          <w:rFonts w:ascii="Arial" w:hAnsi="Arial" w:cs="Arial"/>
        </w:rPr>
        <w:lastRenderedPageBreak/>
        <w:t>A pesar de que el estatus de EE.UU. dentro del sistema pueda ser más alto que el de otros Estados, cada interacción puede cambiar las circunstancias en las que se desenvuelve, y esto genera un sentido de inestabilidad e incertidumbre dentro de un sistema anárquico.</w:t>
      </w:r>
    </w:p>
    <w:p w14:paraId="3FD443A7" w14:textId="69A01867" w:rsidR="009F2C78" w:rsidRDefault="009F2C78" w:rsidP="00830847">
      <w:pPr>
        <w:spacing w:line="360" w:lineRule="auto"/>
        <w:rPr>
          <w:rFonts w:ascii="Arial" w:hAnsi="Arial" w:cs="Arial"/>
        </w:rPr>
      </w:pPr>
      <w:r>
        <w:rPr>
          <w:rFonts w:ascii="Arial" w:hAnsi="Arial" w:cs="Arial"/>
        </w:rPr>
        <w:t>La constante incertidumbre puede llevar a que el Estado vea esta interacción en el tema energético como una constante amenaza y decida volcarse al desarrollo interno de capacidades: es decir, de la producción interna de energía para continuar incrementando sus capacidades.</w:t>
      </w:r>
    </w:p>
    <w:p w14:paraId="6A709C54" w14:textId="77777777" w:rsidR="000C3024" w:rsidRDefault="000C3024" w:rsidP="00830847">
      <w:pPr>
        <w:spacing w:line="360" w:lineRule="auto"/>
        <w:rPr>
          <w:rFonts w:ascii="Arial" w:hAnsi="Arial" w:cs="Arial"/>
        </w:rPr>
      </w:pPr>
    </w:p>
    <w:p w14:paraId="122F3969" w14:textId="77777777" w:rsidR="00D11340" w:rsidRDefault="00D11340" w:rsidP="00830847">
      <w:pPr>
        <w:spacing w:line="360" w:lineRule="auto"/>
        <w:rPr>
          <w:rFonts w:ascii="Arial" w:hAnsi="Arial" w:cs="Arial"/>
        </w:rPr>
      </w:pPr>
    </w:p>
    <w:p w14:paraId="3BC0C88B" w14:textId="07423671" w:rsidR="0047512E" w:rsidRPr="00B31FDC" w:rsidRDefault="001372FA" w:rsidP="00B31FDC">
      <w:pPr>
        <w:pStyle w:val="Ttulo1"/>
        <w:jc w:val="center"/>
        <w:rPr>
          <w:color w:val="000000" w:themeColor="text1"/>
        </w:rPr>
      </w:pPr>
      <w:r w:rsidRPr="00B31FDC">
        <w:rPr>
          <w:color w:val="000000" w:themeColor="text1"/>
        </w:rPr>
        <w:br w:type="page"/>
      </w:r>
      <w:bookmarkStart w:id="31" w:name="_Toc499918305"/>
      <w:r w:rsidR="00F90A4E" w:rsidRPr="00B31FDC">
        <w:rPr>
          <w:color w:val="000000" w:themeColor="text1"/>
        </w:rPr>
        <w:lastRenderedPageBreak/>
        <w:t>Capítulo 2</w:t>
      </w:r>
      <w:r w:rsidR="0047512E" w:rsidRPr="00B31FDC">
        <w:rPr>
          <w:color w:val="000000" w:themeColor="text1"/>
        </w:rPr>
        <w:t>: Análisis de la aprobación de la legislación en el congreso</w:t>
      </w:r>
      <w:bookmarkEnd w:id="31"/>
    </w:p>
    <w:p w14:paraId="1F9DF6B7" w14:textId="77777777" w:rsidR="00415BA8" w:rsidRDefault="00415BA8" w:rsidP="0047512E">
      <w:pPr>
        <w:spacing w:line="360" w:lineRule="auto"/>
        <w:rPr>
          <w:rFonts w:ascii="Arial" w:hAnsi="Arial" w:cs="Arial"/>
        </w:rPr>
      </w:pPr>
    </w:p>
    <w:p w14:paraId="16045783" w14:textId="185DE76D" w:rsidR="00F51D2B" w:rsidRPr="0047512E" w:rsidRDefault="00C1458A" w:rsidP="0047512E">
      <w:pPr>
        <w:spacing w:line="360" w:lineRule="auto"/>
        <w:rPr>
          <w:rFonts w:ascii="Arial" w:hAnsi="Arial" w:cs="Arial"/>
        </w:rPr>
      </w:pPr>
      <w:r>
        <w:rPr>
          <w:rFonts w:ascii="Arial" w:hAnsi="Arial" w:cs="Arial"/>
        </w:rPr>
        <w:t>La composición del C</w:t>
      </w:r>
      <w:r w:rsidR="00F51D2B" w:rsidRPr="0047512E">
        <w:rPr>
          <w:rFonts w:ascii="Arial" w:hAnsi="Arial" w:cs="Arial"/>
        </w:rPr>
        <w:t>ongreso 109 de EE.UU., que duró desde el 2005 a 2007</w:t>
      </w:r>
      <w:r w:rsidR="00221C41">
        <w:rPr>
          <w:rFonts w:ascii="Arial" w:hAnsi="Arial" w:cs="Arial"/>
        </w:rPr>
        <w:t>,</w:t>
      </w:r>
      <w:r w:rsidR="00F51D2B" w:rsidRPr="0047512E">
        <w:rPr>
          <w:rFonts w:ascii="Arial" w:hAnsi="Arial" w:cs="Arial"/>
        </w:rPr>
        <w:t xml:space="preserve"> fue </w:t>
      </w:r>
      <w:r w:rsidR="00355998" w:rsidRPr="0047512E">
        <w:rPr>
          <w:rFonts w:ascii="Arial" w:hAnsi="Arial" w:cs="Arial"/>
        </w:rPr>
        <w:t>votado con mayoría</w:t>
      </w:r>
      <w:r w:rsidR="00F51D2B" w:rsidRPr="0047512E">
        <w:rPr>
          <w:rFonts w:ascii="Arial" w:hAnsi="Arial" w:cs="Arial"/>
        </w:rPr>
        <w:t xml:space="preserve"> republican</w:t>
      </w:r>
      <w:r w:rsidR="00355998" w:rsidRPr="0047512E">
        <w:rPr>
          <w:rFonts w:ascii="Arial" w:hAnsi="Arial" w:cs="Arial"/>
        </w:rPr>
        <w:t>a</w:t>
      </w:r>
      <w:r w:rsidR="00F51D2B" w:rsidRPr="0047512E">
        <w:rPr>
          <w:rFonts w:ascii="Arial" w:hAnsi="Arial" w:cs="Arial"/>
        </w:rPr>
        <w:t xml:space="preserve"> en ambas cámaras</w:t>
      </w:r>
      <w:r w:rsidR="00355998" w:rsidRPr="0047512E">
        <w:rPr>
          <w:rFonts w:ascii="Arial" w:hAnsi="Arial" w:cs="Arial"/>
        </w:rPr>
        <w:t>. La Casa de Representantes se conformó de 435</w:t>
      </w:r>
      <w:r w:rsidR="00221C41">
        <w:rPr>
          <w:rFonts w:ascii="Arial" w:hAnsi="Arial" w:cs="Arial"/>
        </w:rPr>
        <w:t xml:space="preserve"> legisladores</w:t>
      </w:r>
      <w:r w:rsidR="00355998" w:rsidRPr="0047512E">
        <w:rPr>
          <w:rFonts w:ascii="Arial" w:hAnsi="Arial" w:cs="Arial"/>
        </w:rPr>
        <w:t>, de los cuales 233 fueron republicanos (53.5%) y 201 demócratas (43.4%).</w:t>
      </w:r>
    </w:p>
    <w:p w14:paraId="1E1B0C9E" w14:textId="2CA9941D" w:rsidR="00355998" w:rsidRPr="0047512E" w:rsidRDefault="00355998" w:rsidP="0047512E">
      <w:pPr>
        <w:spacing w:line="360" w:lineRule="auto"/>
        <w:rPr>
          <w:rFonts w:ascii="Arial" w:hAnsi="Arial" w:cs="Arial"/>
        </w:rPr>
      </w:pPr>
      <w:r w:rsidRPr="0047512E">
        <w:rPr>
          <w:rFonts w:ascii="Arial" w:hAnsi="Arial" w:cs="Arial"/>
        </w:rPr>
        <w:t>El senado, también con mayoría republicana, estuvo compuesto por 55 senadores republicanos (55%), 44 demócratas (44%) y un independiente (Govtracks.us, 2017).</w:t>
      </w:r>
    </w:p>
    <w:p w14:paraId="340F8BB7" w14:textId="77777777" w:rsidR="00355998" w:rsidRPr="0047512E" w:rsidRDefault="00355998" w:rsidP="0047512E">
      <w:pPr>
        <w:spacing w:line="360" w:lineRule="auto"/>
        <w:rPr>
          <w:rFonts w:ascii="Arial" w:hAnsi="Arial" w:cs="Arial"/>
          <w:highlight w:val="yellow"/>
        </w:rPr>
      </w:pPr>
      <w:r w:rsidRPr="0047512E">
        <w:rPr>
          <w:rFonts w:ascii="Arial" w:hAnsi="Arial" w:cs="Arial"/>
        </w:rPr>
        <w:t xml:space="preserve">El sistema legal estadounidense establece que una propuesta de ley se presente por cualquiera de las cámaras, la Casa de Representantes y la de Senadores. </w:t>
      </w:r>
    </w:p>
    <w:p w14:paraId="29D845EF" w14:textId="5F1DD371" w:rsidR="00D319EB" w:rsidRPr="0047512E" w:rsidRDefault="00221C41" w:rsidP="0047512E">
      <w:pPr>
        <w:spacing w:line="360" w:lineRule="auto"/>
        <w:rPr>
          <w:rFonts w:ascii="Arial" w:hAnsi="Arial" w:cs="Arial"/>
        </w:rPr>
      </w:pPr>
      <w:r>
        <w:rPr>
          <w:rFonts w:ascii="Arial" w:hAnsi="Arial" w:cs="Arial"/>
        </w:rPr>
        <w:t>La</w:t>
      </w:r>
      <w:r w:rsidR="00762B4E" w:rsidRPr="0047512E">
        <w:rPr>
          <w:rFonts w:ascii="Arial" w:hAnsi="Arial" w:cs="Arial"/>
        </w:rPr>
        <w:t xml:space="preserve"> propuesta de ley de Política Energética fue introducida por el representante del estado de Texas </w:t>
      </w:r>
      <w:proofErr w:type="spellStart"/>
      <w:r w:rsidR="00762B4E" w:rsidRPr="0047512E">
        <w:rPr>
          <w:rFonts w:ascii="Arial" w:hAnsi="Arial" w:cs="Arial"/>
        </w:rPr>
        <w:t>Joe</w:t>
      </w:r>
      <w:proofErr w:type="spellEnd"/>
      <w:r w:rsidR="00762B4E" w:rsidRPr="0047512E">
        <w:rPr>
          <w:rFonts w:ascii="Arial" w:hAnsi="Arial" w:cs="Arial"/>
        </w:rPr>
        <w:t xml:space="preserve"> </w:t>
      </w:r>
      <w:proofErr w:type="spellStart"/>
      <w:r w:rsidR="00762B4E" w:rsidRPr="0047512E">
        <w:rPr>
          <w:rFonts w:ascii="Arial" w:hAnsi="Arial" w:cs="Arial"/>
        </w:rPr>
        <w:t>Barton</w:t>
      </w:r>
      <w:proofErr w:type="spellEnd"/>
      <w:r w:rsidR="00762B4E" w:rsidRPr="0047512E">
        <w:rPr>
          <w:rFonts w:ascii="Arial" w:hAnsi="Arial" w:cs="Arial"/>
        </w:rPr>
        <w:t xml:space="preserve"> a la Casa de Representantes el 8 de abril de 2005.</w:t>
      </w:r>
      <w:r w:rsidR="00D319EB" w:rsidRPr="0047512E">
        <w:rPr>
          <w:rFonts w:ascii="Arial" w:hAnsi="Arial" w:cs="Arial"/>
        </w:rPr>
        <w:t xml:space="preserve"> La ley pasó con </w:t>
      </w:r>
      <w:r w:rsidR="00D319EB" w:rsidRPr="0047512E">
        <w:rPr>
          <w:rFonts w:ascii="Arial" w:hAnsi="Arial" w:cs="Arial"/>
          <w:color w:val="000000" w:themeColor="text1"/>
        </w:rPr>
        <w:t>249 votos a favor y 183 en contra.</w:t>
      </w:r>
    </w:p>
    <w:p w14:paraId="002D0B15" w14:textId="4EDD9F87" w:rsidR="00D319EB" w:rsidRPr="0047512E" w:rsidRDefault="00D319EB" w:rsidP="0047512E">
      <w:pPr>
        <w:spacing w:line="360" w:lineRule="auto"/>
        <w:rPr>
          <w:rFonts w:ascii="Arial" w:hAnsi="Arial" w:cs="Arial"/>
          <w:color w:val="000000" w:themeColor="text1"/>
        </w:rPr>
      </w:pPr>
      <w:r w:rsidRPr="0047512E">
        <w:rPr>
          <w:rFonts w:ascii="Arial" w:hAnsi="Arial" w:cs="Arial"/>
        </w:rPr>
        <w:t xml:space="preserve">Por su parte, el senado presentó su versión de proyecto de ley el 28 de julio de 2005 </w:t>
      </w:r>
      <w:r w:rsidRPr="0047512E">
        <w:rPr>
          <w:rFonts w:ascii="Arial" w:hAnsi="Arial" w:cs="Arial"/>
          <w:color w:val="000000" w:themeColor="text1"/>
        </w:rPr>
        <w:t>con una diferencia de 85 votos a favor y 12 en contra.</w:t>
      </w:r>
    </w:p>
    <w:p w14:paraId="287530CF" w14:textId="2E2A7E5F" w:rsidR="00F90A4E" w:rsidRPr="0047512E" w:rsidRDefault="00D319EB" w:rsidP="0047512E">
      <w:pPr>
        <w:spacing w:line="360" w:lineRule="auto"/>
        <w:rPr>
          <w:rFonts w:ascii="Arial" w:hAnsi="Arial" w:cs="Arial"/>
        </w:rPr>
      </w:pPr>
      <w:r w:rsidRPr="0047512E">
        <w:rPr>
          <w:rFonts w:ascii="Arial" w:hAnsi="Arial" w:cs="Arial"/>
        </w:rPr>
        <w:t>De acuerdo con el proceso legislativo estadounidense, se creó un Comité de Conferencia Conjunta que unió los dos proyectos de ley para posteriormente pasar a votaciones en ambas cámaras.</w:t>
      </w:r>
    </w:p>
    <w:p w14:paraId="78E93676" w14:textId="77777777" w:rsidR="00D319EB" w:rsidRPr="00B31FDC" w:rsidRDefault="00D319EB" w:rsidP="00B31FDC">
      <w:pPr>
        <w:pStyle w:val="Ttulo2"/>
        <w:spacing w:after="240"/>
        <w:rPr>
          <w:color w:val="000000" w:themeColor="text1"/>
        </w:rPr>
      </w:pPr>
      <w:bookmarkStart w:id="32" w:name="_Toc499918306"/>
      <w:r w:rsidRPr="00B31FDC">
        <w:rPr>
          <w:color w:val="000000" w:themeColor="text1"/>
        </w:rPr>
        <w:t>Votación del proyecto de ley: Casa de Representantes</w:t>
      </w:r>
      <w:bookmarkEnd w:id="32"/>
    </w:p>
    <w:p w14:paraId="14AC399A" w14:textId="77E8AC33" w:rsidR="00D319EB" w:rsidRPr="0047512E" w:rsidRDefault="00D319EB" w:rsidP="0047512E">
      <w:pPr>
        <w:spacing w:line="360" w:lineRule="auto"/>
        <w:rPr>
          <w:rFonts w:ascii="Arial" w:hAnsi="Arial" w:cs="Arial"/>
          <w:color w:val="000000" w:themeColor="text1"/>
        </w:rPr>
      </w:pPr>
      <w:r w:rsidRPr="0047512E">
        <w:rPr>
          <w:rFonts w:ascii="Arial" w:hAnsi="Arial" w:cs="Arial"/>
        </w:rPr>
        <w:t xml:space="preserve">Como se puede observar en la imagen, </w:t>
      </w:r>
      <w:r w:rsidRPr="0047512E">
        <w:rPr>
          <w:rFonts w:ascii="Arial" w:hAnsi="Arial" w:cs="Arial"/>
          <w:color w:val="000000" w:themeColor="text1"/>
        </w:rPr>
        <w:t>la Casa de Representantes votó con 275 votos a favor y 156 en contra con un tipo de votación por mayoría simple.</w:t>
      </w:r>
    </w:p>
    <w:p w14:paraId="6214C52F" w14:textId="44D46ADF" w:rsidR="00974625" w:rsidRPr="0047512E" w:rsidRDefault="00974625" w:rsidP="0047512E">
      <w:pPr>
        <w:spacing w:line="360" w:lineRule="auto"/>
        <w:rPr>
          <w:rFonts w:ascii="Arial" w:hAnsi="Arial" w:cs="Arial"/>
          <w:color w:val="000000" w:themeColor="text1"/>
        </w:rPr>
      </w:pPr>
      <w:r w:rsidRPr="0047512E">
        <w:rPr>
          <w:rFonts w:ascii="Arial" w:hAnsi="Arial" w:cs="Arial"/>
          <w:color w:val="000000" w:themeColor="text1"/>
        </w:rPr>
        <w:t>La ley pasó con una mayoría del 63 por ciento, de la cual el 72 por ciento fueron votaciones de representantes pertenecientes al partido republicano y el 27 por ciento de demócratas. El 79 por ciento de los representantes que votaron en contra de la ley fueron demócratas; las tres abstenciones que hubo fueron de representantes demócratas.</w:t>
      </w:r>
    </w:p>
    <w:p w14:paraId="17B4AD5F" w14:textId="77777777" w:rsidR="000179B6" w:rsidRDefault="000179B6" w:rsidP="00974625">
      <w:pPr>
        <w:jc w:val="center"/>
      </w:pPr>
    </w:p>
    <w:p w14:paraId="380E60F8" w14:textId="1AAAE0B7" w:rsidR="00D319EB" w:rsidRDefault="00D319EB" w:rsidP="00974625">
      <w:pPr>
        <w:jc w:val="center"/>
      </w:pPr>
      <w:r>
        <w:rPr>
          <w:rFonts w:ascii="Helvetica" w:hAnsi="Helvetica" w:cs="Helvetica"/>
          <w:noProof/>
          <w:color w:val="141712"/>
          <w:sz w:val="23"/>
          <w:szCs w:val="23"/>
        </w:rPr>
        <w:lastRenderedPageBreak/>
        <w:drawing>
          <wp:inline distT="0" distB="0" distL="0" distR="0" wp14:anchorId="287B7F0F" wp14:editId="24C62D3B">
            <wp:extent cx="2857500" cy="1619250"/>
            <wp:effectExtent l="0" t="0" r="0" b="0"/>
            <wp:docPr id="5" name="Imagen 5" descr="https://www.govtrack.us/congress/votes/109-2005/h445/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ovtrack.us/congress/votes/109-2005/h445/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14:paraId="5DC809BC" w14:textId="77777777" w:rsidR="0017083F" w:rsidRDefault="00974625" w:rsidP="0017083F">
      <w:pPr>
        <w:shd w:val="clear" w:color="auto" w:fill="FFFFFF"/>
        <w:spacing w:line="234" w:lineRule="atLeast"/>
        <w:jc w:val="center"/>
        <w:rPr>
          <w:rFonts w:ascii="Helvetica" w:hAnsi="Helvetica" w:cs="Helvetica"/>
          <w:color w:val="666666"/>
          <w:sz w:val="18"/>
          <w:szCs w:val="18"/>
        </w:rPr>
      </w:pPr>
      <w:r w:rsidRPr="00654074">
        <w:rPr>
          <w:rFonts w:ascii="Helvetica" w:hAnsi="Helvetica" w:cs="Helvetica"/>
          <w:color w:val="666666"/>
          <w:sz w:val="18"/>
          <w:szCs w:val="18"/>
        </w:rPr>
        <w:t> </w:t>
      </w:r>
      <w:r w:rsidRPr="00654074">
        <w:rPr>
          <w:rFonts w:ascii="Helvetica" w:hAnsi="Helvetica" w:cs="Helvetica"/>
          <w:color w:val="FFFFFF"/>
          <w:sz w:val="18"/>
          <w:szCs w:val="18"/>
          <w:shd w:val="clear" w:color="auto" w:fill="E64045"/>
        </w:rPr>
        <w:t>Republicanos</w:t>
      </w:r>
      <w:r>
        <w:rPr>
          <w:rFonts w:ascii="Helvetica" w:hAnsi="Helvetica" w:cs="Helvetica"/>
          <w:color w:val="FFFFFF"/>
          <w:sz w:val="18"/>
          <w:szCs w:val="18"/>
          <w:shd w:val="clear" w:color="auto" w:fill="E64045"/>
        </w:rPr>
        <w:t>,</w:t>
      </w:r>
      <w:r w:rsidRPr="00654074">
        <w:rPr>
          <w:rFonts w:ascii="Helvetica" w:hAnsi="Helvetica" w:cs="Helvetica"/>
          <w:color w:val="FFFFFF"/>
          <w:sz w:val="18"/>
          <w:szCs w:val="18"/>
          <w:shd w:val="clear" w:color="auto" w:fill="E64045"/>
        </w:rPr>
        <w:t xml:space="preserve"> </w:t>
      </w:r>
      <w:r>
        <w:rPr>
          <w:rFonts w:ascii="Helvetica" w:hAnsi="Helvetica" w:cs="Helvetica"/>
          <w:color w:val="FFFFFF"/>
          <w:sz w:val="18"/>
          <w:szCs w:val="18"/>
          <w:shd w:val="clear" w:color="auto" w:fill="E64045"/>
        </w:rPr>
        <w:t>a</w:t>
      </w:r>
      <w:r w:rsidRPr="00654074">
        <w:rPr>
          <w:rFonts w:ascii="Helvetica" w:hAnsi="Helvetica" w:cs="Helvetica"/>
          <w:color w:val="FFFFFF"/>
          <w:sz w:val="18"/>
          <w:szCs w:val="18"/>
          <w:shd w:val="clear" w:color="auto" w:fill="E64045"/>
        </w:rPr>
        <w:t xml:space="preserve"> favor</w:t>
      </w:r>
      <w:r w:rsidRPr="00654074">
        <w:rPr>
          <w:rFonts w:ascii="Helvetica" w:hAnsi="Helvetica" w:cs="Helvetica"/>
          <w:color w:val="666666"/>
          <w:sz w:val="18"/>
          <w:szCs w:val="18"/>
        </w:rPr>
        <w:t> </w:t>
      </w:r>
      <w:r w:rsidRPr="00654074">
        <w:rPr>
          <w:rFonts w:ascii="Helvetica" w:hAnsi="Helvetica" w:cs="Helvetica"/>
          <w:color w:val="FFFFFF"/>
          <w:sz w:val="18"/>
          <w:szCs w:val="18"/>
          <w:shd w:val="clear" w:color="auto" w:fill="2657A1"/>
        </w:rPr>
        <w:t>Demócratas</w:t>
      </w:r>
      <w:r>
        <w:rPr>
          <w:rFonts w:ascii="Helvetica" w:hAnsi="Helvetica" w:cs="Helvetica"/>
          <w:color w:val="FFFFFF"/>
          <w:sz w:val="18"/>
          <w:szCs w:val="18"/>
          <w:shd w:val="clear" w:color="auto" w:fill="2657A1"/>
        </w:rPr>
        <w:t>,</w:t>
      </w:r>
      <w:r w:rsidRPr="00654074">
        <w:rPr>
          <w:rFonts w:ascii="Helvetica" w:hAnsi="Helvetica" w:cs="Helvetica"/>
          <w:color w:val="FFFFFF"/>
          <w:sz w:val="18"/>
          <w:szCs w:val="18"/>
          <w:shd w:val="clear" w:color="auto" w:fill="2657A1"/>
        </w:rPr>
        <w:t xml:space="preserve"> </w:t>
      </w:r>
      <w:r>
        <w:rPr>
          <w:rFonts w:ascii="Helvetica" w:hAnsi="Helvetica" w:cs="Helvetica"/>
          <w:color w:val="FFFFFF"/>
          <w:sz w:val="18"/>
          <w:szCs w:val="18"/>
          <w:shd w:val="clear" w:color="auto" w:fill="2657A1"/>
        </w:rPr>
        <w:t>a</w:t>
      </w:r>
      <w:r w:rsidRPr="00654074">
        <w:rPr>
          <w:rFonts w:ascii="Helvetica" w:hAnsi="Helvetica" w:cs="Helvetica"/>
          <w:color w:val="FFFFFF"/>
          <w:sz w:val="18"/>
          <w:szCs w:val="18"/>
          <w:shd w:val="clear" w:color="auto" w:fill="2657A1"/>
        </w:rPr>
        <w:t xml:space="preserve"> favor</w:t>
      </w:r>
      <w:r w:rsidRPr="00654074">
        <w:rPr>
          <w:rFonts w:ascii="Helvetica" w:hAnsi="Helvetica" w:cs="Helvetica"/>
          <w:color w:val="222222"/>
          <w:sz w:val="18"/>
          <w:szCs w:val="18"/>
          <w:shd w:val="clear" w:color="auto" w:fill="FFD9D9"/>
        </w:rPr>
        <w:t xml:space="preserve"> Republicanos</w:t>
      </w:r>
      <w:r>
        <w:rPr>
          <w:rFonts w:ascii="Helvetica" w:hAnsi="Helvetica" w:cs="Helvetica"/>
          <w:color w:val="222222"/>
          <w:sz w:val="18"/>
          <w:szCs w:val="18"/>
          <w:shd w:val="clear" w:color="auto" w:fill="FFD9D9"/>
        </w:rPr>
        <w:t>,</w:t>
      </w:r>
      <w:r w:rsidRPr="00654074">
        <w:rPr>
          <w:rFonts w:ascii="Helvetica" w:hAnsi="Helvetica" w:cs="Helvetica"/>
          <w:color w:val="222222"/>
          <w:sz w:val="18"/>
          <w:szCs w:val="18"/>
          <w:shd w:val="clear" w:color="auto" w:fill="FFD9D9"/>
        </w:rPr>
        <w:t xml:space="preserve"> en contra</w:t>
      </w:r>
      <w:r w:rsidRPr="00654074">
        <w:rPr>
          <w:rFonts w:ascii="Helvetica" w:hAnsi="Helvetica" w:cs="Helvetica"/>
          <w:color w:val="666666"/>
          <w:sz w:val="18"/>
          <w:szCs w:val="18"/>
        </w:rPr>
        <w:t> </w:t>
      </w:r>
      <w:r w:rsidRPr="00654074">
        <w:rPr>
          <w:rFonts w:ascii="Helvetica" w:hAnsi="Helvetica" w:cs="Helvetica"/>
          <w:color w:val="222222"/>
          <w:sz w:val="18"/>
          <w:szCs w:val="18"/>
          <w:shd w:val="clear" w:color="auto" w:fill="D9D9FF"/>
        </w:rPr>
        <w:t>D</w:t>
      </w:r>
      <w:r>
        <w:rPr>
          <w:rFonts w:ascii="Helvetica" w:hAnsi="Helvetica" w:cs="Helvetica"/>
          <w:color w:val="222222"/>
          <w:sz w:val="18"/>
          <w:szCs w:val="18"/>
          <w:shd w:val="clear" w:color="auto" w:fill="D9D9FF"/>
        </w:rPr>
        <w:t>emócratas, en contra</w:t>
      </w:r>
    </w:p>
    <w:p w14:paraId="1C9211DA" w14:textId="5E2A54F3" w:rsidR="00D319EB" w:rsidRDefault="00D319EB" w:rsidP="0017083F">
      <w:pPr>
        <w:shd w:val="clear" w:color="auto" w:fill="FFFFFF"/>
        <w:spacing w:line="234" w:lineRule="atLeast"/>
        <w:jc w:val="center"/>
        <w:rPr>
          <w:rStyle w:val="Hipervnculo"/>
          <w:color w:val="9D2146"/>
          <w:sz w:val="20"/>
          <w:szCs w:val="20"/>
        </w:rPr>
      </w:pPr>
      <w:r>
        <w:t xml:space="preserve">Fuente: </w:t>
      </w:r>
      <w:hyperlink r:id="rId21" w:history="1">
        <w:r>
          <w:rPr>
            <w:rStyle w:val="Hipervnculo"/>
            <w:color w:val="9D2146"/>
            <w:sz w:val="20"/>
            <w:szCs w:val="20"/>
          </w:rPr>
          <w:t>house.gov</w:t>
        </w:r>
      </w:hyperlink>
    </w:p>
    <w:p w14:paraId="590CD3B9" w14:textId="77777777" w:rsidR="00415BA8" w:rsidRPr="0017083F" w:rsidRDefault="00415BA8" w:rsidP="0017083F">
      <w:pPr>
        <w:shd w:val="clear" w:color="auto" w:fill="FFFFFF"/>
        <w:spacing w:line="234" w:lineRule="atLeast"/>
        <w:jc w:val="center"/>
        <w:rPr>
          <w:rFonts w:ascii="Helvetica" w:hAnsi="Helvetica" w:cs="Helvetica"/>
          <w:color w:val="666666"/>
          <w:sz w:val="18"/>
          <w:szCs w:val="18"/>
        </w:rPr>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60"/>
        <w:gridCol w:w="1560"/>
        <w:gridCol w:w="1138"/>
        <w:gridCol w:w="1205"/>
        <w:gridCol w:w="1276"/>
      </w:tblGrid>
      <w:tr w:rsidR="00D319EB" w14:paraId="525A29B4" w14:textId="77777777" w:rsidTr="00974625">
        <w:trPr>
          <w:trHeight w:val="450"/>
          <w:tblHeader/>
        </w:trPr>
        <w:tc>
          <w:tcPr>
            <w:tcW w:w="1260" w:type="dxa"/>
            <w:shd w:val="clear" w:color="auto" w:fill="auto"/>
            <w:tcMar>
              <w:top w:w="0" w:type="dxa"/>
              <w:left w:w="60" w:type="dxa"/>
              <w:bottom w:w="0" w:type="dxa"/>
              <w:right w:w="60" w:type="dxa"/>
            </w:tcMar>
            <w:vAlign w:val="center"/>
            <w:hideMark/>
          </w:tcPr>
          <w:p w14:paraId="4B6FDBEF" w14:textId="77777777" w:rsidR="00D319EB" w:rsidRPr="00912A2A" w:rsidRDefault="00D319EB" w:rsidP="008311A3">
            <w:pPr>
              <w:spacing w:after="240" w:line="300" w:lineRule="atLeast"/>
              <w:jc w:val="center"/>
              <w:rPr>
                <w:sz w:val="18"/>
                <w:szCs w:val="18"/>
                <w:lang w:val="en-US"/>
              </w:rPr>
            </w:pPr>
          </w:p>
        </w:tc>
        <w:tc>
          <w:tcPr>
            <w:tcW w:w="1560" w:type="dxa"/>
            <w:shd w:val="clear" w:color="auto" w:fill="auto"/>
            <w:tcMar>
              <w:top w:w="0" w:type="dxa"/>
              <w:left w:w="60" w:type="dxa"/>
              <w:bottom w:w="0" w:type="dxa"/>
              <w:right w:w="60" w:type="dxa"/>
            </w:tcMar>
            <w:vAlign w:val="center"/>
            <w:hideMark/>
          </w:tcPr>
          <w:p w14:paraId="1D5533D2" w14:textId="77777777" w:rsidR="00D319EB" w:rsidRDefault="00D319EB" w:rsidP="008311A3">
            <w:pPr>
              <w:spacing w:after="240" w:line="300" w:lineRule="atLeast"/>
              <w:jc w:val="center"/>
              <w:rPr>
                <w:sz w:val="18"/>
                <w:szCs w:val="18"/>
              </w:rPr>
            </w:pPr>
            <w:r>
              <w:rPr>
                <w:sz w:val="18"/>
                <w:szCs w:val="18"/>
              </w:rPr>
              <w:t>Total</w:t>
            </w:r>
          </w:p>
        </w:tc>
        <w:tc>
          <w:tcPr>
            <w:tcW w:w="1138" w:type="dxa"/>
            <w:shd w:val="clear" w:color="auto" w:fill="auto"/>
            <w:tcMar>
              <w:top w:w="0" w:type="dxa"/>
              <w:left w:w="60" w:type="dxa"/>
              <w:bottom w:w="0" w:type="dxa"/>
              <w:right w:w="60" w:type="dxa"/>
            </w:tcMar>
            <w:vAlign w:val="center"/>
            <w:hideMark/>
          </w:tcPr>
          <w:p w14:paraId="68B1CA84" w14:textId="77777777" w:rsidR="00D319EB" w:rsidRPr="00AF33A4" w:rsidRDefault="00D319EB" w:rsidP="008311A3">
            <w:pPr>
              <w:spacing w:after="240" w:line="300" w:lineRule="atLeast"/>
              <w:jc w:val="center"/>
              <w:rPr>
                <w:color w:val="FF0000"/>
                <w:sz w:val="18"/>
                <w:szCs w:val="18"/>
              </w:rPr>
            </w:pPr>
            <w:r w:rsidRPr="00AF33A4">
              <w:rPr>
                <w:color w:val="FF0000"/>
                <w:sz w:val="18"/>
                <w:szCs w:val="18"/>
              </w:rPr>
              <w:t xml:space="preserve"> Republicanos</w:t>
            </w:r>
          </w:p>
        </w:tc>
        <w:tc>
          <w:tcPr>
            <w:tcW w:w="1205" w:type="dxa"/>
            <w:shd w:val="clear" w:color="auto" w:fill="auto"/>
            <w:tcMar>
              <w:top w:w="0" w:type="dxa"/>
              <w:left w:w="60" w:type="dxa"/>
              <w:bottom w:w="0" w:type="dxa"/>
              <w:right w:w="60" w:type="dxa"/>
            </w:tcMar>
            <w:vAlign w:val="center"/>
            <w:hideMark/>
          </w:tcPr>
          <w:p w14:paraId="07B311E2" w14:textId="77777777" w:rsidR="00D319EB" w:rsidRDefault="00D319EB" w:rsidP="008311A3">
            <w:pPr>
              <w:spacing w:after="240" w:line="300" w:lineRule="atLeast"/>
              <w:jc w:val="center"/>
              <w:rPr>
                <w:sz w:val="18"/>
                <w:szCs w:val="18"/>
              </w:rPr>
            </w:pPr>
            <w:r>
              <w:rPr>
                <w:sz w:val="18"/>
                <w:szCs w:val="18"/>
              </w:rPr>
              <w:t xml:space="preserve"> </w:t>
            </w:r>
            <w:r w:rsidRPr="00AF33A4">
              <w:rPr>
                <w:color w:val="0070C0"/>
                <w:sz w:val="18"/>
                <w:szCs w:val="18"/>
              </w:rPr>
              <w:t>Demócratas</w:t>
            </w:r>
          </w:p>
        </w:tc>
        <w:tc>
          <w:tcPr>
            <w:tcW w:w="1276" w:type="dxa"/>
            <w:shd w:val="clear" w:color="auto" w:fill="auto"/>
            <w:tcMar>
              <w:top w:w="0" w:type="dxa"/>
              <w:left w:w="60" w:type="dxa"/>
              <w:bottom w:w="0" w:type="dxa"/>
              <w:right w:w="60" w:type="dxa"/>
            </w:tcMar>
            <w:vAlign w:val="center"/>
            <w:hideMark/>
          </w:tcPr>
          <w:p w14:paraId="7BC1BC1A" w14:textId="30533280" w:rsidR="00D319EB" w:rsidRDefault="00D319EB" w:rsidP="00057088">
            <w:pPr>
              <w:spacing w:after="240" w:line="300" w:lineRule="atLeast"/>
              <w:jc w:val="center"/>
              <w:rPr>
                <w:sz w:val="18"/>
                <w:szCs w:val="18"/>
              </w:rPr>
            </w:pPr>
            <w:r>
              <w:rPr>
                <w:sz w:val="18"/>
                <w:szCs w:val="18"/>
              </w:rPr>
              <w:t>  Independ</w:t>
            </w:r>
            <w:r w:rsidR="00057088">
              <w:rPr>
                <w:sz w:val="18"/>
                <w:szCs w:val="18"/>
              </w:rPr>
              <w:t>i</w:t>
            </w:r>
            <w:r>
              <w:rPr>
                <w:sz w:val="18"/>
                <w:szCs w:val="18"/>
              </w:rPr>
              <w:t>ente</w:t>
            </w:r>
          </w:p>
        </w:tc>
      </w:tr>
      <w:tr w:rsidR="00D319EB" w14:paraId="640573FE" w14:textId="77777777" w:rsidTr="00974625">
        <w:trPr>
          <w:trHeight w:val="714"/>
        </w:trPr>
        <w:tc>
          <w:tcPr>
            <w:tcW w:w="1260" w:type="dxa"/>
            <w:vMerge w:val="restart"/>
            <w:shd w:val="clear" w:color="auto" w:fill="auto"/>
            <w:tcMar>
              <w:top w:w="0" w:type="dxa"/>
              <w:left w:w="0" w:type="dxa"/>
              <w:bottom w:w="0" w:type="dxa"/>
              <w:right w:w="150" w:type="dxa"/>
            </w:tcMar>
            <w:vAlign w:val="center"/>
            <w:hideMark/>
          </w:tcPr>
          <w:p w14:paraId="67FECCC2" w14:textId="77777777" w:rsidR="00D319EB" w:rsidRDefault="00D319EB" w:rsidP="008311A3">
            <w:pPr>
              <w:spacing w:after="240" w:line="150" w:lineRule="atLeast"/>
              <w:jc w:val="right"/>
              <w:rPr>
                <w:b/>
                <w:bCs/>
                <w:caps/>
                <w:sz w:val="15"/>
                <w:szCs w:val="15"/>
              </w:rPr>
            </w:pPr>
            <w:r>
              <w:rPr>
                <w:b/>
                <w:bCs/>
                <w:caps/>
                <w:sz w:val="15"/>
                <w:szCs w:val="15"/>
              </w:rPr>
              <w:t> a favor</w:t>
            </w:r>
          </w:p>
        </w:tc>
        <w:tc>
          <w:tcPr>
            <w:tcW w:w="1560" w:type="dxa"/>
            <w:tcBorders>
              <w:right w:val="single" w:sz="4" w:space="0" w:color="auto"/>
            </w:tcBorders>
            <w:shd w:val="clear" w:color="auto" w:fill="auto"/>
            <w:tcMar>
              <w:top w:w="0" w:type="dxa"/>
              <w:left w:w="90" w:type="dxa"/>
              <w:bottom w:w="0" w:type="dxa"/>
              <w:right w:w="90" w:type="dxa"/>
            </w:tcMar>
            <w:vAlign w:val="center"/>
            <w:hideMark/>
          </w:tcPr>
          <w:p w14:paraId="35021DAC" w14:textId="77777777" w:rsidR="00D319EB" w:rsidRPr="00974625" w:rsidRDefault="00D319EB" w:rsidP="008311A3">
            <w:pPr>
              <w:spacing w:after="240"/>
              <w:jc w:val="center"/>
              <w:rPr>
                <w:b/>
                <w:bCs/>
              </w:rPr>
            </w:pPr>
            <w:r w:rsidRPr="00974625">
              <w:rPr>
                <w:b/>
                <w:bCs/>
              </w:rPr>
              <w:t>275</w:t>
            </w:r>
          </w:p>
        </w:tc>
        <w:tc>
          <w:tcPr>
            <w:tcW w:w="11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D39183E" w14:textId="77777777" w:rsidR="00D319EB" w:rsidRPr="00AF33A4" w:rsidRDefault="00D319EB" w:rsidP="008311A3">
            <w:pPr>
              <w:spacing w:after="240"/>
              <w:jc w:val="center"/>
              <w:rPr>
                <w:color w:val="FF0000"/>
                <w:sz w:val="24"/>
                <w:szCs w:val="24"/>
              </w:rPr>
            </w:pPr>
            <w:r w:rsidRPr="00AF33A4">
              <w:rPr>
                <w:color w:val="FF0000"/>
              </w:rPr>
              <w:t>200</w:t>
            </w:r>
          </w:p>
        </w:tc>
        <w:tc>
          <w:tcPr>
            <w:tcW w:w="120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263C451" w14:textId="77777777" w:rsidR="00D319EB" w:rsidRPr="00AF33A4" w:rsidRDefault="00D319EB" w:rsidP="008311A3">
            <w:pPr>
              <w:spacing w:after="240"/>
              <w:jc w:val="center"/>
              <w:rPr>
                <w:color w:val="0070C0"/>
                <w:sz w:val="24"/>
                <w:szCs w:val="24"/>
              </w:rPr>
            </w:pPr>
            <w:r w:rsidRPr="00AF33A4">
              <w:rPr>
                <w:color w:val="0070C0"/>
              </w:rPr>
              <w:t>75</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86EF6F8" w14:textId="77777777" w:rsidR="00D319EB" w:rsidRDefault="00D319EB" w:rsidP="008311A3">
            <w:pPr>
              <w:spacing w:after="240"/>
              <w:jc w:val="center"/>
              <w:rPr>
                <w:sz w:val="24"/>
                <w:szCs w:val="24"/>
              </w:rPr>
            </w:pPr>
            <w:r>
              <w:t>0</w:t>
            </w:r>
          </w:p>
        </w:tc>
      </w:tr>
      <w:tr w:rsidR="00D319EB" w14:paraId="5641EA16" w14:textId="77777777" w:rsidTr="00974625">
        <w:trPr>
          <w:trHeight w:val="417"/>
        </w:trPr>
        <w:tc>
          <w:tcPr>
            <w:tcW w:w="1260" w:type="dxa"/>
            <w:vMerge/>
            <w:shd w:val="clear" w:color="auto" w:fill="auto"/>
            <w:tcMar>
              <w:top w:w="0" w:type="dxa"/>
              <w:left w:w="0" w:type="dxa"/>
              <w:bottom w:w="0" w:type="dxa"/>
              <w:right w:w="150" w:type="dxa"/>
            </w:tcMar>
            <w:vAlign w:val="center"/>
          </w:tcPr>
          <w:p w14:paraId="403FB755" w14:textId="77777777" w:rsidR="00D319EB" w:rsidRDefault="00D319EB" w:rsidP="008311A3">
            <w:pPr>
              <w:spacing w:after="240" w:line="150" w:lineRule="atLeast"/>
              <w:jc w:val="right"/>
              <w:rPr>
                <w:b/>
                <w:bCs/>
                <w:caps/>
                <w:sz w:val="15"/>
                <w:szCs w:val="15"/>
              </w:rPr>
            </w:pPr>
          </w:p>
        </w:tc>
        <w:tc>
          <w:tcPr>
            <w:tcW w:w="1560" w:type="dxa"/>
            <w:tcBorders>
              <w:right w:val="single" w:sz="4" w:space="0" w:color="auto"/>
            </w:tcBorders>
            <w:shd w:val="clear" w:color="auto" w:fill="auto"/>
            <w:tcMar>
              <w:top w:w="0" w:type="dxa"/>
              <w:left w:w="90" w:type="dxa"/>
              <w:bottom w:w="0" w:type="dxa"/>
              <w:right w:w="90" w:type="dxa"/>
            </w:tcMar>
            <w:vAlign w:val="center"/>
          </w:tcPr>
          <w:p w14:paraId="67690C79" w14:textId="77777777" w:rsidR="00D319EB" w:rsidRPr="00974625" w:rsidRDefault="00D319EB" w:rsidP="008311A3">
            <w:pPr>
              <w:spacing w:after="240"/>
              <w:jc w:val="center"/>
              <w:rPr>
                <w:b/>
                <w:bCs/>
              </w:rPr>
            </w:pPr>
            <w:r w:rsidRPr="00974625">
              <w:rPr>
                <w:b/>
                <w:bCs/>
              </w:rPr>
              <w:t>63%</w:t>
            </w:r>
          </w:p>
        </w:tc>
        <w:tc>
          <w:tcPr>
            <w:tcW w:w="11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44105A92" w14:textId="77777777" w:rsidR="00D319EB" w:rsidRPr="00AF33A4" w:rsidRDefault="00D319EB" w:rsidP="008311A3">
            <w:pPr>
              <w:spacing w:after="240"/>
              <w:jc w:val="center"/>
              <w:rPr>
                <w:color w:val="FF0000"/>
              </w:rPr>
            </w:pPr>
            <w:r w:rsidRPr="00AF33A4">
              <w:rPr>
                <w:color w:val="FF0000"/>
              </w:rPr>
              <w:t>72.7%</w:t>
            </w:r>
          </w:p>
        </w:tc>
        <w:tc>
          <w:tcPr>
            <w:tcW w:w="120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426F59FF" w14:textId="77777777" w:rsidR="00D319EB" w:rsidRPr="00AF33A4" w:rsidRDefault="00D319EB" w:rsidP="008311A3">
            <w:pPr>
              <w:spacing w:after="240"/>
              <w:jc w:val="center"/>
              <w:rPr>
                <w:color w:val="0070C0"/>
              </w:rPr>
            </w:pPr>
            <w:r w:rsidRPr="00AF33A4">
              <w:rPr>
                <w:color w:val="0070C0"/>
              </w:rPr>
              <w:t>27.2%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44DC6600" w14:textId="77777777" w:rsidR="00D319EB" w:rsidRDefault="00D319EB" w:rsidP="008311A3">
            <w:pPr>
              <w:spacing w:after="240"/>
              <w:jc w:val="center"/>
            </w:pPr>
            <w:r>
              <w:t>0%</w:t>
            </w:r>
          </w:p>
        </w:tc>
      </w:tr>
      <w:tr w:rsidR="00D319EB" w14:paraId="57C2E0E0" w14:textId="77777777" w:rsidTr="00974625">
        <w:trPr>
          <w:trHeight w:val="576"/>
        </w:trPr>
        <w:tc>
          <w:tcPr>
            <w:tcW w:w="1260" w:type="dxa"/>
            <w:vMerge w:val="restart"/>
            <w:shd w:val="clear" w:color="auto" w:fill="auto"/>
            <w:tcMar>
              <w:top w:w="0" w:type="dxa"/>
              <w:left w:w="0" w:type="dxa"/>
              <w:bottom w:w="0" w:type="dxa"/>
              <w:right w:w="150" w:type="dxa"/>
            </w:tcMar>
            <w:vAlign w:val="center"/>
            <w:hideMark/>
          </w:tcPr>
          <w:p w14:paraId="39BE30E6" w14:textId="77777777" w:rsidR="00D319EB" w:rsidRDefault="00D319EB" w:rsidP="008311A3">
            <w:pPr>
              <w:spacing w:after="240" w:line="150" w:lineRule="atLeast"/>
              <w:jc w:val="right"/>
              <w:rPr>
                <w:b/>
                <w:bCs/>
                <w:caps/>
                <w:sz w:val="15"/>
                <w:szCs w:val="15"/>
              </w:rPr>
            </w:pPr>
            <w:r>
              <w:rPr>
                <w:b/>
                <w:bCs/>
                <w:caps/>
                <w:sz w:val="15"/>
                <w:szCs w:val="15"/>
              </w:rPr>
              <w:t> en contra</w:t>
            </w:r>
          </w:p>
        </w:tc>
        <w:tc>
          <w:tcPr>
            <w:tcW w:w="1560" w:type="dxa"/>
            <w:shd w:val="clear" w:color="auto" w:fill="auto"/>
            <w:tcMar>
              <w:top w:w="0" w:type="dxa"/>
              <w:left w:w="90" w:type="dxa"/>
              <w:bottom w:w="0" w:type="dxa"/>
              <w:right w:w="90" w:type="dxa"/>
            </w:tcMar>
            <w:vAlign w:val="center"/>
            <w:hideMark/>
          </w:tcPr>
          <w:p w14:paraId="5066B867" w14:textId="77777777" w:rsidR="00D319EB" w:rsidRPr="00974625" w:rsidRDefault="00D319EB" w:rsidP="008311A3">
            <w:pPr>
              <w:spacing w:after="240"/>
              <w:jc w:val="center"/>
              <w:rPr>
                <w:b/>
                <w:bCs/>
              </w:rPr>
            </w:pPr>
            <w:r w:rsidRPr="00974625">
              <w:rPr>
                <w:b/>
                <w:bCs/>
              </w:rPr>
              <w:t xml:space="preserve">156 </w:t>
            </w:r>
          </w:p>
        </w:tc>
        <w:tc>
          <w:tcPr>
            <w:tcW w:w="1138" w:type="dxa"/>
            <w:shd w:val="clear" w:color="auto" w:fill="auto"/>
            <w:tcMar>
              <w:top w:w="0" w:type="dxa"/>
              <w:left w:w="0" w:type="dxa"/>
              <w:bottom w:w="0" w:type="dxa"/>
              <w:right w:w="0" w:type="dxa"/>
            </w:tcMar>
            <w:vAlign w:val="center"/>
            <w:hideMark/>
          </w:tcPr>
          <w:p w14:paraId="0FBD20E3" w14:textId="77777777" w:rsidR="00D319EB" w:rsidRPr="00AF33A4" w:rsidRDefault="00D319EB" w:rsidP="008311A3">
            <w:pPr>
              <w:spacing w:after="240"/>
              <w:jc w:val="center"/>
              <w:rPr>
                <w:color w:val="FF0000"/>
                <w:sz w:val="24"/>
                <w:szCs w:val="24"/>
              </w:rPr>
            </w:pPr>
            <w:r w:rsidRPr="00AF33A4">
              <w:rPr>
                <w:color w:val="FF0000"/>
              </w:rPr>
              <w:t>31</w:t>
            </w:r>
          </w:p>
        </w:tc>
        <w:tc>
          <w:tcPr>
            <w:tcW w:w="1205" w:type="dxa"/>
            <w:shd w:val="clear" w:color="auto" w:fill="auto"/>
            <w:tcMar>
              <w:top w:w="0" w:type="dxa"/>
              <w:left w:w="0" w:type="dxa"/>
              <w:bottom w:w="0" w:type="dxa"/>
              <w:right w:w="0" w:type="dxa"/>
            </w:tcMar>
            <w:vAlign w:val="center"/>
            <w:hideMark/>
          </w:tcPr>
          <w:p w14:paraId="65A3534B" w14:textId="77777777" w:rsidR="00D319EB" w:rsidRPr="00AF33A4" w:rsidRDefault="00D319EB" w:rsidP="008311A3">
            <w:pPr>
              <w:spacing w:after="240"/>
              <w:jc w:val="center"/>
              <w:rPr>
                <w:color w:val="0070C0"/>
                <w:sz w:val="24"/>
                <w:szCs w:val="24"/>
              </w:rPr>
            </w:pPr>
            <w:r w:rsidRPr="00AF33A4">
              <w:rPr>
                <w:color w:val="0070C0"/>
              </w:rPr>
              <w:t>124</w:t>
            </w:r>
          </w:p>
        </w:tc>
        <w:tc>
          <w:tcPr>
            <w:tcW w:w="1276" w:type="dxa"/>
            <w:shd w:val="clear" w:color="auto" w:fill="auto"/>
            <w:tcMar>
              <w:top w:w="0" w:type="dxa"/>
              <w:left w:w="0" w:type="dxa"/>
              <w:bottom w:w="0" w:type="dxa"/>
              <w:right w:w="0" w:type="dxa"/>
            </w:tcMar>
            <w:vAlign w:val="center"/>
            <w:hideMark/>
          </w:tcPr>
          <w:p w14:paraId="45BF523E" w14:textId="77777777" w:rsidR="00D319EB" w:rsidRDefault="00D319EB" w:rsidP="008311A3">
            <w:pPr>
              <w:spacing w:after="240"/>
              <w:jc w:val="center"/>
              <w:rPr>
                <w:sz w:val="24"/>
                <w:szCs w:val="24"/>
              </w:rPr>
            </w:pPr>
            <w:r>
              <w:t>1</w:t>
            </w:r>
          </w:p>
        </w:tc>
      </w:tr>
      <w:tr w:rsidR="00D319EB" w14:paraId="0741C387" w14:textId="77777777" w:rsidTr="00974625">
        <w:trPr>
          <w:trHeight w:val="409"/>
        </w:trPr>
        <w:tc>
          <w:tcPr>
            <w:tcW w:w="1260" w:type="dxa"/>
            <w:vMerge/>
            <w:shd w:val="clear" w:color="auto" w:fill="auto"/>
            <w:tcMar>
              <w:top w:w="0" w:type="dxa"/>
              <w:left w:w="0" w:type="dxa"/>
              <w:bottom w:w="0" w:type="dxa"/>
              <w:right w:w="150" w:type="dxa"/>
            </w:tcMar>
            <w:vAlign w:val="center"/>
          </w:tcPr>
          <w:p w14:paraId="6A39CEBC" w14:textId="77777777" w:rsidR="00D319EB" w:rsidRDefault="00D319EB" w:rsidP="008311A3">
            <w:pPr>
              <w:spacing w:after="240" w:line="150" w:lineRule="atLeast"/>
              <w:jc w:val="right"/>
              <w:rPr>
                <w:b/>
                <w:bCs/>
                <w:caps/>
                <w:sz w:val="15"/>
                <w:szCs w:val="15"/>
              </w:rPr>
            </w:pPr>
          </w:p>
        </w:tc>
        <w:tc>
          <w:tcPr>
            <w:tcW w:w="1560" w:type="dxa"/>
            <w:shd w:val="clear" w:color="auto" w:fill="auto"/>
            <w:tcMar>
              <w:top w:w="0" w:type="dxa"/>
              <w:left w:w="90" w:type="dxa"/>
              <w:bottom w:w="0" w:type="dxa"/>
              <w:right w:w="90" w:type="dxa"/>
            </w:tcMar>
            <w:vAlign w:val="center"/>
          </w:tcPr>
          <w:p w14:paraId="46BCE893" w14:textId="77777777" w:rsidR="00D319EB" w:rsidRPr="00974625" w:rsidRDefault="00D319EB" w:rsidP="008311A3">
            <w:pPr>
              <w:spacing w:after="240"/>
              <w:jc w:val="center"/>
              <w:rPr>
                <w:b/>
                <w:bCs/>
              </w:rPr>
            </w:pPr>
            <w:r w:rsidRPr="00974625">
              <w:rPr>
                <w:b/>
                <w:bCs/>
              </w:rPr>
              <w:t>36%</w:t>
            </w:r>
          </w:p>
        </w:tc>
        <w:tc>
          <w:tcPr>
            <w:tcW w:w="1138" w:type="dxa"/>
            <w:shd w:val="clear" w:color="auto" w:fill="auto"/>
            <w:tcMar>
              <w:top w:w="0" w:type="dxa"/>
              <w:left w:w="0" w:type="dxa"/>
              <w:bottom w:w="0" w:type="dxa"/>
              <w:right w:w="0" w:type="dxa"/>
            </w:tcMar>
            <w:vAlign w:val="center"/>
          </w:tcPr>
          <w:p w14:paraId="583326EB" w14:textId="77777777" w:rsidR="00D319EB" w:rsidRPr="00AF33A4" w:rsidRDefault="00D319EB" w:rsidP="008311A3">
            <w:pPr>
              <w:spacing w:after="240"/>
              <w:jc w:val="center"/>
              <w:rPr>
                <w:color w:val="FF0000"/>
              </w:rPr>
            </w:pPr>
            <w:r w:rsidRPr="00AF33A4">
              <w:rPr>
                <w:color w:val="FF0000"/>
              </w:rPr>
              <w:t>19.8%</w:t>
            </w:r>
          </w:p>
        </w:tc>
        <w:tc>
          <w:tcPr>
            <w:tcW w:w="1205" w:type="dxa"/>
            <w:shd w:val="clear" w:color="auto" w:fill="auto"/>
            <w:tcMar>
              <w:top w:w="0" w:type="dxa"/>
              <w:left w:w="0" w:type="dxa"/>
              <w:bottom w:w="0" w:type="dxa"/>
              <w:right w:w="0" w:type="dxa"/>
            </w:tcMar>
            <w:vAlign w:val="center"/>
          </w:tcPr>
          <w:p w14:paraId="3D68E534" w14:textId="77777777" w:rsidR="00D319EB" w:rsidRPr="00AF33A4" w:rsidRDefault="00D319EB" w:rsidP="008311A3">
            <w:pPr>
              <w:spacing w:after="240"/>
              <w:jc w:val="center"/>
              <w:rPr>
                <w:color w:val="0070C0"/>
              </w:rPr>
            </w:pPr>
            <w:r w:rsidRPr="00AF33A4">
              <w:rPr>
                <w:color w:val="0070C0"/>
              </w:rPr>
              <w:t>79.4%</w:t>
            </w:r>
          </w:p>
        </w:tc>
        <w:tc>
          <w:tcPr>
            <w:tcW w:w="1276" w:type="dxa"/>
            <w:shd w:val="clear" w:color="auto" w:fill="auto"/>
            <w:tcMar>
              <w:top w:w="0" w:type="dxa"/>
              <w:left w:w="0" w:type="dxa"/>
              <w:bottom w:w="0" w:type="dxa"/>
              <w:right w:w="0" w:type="dxa"/>
            </w:tcMar>
            <w:vAlign w:val="center"/>
          </w:tcPr>
          <w:p w14:paraId="7C2DE1F1" w14:textId="77777777" w:rsidR="00D319EB" w:rsidRDefault="00D319EB" w:rsidP="008311A3">
            <w:pPr>
              <w:spacing w:after="240"/>
              <w:jc w:val="center"/>
            </w:pPr>
            <w:r>
              <w:t>0%</w:t>
            </w:r>
          </w:p>
        </w:tc>
      </w:tr>
      <w:tr w:rsidR="00D319EB" w14:paraId="31BFD667" w14:textId="77777777" w:rsidTr="00974625">
        <w:trPr>
          <w:trHeight w:val="564"/>
        </w:trPr>
        <w:tc>
          <w:tcPr>
            <w:tcW w:w="1260" w:type="dxa"/>
            <w:vMerge w:val="restart"/>
            <w:shd w:val="clear" w:color="auto" w:fill="auto"/>
            <w:tcMar>
              <w:top w:w="0" w:type="dxa"/>
              <w:left w:w="0" w:type="dxa"/>
              <w:bottom w:w="0" w:type="dxa"/>
              <w:right w:w="150" w:type="dxa"/>
            </w:tcMar>
            <w:vAlign w:val="center"/>
            <w:hideMark/>
          </w:tcPr>
          <w:p w14:paraId="00F6D7F5" w14:textId="77777777" w:rsidR="00D319EB" w:rsidRDefault="00D319EB" w:rsidP="008311A3">
            <w:pPr>
              <w:spacing w:after="240" w:line="150" w:lineRule="atLeast"/>
              <w:jc w:val="right"/>
              <w:rPr>
                <w:b/>
                <w:bCs/>
                <w:caps/>
                <w:sz w:val="15"/>
                <w:szCs w:val="15"/>
              </w:rPr>
            </w:pPr>
            <w:r>
              <w:rPr>
                <w:b/>
                <w:bCs/>
                <w:caps/>
                <w:sz w:val="15"/>
                <w:szCs w:val="15"/>
              </w:rPr>
              <w:t>abstenciones</w:t>
            </w:r>
          </w:p>
        </w:tc>
        <w:tc>
          <w:tcPr>
            <w:tcW w:w="1560" w:type="dxa"/>
            <w:shd w:val="clear" w:color="auto" w:fill="auto"/>
            <w:tcMar>
              <w:top w:w="0" w:type="dxa"/>
              <w:left w:w="90" w:type="dxa"/>
              <w:bottom w:w="0" w:type="dxa"/>
              <w:right w:w="90" w:type="dxa"/>
            </w:tcMar>
            <w:vAlign w:val="center"/>
            <w:hideMark/>
          </w:tcPr>
          <w:p w14:paraId="18C7712D" w14:textId="77777777" w:rsidR="00D319EB" w:rsidRPr="00974625" w:rsidRDefault="00D319EB" w:rsidP="008311A3">
            <w:pPr>
              <w:spacing w:after="240"/>
              <w:jc w:val="center"/>
              <w:rPr>
                <w:b/>
                <w:bCs/>
              </w:rPr>
            </w:pPr>
            <w:r w:rsidRPr="00974625">
              <w:rPr>
                <w:b/>
                <w:bCs/>
              </w:rPr>
              <w:t>3</w:t>
            </w:r>
          </w:p>
        </w:tc>
        <w:tc>
          <w:tcPr>
            <w:tcW w:w="1138" w:type="dxa"/>
            <w:shd w:val="clear" w:color="auto" w:fill="auto"/>
            <w:tcMar>
              <w:top w:w="0" w:type="dxa"/>
              <w:left w:w="0" w:type="dxa"/>
              <w:bottom w:w="0" w:type="dxa"/>
              <w:right w:w="0" w:type="dxa"/>
            </w:tcMar>
            <w:vAlign w:val="center"/>
            <w:hideMark/>
          </w:tcPr>
          <w:p w14:paraId="364D9468" w14:textId="77777777" w:rsidR="00D319EB" w:rsidRPr="00AF33A4" w:rsidRDefault="00D319EB" w:rsidP="008311A3">
            <w:pPr>
              <w:spacing w:after="240"/>
              <w:jc w:val="center"/>
              <w:rPr>
                <w:color w:val="FF0000"/>
                <w:sz w:val="24"/>
                <w:szCs w:val="24"/>
              </w:rPr>
            </w:pPr>
            <w:r w:rsidRPr="00AF33A4">
              <w:rPr>
                <w:color w:val="FF0000"/>
              </w:rPr>
              <w:t>0</w:t>
            </w:r>
          </w:p>
        </w:tc>
        <w:tc>
          <w:tcPr>
            <w:tcW w:w="1205" w:type="dxa"/>
            <w:shd w:val="clear" w:color="auto" w:fill="auto"/>
            <w:tcMar>
              <w:top w:w="0" w:type="dxa"/>
              <w:left w:w="0" w:type="dxa"/>
              <w:bottom w:w="0" w:type="dxa"/>
              <w:right w:w="0" w:type="dxa"/>
            </w:tcMar>
            <w:vAlign w:val="center"/>
            <w:hideMark/>
          </w:tcPr>
          <w:p w14:paraId="59431C94" w14:textId="77777777" w:rsidR="00D319EB" w:rsidRPr="00AF33A4" w:rsidRDefault="00D319EB" w:rsidP="008311A3">
            <w:pPr>
              <w:spacing w:after="240"/>
              <w:jc w:val="center"/>
              <w:rPr>
                <w:color w:val="0070C0"/>
                <w:sz w:val="24"/>
                <w:szCs w:val="24"/>
              </w:rPr>
            </w:pPr>
            <w:r w:rsidRPr="00AF33A4">
              <w:rPr>
                <w:color w:val="0070C0"/>
              </w:rPr>
              <w:t>3</w:t>
            </w:r>
          </w:p>
        </w:tc>
        <w:tc>
          <w:tcPr>
            <w:tcW w:w="1276" w:type="dxa"/>
            <w:shd w:val="clear" w:color="auto" w:fill="auto"/>
            <w:tcMar>
              <w:top w:w="0" w:type="dxa"/>
              <w:left w:w="0" w:type="dxa"/>
              <w:bottom w:w="0" w:type="dxa"/>
              <w:right w:w="0" w:type="dxa"/>
            </w:tcMar>
            <w:vAlign w:val="center"/>
            <w:hideMark/>
          </w:tcPr>
          <w:p w14:paraId="7EAC4429" w14:textId="77777777" w:rsidR="00D319EB" w:rsidRDefault="00D319EB" w:rsidP="008311A3">
            <w:pPr>
              <w:spacing w:after="240"/>
              <w:jc w:val="center"/>
              <w:rPr>
                <w:sz w:val="24"/>
                <w:szCs w:val="24"/>
              </w:rPr>
            </w:pPr>
            <w:r>
              <w:t>0</w:t>
            </w:r>
          </w:p>
        </w:tc>
      </w:tr>
      <w:tr w:rsidR="00D319EB" w14:paraId="05B232ED" w14:textId="77777777" w:rsidTr="00974625">
        <w:trPr>
          <w:trHeight w:val="427"/>
        </w:trPr>
        <w:tc>
          <w:tcPr>
            <w:tcW w:w="1260" w:type="dxa"/>
            <w:vMerge/>
            <w:shd w:val="clear" w:color="auto" w:fill="auto"/>
            <w:tcMar>
              <w:top w:w="0" w:type="dxa"/>
              <w:left w:w="0" w:type="dxa"/>
              <w:bottom w:w="0" w:type="dxa"/>
              <w:right w:w="150" w:type="dxa"/>
            </w:tcMar>
            <w:vAlign w:val="center"/>
          </w:tcPr>
          <w:p w14:paraId="2790EA7D" w14:textId="77777777" w:rsidR="00D319EB" w:rsidRDefault="00D319EB" w:rsidP="008311A3">
            <w:pPr>
              <w:spacing w:after="240" w:line="150" w:lineRule="atLeast"/>
              <w:jc w:val="right"/>
              <w:rPr>
                <w:b/>
                <w:bCs/>
                <w:caps/>
                <w:sz w:val="15"/>
                <w:szCs w:val="15"/>
              </w:rPr>
            </w:pPr>
          </w:p>
        </w:tc>
        <w:tc>
          <w:tcPr>
            <w:tcW w:w="1560" w:type="dxa"/>
            <w:shd w:val="clear" w:color="auto" w:fill="auto"/>
            <w:tcMar>
              <w:top w:w="0" w:type="dxa"/>
              <w:left w:w="90" w:type="dxa"/>
              <w:bottom w:w="0" w:type="dxa"/>
              <w:right w:w="90" w:type="dxa"/>
            </w:tcMar>
            <w:vAlign w:val="center"/>
          </w:tcPr>
          <w:p w14:paraId="7D80724E" w14:textId="77777777" w:rsidR="00D319EB" w:rsidRPr="00974625" w:rsidRDefault="00D319EB" w:rsidP="008311A3">
            <w:pPr>
              <w:spacing w:after="240"/>
              <w:jc w:val="center"/>
              <w:rPr>
                <w:b/>
                <w:bCs/>
              </w:rPr>
            </w:pPr>
            <w:r w:rsidRPr="00974625">
              <w:rPr>
                <w:b/>
                <w:bCs/>
              </w:rPr>
              <w:t>1%</w:t>
            </w:r>
          </w:p>
        </w:tc>
        <w:tc>
          <w:tcPr>
            <w:tcW w:w="1138" w:type="dxa"/>
            <w:shd w:val="clear" w:color="auto" w:fill="auto"/>
            <w:tcMar>
              <w:top w:w="0" w:type="dxa"/>
              <w:left w:w="0" w:type="dxa"/>
              <w:bottom w:w="0" w:type="dxa"/>
              <w:right w:w="0" w:type="dxa"/>
            </w:tcMar>
            <w:vAlign w:val="center"/>
          </w:tcPr>
          <w:p w14:paraId="43AE23AE" w14:textId="77777777" w:rsidR="00D319EB" w:rsidRPr="00AF33A4" w:rsidRDefault="00D319EB" w:rsidP="008311A3">
            <w:pPr>
              <w:spacing w:after="240"/>
              <w:jc w:val="center"/>
              <w:rPr>
                <w:color w:val="FF0000"/>
              </w:rPr>
            </w:pPr>
            <w:r w:rsidRPr="00AF33A4">
              <w:rPr>
                <w:color w:val="FF0000"/>
              </w:rPr>
              <w:t>0%</w:t>
            </w:r>
          </w:p>
        </w:tc>
        <w:tc>
          <w:tcPr>
            <w:tcW w:w="1205" w:type="dxa"/>
            <w:shd w:val="clear" w:color="auto" w:fill="auto"/>
            <w:tcMar>
              <w:top w:w="0" w:type="dxa"/>
              <w:left w:w="0" w:type="dxa"/>
              <w:bottom w:w="0" w:type="dxa"/>
              <w:right w:w="0" w:type="dxa"/>
            </w:tcMar>
            <w:vAlign w:val="center"/>
          </w:tcPr>
          <w:p w14:paraId="0A9BA21B" w14:textId="77777777" w:rsidR="00D319EB" w:rsidRPr="00AF33A4" w:rsidRDefault="00D319EB" w:rsidP="008311A3">
            <w:pPr>
              <w:spacing w:after="240"/>
              <w:jc w:val="center"/>
              <w:rPr>
                <w:color w:val="0070C0"/>
              </w:rPr>
            </w:pPr>
            <w:r w:rsidRPr="00AF33A4">
              <w:rPr>
                <w:color w:val="0070C0"/>
              </w:rPr>
              <w:t>100%</w:t>
            </w:r>
          </w:p>
        </w:tc>
        <w:tc>
          <w:tcPr>
            <w:tcW w:w="1276" w:type="dxa"/>
            <w:shd w:val="clear" w:color="auto" w:fill="auto"/>
            <w:tcMar>
              <w:top w:w="0" w:type="dxa"/>
              <w:left w:w="0" w:type="dxa"/>
              <w:bottom w:w="0" w:type="dxa"/>
              <w:right w:w="0" w:type="dxa"/>
            </w:tcMar>
            <w:vAlign w:val="center"/>
          </w:tcPr>
          <w:p w14:paraId="0FA69BC3" w14:textId="77777777" w:rsidR="00D319EB" w:rsidRDefault="00D319EB" w:rsidP="008311A3">
            <w:pPr>
              <w:spacing w:after="240"/>
              <w:jc w:val="center"/>
            </w:pPr>
            <w:r>
              <w:t>0%</w:t>
            </w:r>
          </w:p>
        </w:tc>
      </w:tr>
      <w:tr w:rsidR="00D319EB" w14:paraId="40F61980" w14:textId="77777777" w:rsidTr="00974625">
        <w:trPr>
          <w:trHeight w:val="435"/>
        </w:trPr>
        <w:tc>
          <w:tcPr>
            <w:tcW w:w="1260" w:type="dxa"/>
            <w:shd w:val="clear" w:color="auto" w:fill="auto"/>
            <w:tcMar>
              <w:top w:w="0" w:type="dxa"/>
              <w:left w:w="0" w:type="dxa"/>
              <w:bottom w:w="0" w:type="dxa"/>
              <w:right w:w="150" w:type="dxa"/>
            </w:tcMar>
            <w:vAlign w:val="center"/>
            <w:hideMark/>
          </w:tcPr>
          <w:p w14:paraId="20587296" w14:textId="77777777" w:rsidR="00D319EB" w:rsidRDefault="00D319EB" w:rsidP="008311A3">
            <w:pPr>
              <w:spacing w:after="240" w:line="150" w:lineRule="atLeast"/>
              <w:jc w:val="right"/>
              <w:rPr>
                <w:b/>
                <w:bCs/>
                <w:caps/>
                <w:sz w:val="15"/>
                <w:szCs w:val="15"/>
              </w:rPr>
            </w:pPr>
            <w:r>
              <w:rPr>
                <w:b/>
                <w:bCs/>
                <w:caps/>
                <w:sz w:val="15"/>
                <w:szCs w:val="15"/>
              </w:rPr>
              <w:t>tipo de votación:</w:t>
            </w:r>
          </w:p>
        </w:tc>
        <w:tc>
          <w:tcPr>
            <w:tcW w:w="1560" w:type="dxa"/>
            <w:shd w:val="clear" w:color="auto" w:fill="auto"/>
            <w:tcMar>
              <w:top w:w="0" w:type="dxa"/>
              <w:left w:w="180" w:type="dxa"/>
              <w:bottom w:w="0" w:type="dxa"/>
              <w:right w:w="0" w:type="dxa"/>
            </w:tcMar>
            <w:vAlign w:val="center"/>
            <w:hideMark/>
          </w:tcPr>
          <w:p w14:paraId="7C3098B7" w14:textId="77777777" w:rsidR="00D319EB" w:rsidRPr="00D24D3A" w:rsidRDefault="00D319EB" w:rsidP="008311A3">
            <w:pPr>
              <w:spacing w:after="240"/>
              <w:rPr>
                <w:sz w:val="20"/>
                <w:szCs w:val="24"/>
              </w:rPr>
            </w:pPr>
            <w:r w:rsidRPr="00D24D3A">
              <w:rPr>
                <w:sz w:val="20"/>
              </w:rPr>
              <w:t>Mayoría simple</w:t>
            </w:r>
          </w:p>
        </w:tc>
        <w:tc>
          <w:tcPr>
            <w:tcW w:w="3619" w:type="dxa"/>
            <w:gridSpan w:val="3"/>
            <w:shd w:val="clear" w:color="auto" w:fill="auto"/>
            <w:tcMar>
              <w:top w:w="0" w:type="dxa"/>
              <w:left w:w="0" w:type="dxa"/>
              <w:bottom w:w="0" w:type="dxa"/>
              <w:right w:w="0" w:type="dxa"/>
            </w:tcMar>
            <w:vAlign w:val="center"/>
            <w:hideMark/>
          </w:tcPr>
          <w:p w14:paraId="6F5F9578" w14:textId="77777777" w:rsidR="00D319EB" w:rsidRDefault="00D319EB" w:rsidP="008311A3">
            <w:pPr>
              <w:spacing w:after="240"/>
              <w:jc w:val="center"/>
              <w:rPr>
                <w:sz w:val="20"/>
                <w:szCs w:val="20"/>
              </w:rPr>
            </w:pPr>
            <w:r>
              <w:rPr>
                <w:sz w:val="20"/>
                <w:szCs w:val="20"/>
              </w:rPr>
              <w:t>fuente: </w:t>
            </w:r>
            <w:hyperlink r:id="rId22" w:history="1">
              <w:r>
                <w:rPr>
                  <w:rStyle w:val="Hipervnculo"/>
                  <w:color w:val="9D2146"/>
                  <w:sz w:val="20"/>
                  <w:szCs w:val="20"/>
                </w:rPr>
                <w:t>house.gov</w:t>
              </w:r>
            </w:hyperlink>
          </w:p>
        </w:tc>
      </w:tr>
    </w:tbl>
    <w:p w14:paraId="34230D06" w14:textId="77777777" w:rsidR="00D319EB" w:rsidRDefault="00D319EB" w:rsidP="00630495"/>
    <w:p w14:paraId="770C03B6" w14:textId="77777777" w:rsidR="00D319EB" w:rsidRDefault="00D319EB" w:rsidP="00630495"/>
    <w:p w14:paraId="0DA72AF9" w14:textId="77777777" w:rsidR="00974625" w:rsidRDefault="00974625" w:rsidP="00630495"/>
    <w:p w14:paraId="612839CB" w14:textId="77777777" w:rsidR="00974625" w:rsidRDefault="00974625" w:rsidP="00630495"/>
    <w:p w14:paraId="7C34861D" w14:textId="77777777" w:rsidR="00974625" w:rsidRDefault="00974625" w:rsidP="00630495"/>
    <w:p w14:paraId="1ACF754E" w14:textId="77777777" w:rsidR="0017083F" w:rsidRDefault="0017083F" w:rsidP="00630495"/>
    <w:p w14:paraId="23D3E2A4" w14:textId="77777777" w:rsidR="0017083F" w:rsidRDefault="0017083F" w:rsidP="00630495"/>
    <w:p w14:paraId="12AA74FD" w14:textId="77777777" w:rsidR="0017083F" w:rsidRDefault="0017083F" w:rsidP="00630495"/>
    <w:p w14:paraId="3056C55C" w14:textId="77777777" w:rsidR="0017083F" w:rsidRDefault="0017083F" w:rsidP="00630495"/>
    <w:p w14:paraId="0BDE1DC9" w14:textId="77777777" w:rsidR="0017083F" w:rsidRDefault="0017083F" w:rsidP="00630495"/>
    <w:p w14:paraId="632966CF" w14:textId="77777777" w:rsidR="0017083F" w:rsidRDefault="0017083F" w:rsidP="00630495"/>
    <w:p w14:paraId="4A078E87" w14:textId="3B8E845E" w:rsidR="00974625" w:rsidRPr="00B31FDC" w:rsidRDefault="00974625" w:rsidP="00B31FDC">
      <w:pPr>
        <w:pStyle w:val="Ttulo2"/>
        <w:spacing w:after="240"/>
        <w:rPr>
          <w:color w:val="000000" w:themeColor="text1"/>
        </w:rPr>
      </w:pPr>
      <w:bookmarkStart w:id="33" w:name="_Toc499918307"/>
      <w:r w:rsidRPr="00B31FDC">
        <w:rPr>
          <w:color w:val="000000" w:themeColor="text1"/>
        </w:rPr>
        <w:t>Votación del proyecto de ley: Senado</w:t>
      </w:r>
      <w:bookmarkEnd w:id="33"/>
    </w:p>
    <w:p w14:paraId="6E7903A4" w14:textId="08A7E8FA" w:rsidR="00974625" w:rsidRPr="0047512E" w:rsidRDefault="00974625" w:rsidP="0047512E">
      <w:pPr>
        <w:tabs>
          <w:tab w:val="left" w:pos="3270"/>
        </w:tabs>
        <w:spacing w:line="360" w:lineRule="auto"/>
        <w:rPr>
          <w:rFonts w:ascii="Arial" w:hAnsi="Arial" w:cs="Arial"/>
          <w:color w:val="000000" w:themeColor="text1"/>
        </w:rPr>
      </w:pPr>
      <w:r w:rsidRPr="0047512E">
        <w:rPr>
          <w:rFonts w:ascii="Arial" w:hAnsi="Arial" w:cs="Arial"/>
          <w:color w:val="000000" w:themeColor="text1"/>
        </w:rPr>
        <w:t>El 29 de julio el Senado votó para aceptar el reporte con 74 votos a favor y 26 en contra.</w:t>
      </w:r>
      <w:r w:rsidR="00F51D2B" w:rsidRPr="0047512E">
        <w:rPr>
          <w:rFonts w:ascii="Arial" w:hAnsi="Arial" w:cs="Arial"/>
          <w:color w:val="000000" w:themeColor="text1"/>
        </w:rPr>
        <w:t xml:space="preserve"> La ley fue aprobada en el Senado con una mayoría del 74% de los votos; de los cuales el 66 por ciento fue de senadores republicanos y el 33 por ciento de senadores demócratas. En cuanto a los votos en contra, el 23 por ciento de </w:t>
      </w:r>
      <w:r w:rsidR="00322A56" w:rsidRPr="0047512E">
        <w:rPr>
          <w:rFonts w:ascii="Arial" w:hAnsi="Arial" w:cs="Arial"/>
          <w:color w:val="000000" w:themeColor="text1"/>
        </w:rPr>
        <w:t>ellos</w:t>
      </w:r>
      <w:r w:rsidR="00F51D2B" w:rsidRPr="0047512E">
        <w:rPr>
          <w:rFonts w:ascii="Arial" w:hAnsi="Arial" w:cs="Arial"/>
          <w:color w:val="000000" w:themeColor="text1"/>
        </w:rPr>
        <w:t xml:space="preserve"> fue de senadores y la mayoría por 73 por ciento, de republicanos. </w:t>
      </w:r>
    </w:p>
    <w:p w14:paraId="3B2C5261" w14:textId="77777777" w:rsidR="00974625" w:rsidRPr="00974625" w:rsidRDefault="00974625" w:rsidP="00974625">
      <w:pPr>
        <w:rPr>
          <w:color w:val="000000" w:themeColor="text1"/>
        </w:rPr>
      </w:pPr>
    </w:p>
    <w:p w14:paraId="060A08FD" w14:textId="2414B445" w:rsidR="00974625" w:rsidRDefault="00974625" w:rsidP="00974625">
      <w:pPr>
        <w:jc w:val="center"/>
      </w:pPr>
      <w:r>
        <w:rPr>
          <w:rFonts w:ascii="Helvetica" w:hAnsi="Helvetica" w:cs="Helvetica"/>
          <w:noProof/>
          <w:color w:val="141712"/>
          <w:sz w:val="23"/>
          <w:szCs w:val="23"/>
        </w:rPr>
        <w:lastRenderedPageBreak/>
        <w:drawing>
          <wp:inline distT="0" distB="0" distL="0" distR="0" wp14:anchorId="49548AF1" wp14:editId="4B630B27">
            <wp:extent cx="2857500" cy="1619250"/>
            <wp:effectExtent l="0" t="0" r="0" b="0"/>
            <wp:docPr id="6" name="Imagen 6" descr="https://www.govtrack.us/congress/votes/109-2005/s213/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vtrack.us/congress/votes/109-2005/s213/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14:paraId="631065CD" w14:textId="77777777" w:rsidR="00974625" w:rsidRPr="00654074" w:rsidRDefault="00974625" w:rsidP="00974625">
      <w:pPr>
        <w:shd w:val="clear" w:color="auto" w:fill="FFFFFF"/>
        <w:spacing w:line="234" w:lineRule="atLeast"/>
        <w:jc w:val="center"/>
        <w:rPr>
          <w:rFonts w:ascii="Helvetica" w:hAnsi="Helvetica" w:cs="Helvetica"/>
          <w:color w:val="666666"/>
          <w:sz w:val="18"/>
          <w:szCs w:val="18"/>
        </w:rPr>
      </w:pPr>
      <w:r w:rsidRPr="00654074">
        <w:rPr>
          <w:rFonts w:ascii="Helvetica" w:hAnsi="Helvetica" w:cs="Helvetica"/>
          <w:color w:val="666666"/>
          <w:sz w:val="18"/>
          <w:szCs w:val="18"/>
        </w:rPr>
        <w:t> </w:t>
      </w:r>
      <w:r w:rsidRPr="00654074">
        <w:rPr>
          <w:rFonts w:ascii="Helvetica" w:hAnsi="Helvetica" w:cs="Helvetica"/>
          <w:color w:val="FFFFFF"/>
          <w:sz w:val="18"/>
          <w:szCs w:val="18"/>
          <w:shd w:val="clear" w:color="auto" w:fill="E64045"/>
        </w:rPr>
        <w:t>Republicanos</w:t>
      </w:r>
      <w:r>
        <w:rPr>
          <w:rFonts w:ascii="Helvetica" w:hAnsi="Helvetica" w:cs="Helvetica"/>
          <w:color w:val="FFFFFF"/>
          <w:sz w:val="18"/>
          <w:szCs w:val="18"/>
          <w:shd w:val="clear" w:color="auto" w:fill="E64045"/>
        </w:rPr>
        <w:t>,</w:t>
      </w:r>
      <w:r w:rsidRPr="00654074">
        <w:rPr>
          <w:rFonts w:ascii="Helvetica" w:hAnsi="Helvetica" w:cs="Helvetica"/>
          <w:color w:val="FFFFFF"/>
          <w:sz w:val="18"/>
          <w:szCs w:val="18"/>
          <w:shd w:val="clear" w:color="auto" w:fill="E64045"/>
        </w:rPr>
        <w:t xml:space="preserve"> </w:t>
      </w:r>
      <w:r>
        <w:rPr>
          <w:rFonts w:ascii="Helvetica" w:hAnsi="Helvetica" w:cs="Helvetica"/>
          <w:color w:val="FFFFFF"/>
          <w:sz w:val="18"/>
          <w:szCs w:val="18"/>
          <w:shd w:val="clear" w:color="auto" w:fill="E64045"/>
        </w:rPr>
        <w:t>a</w:t>
      </w:r>
      <w:r w:rsidRPr="00654074">
        <w:rPr>
          <w:rFonts w:ascii="Helvetica" w:hAnsi="Helvetica" w:cs="Helvetica"/>
          <w:color w:val="FFFFFF"/>
          <w:sz w:val="18"/>
          <w:szCs w:val="18"/>
          <w:shd w:val="clear" w:color="auto" w:fill="E64045"/>
        </w:rPr>
        <w:t xml:space="preserve"> favor</w:t>
      </w:r>
      <w:r w:rsidRPr="00654074">
        <w:rPr>
          <w:rFonts w:ascii="Helvetica" w:hAnsi="Helvetica" w:cs="Helvetica"/>
          <w:color w:val="666666"/>
          <w:sz w:val="18"/>
          <w:szCs w:val="18"/>
        </w:rPr>
        <w:t> </w:t>
      </w:r>
      <w:r w:rsidRPr="00654074">
        <w:rPr>
          <w:rFonts w:ascii="Helvetica" w:hAnsi="Helvetica" w:cs="Helvetica"/>
          <w:color w:val="FFFFFF"/>
          <w:sz w:val="18"/>
          <w:szCs w:val="18"/>
          <w:shd w:val="clear" w:color="auto" w:fill="2657A1"/>
        </w:rPr>
        <w:t>Demócratas</w:t>
      </w:r>
      <w:r>
        <w:rPr>
          <w:rFonts w:ascii="Helvetica" w:hAnsi="Helvetica" w:cs="Helvetica"/>
          <w:color w:val="FFFFFF"/>
          <w:sz w:val="18"/>
          <w:szCs w:val="18"/>
          <w:shd w:val="clear" w:color="auto" w:fill="2657A1"/>
        </w:rPr>
        <w:t>,</w:t>
      </w:r>
      <w:r w:rsidRPr="00654074">
        <w:rPr>
          <w:rFonts w:ascii="Helvetica" w:hAnsi="Helvetica" w:cs="Helvetica"/>
          <w:color w:val="FFFFFF"/>
          <w:sz w:val="18"/>
          <w:szCs w:val="18"/>
          <w:shd w:val="clear" w:color="auto" w:fill="2657A1"/>
        </w:rPr>
        <w:t xml:space="preserve"> </w:t>
      </w:r>
      <w:r>
        <w:rPr>
          <w:rFonts w:ascii="Helvetica" w:hAnsi="Helvetica" w:cs="Helvetica"/>
          <w:color w:val="FFFFFF"/>
          <w:sz w:val="18"/>
          <w:szCs w:val="18"/>
          <w:shd w:val="clear" w:color="auto" w:fill="2657A1"/>
        </w:rPr>
        <w:t>a</w:t>
      </w:r>
      <w:r w:rsidRPr="00654074">
        <w:rPr>
          <w:rFonts w:ascii="Helvetica" w:hAnsi="Helvetica" w:cs="Helvetica"/>
          <w:color w:val="FFFFFF"/>
          <w:sz w:val="18"/>
          <w:szCs w:val="18"/>
          <w:shd w:val="clear" w:color="auto" w:fill="2657A1"/>
        </w:rPr>
        <w:t xml:space="preserve"> favor</w:t>
      </w:r>
      <w:r w:rsidRPr="00654074">
        <w:rPr>
          <w:rFonts w:ascii="Helvetica" w:hAnsi="Helvetica" w:cs="Helvetica"/>
          <w:color w:val="222222"/>
          <w:sz w:val="18"/>
          <w:szCs w:val="18"/>
          <w:shd w:val="clear" w:color="auto" w:fill="FFD9D9"/>
        </w:rPr>
        <w:t xml:space="preserve"> Republicanos</w:t>
      </w:r>
      <w:r>
        <w:rPr>
          <w:rFonts w:ascii="Helvetica" w:hAnsi="Helvetica" w:cs="Helvetica"/>
          <w:color w:val="222222"/>
          <w:sz w:val="18"/>
          <w:szCs w:val="18"/>
          <w:shd w:val="clear" w:color="auto" w:fill="FFD9D9"/>
        </w:rPr>
        <w:t>,</w:t>
      </w:r>
      <w:r w:rsidRPr="00654074">
        <w:rPr>
          <w:rFonts w:ascii="Helvetica" w:hAnsi="Helvetica" w:cs="Helvetica"/>
          <w:color w:val="222222"/>
          <w:sz w:val="18"/>
          <w:szCs w:val="18"/>
          <w:shd w:val="clear" w:color="auto" w:fill="FFD9D9"/>
        </w:rPr>
        <w:t xml:space="preserve"> en contra</w:t>
      </w:r>
      <w:r w:rsidRPr="00654074">
        <w:rPr>
          <w:rFonts w:ascii="Helvetica" w:hAnsi="Helvetica" w:cs="Helvetica"/>
          <w:color w:val="666666"/>
          <w:sz w:val="18"/>
          <w:szCs w:val="18"/>
        </w:rPr>
        <w:t> </w:t>
      </w:r>
      <w:r w:rsidRPr="00654074">
        <w:rPr>
          <w:rFonts w:ascii="Helvetica" w:hAnsi="Helvetica" w:cs="Helvetica"/>
          <w:color w:val="222222"/>
          <w:sz w:val="18"/>
          <w:szCs w:val="18"/>
          <w:shd w:val="clear" w:color="auto" w:fill="D9D9FF"/>
        </w:rPr>
        <w:t>D</w:t>
      </w:r>
      <w:r>
        <w:rPr>
          <w:rFonts w:ascii="Helvetica" w:hAnsi="Helvetica" w:cs="Helvetica"/>
          <w:color w:val="222222"/>
          <w:sz w:val="18"/>
          <w:szCs w:val="18"/>
          <w:shd w:val="clear" w:color="auto" w:fill="D9D9FF"/>
        </w:rPr>
        <w:t>emócratas, en contra</w:t>
      </w:r>
    </w:p>
    <w:p w14:paraId="31AFBB93" w14:textId="65BB5407" w:rsidR="00974625" w:rsidRDefault="00974625" w:rsidP="00974625">
      <w:pPr>
        <w:jc w:val="center"/>
      </w:pPr>
      <w:r>
        <w:t>Fuente: house.gov</w:t>
      </w:r>
    </w:p>
    <w:p w14:paraId="4659F548" w14:textId="77777777" w:rsidR="0017083F" w:rsidRDefault="0017083F" w:rsidP="00974625">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60"/>
        <w:gridCol w:w="1494"/>
        <w:gridCol w:w="1275"/>
        <w:gridCol w:w="1134"/>
        <w:gridCol w:w="1276"/>
      </w:tblGrid>
      <w:tr w:rsidR="000179B6" w:rsidRPr="000179B6" w14:paraId="7FCBE13B" w14:textId="77777777" w:rsidTr="000179B6">
        <w:trPr>
          <w:trHeight w:val="450"/>
          <w:tblHeader/>
          <w:jc w:val="center"/>
        </w:trPr>
        <w:tc>
          <w:tcPr>
            <w:tcW w:w="1260" w:type="dxa"/>
            <w:shd w:val="clear" w:color="auto" w:fill="auto"/>
            <w:tcMar>
              <w:top w:w="0" w:type="dxa"/>
              <w:left w:w="60" w:type="dxa"/>
              <w:bottom w:w="0" w:type="dxa"/>
              <w:right w:w="60" w:type="dxa"/>
            </w:tcMar>
            <w:vAlign w:val="center"/>
            <w:hideMark/>
          </w:tcPr>
          <w:p w14:paraId="096BD834" w14:textId="77777777" w:rsidR="000179B6" w:rsidRPr="000179B6" w:rsidRDefault="000179B6" w:rsidP="008311A3">
            <w:pPr>
              <w:spacing w:after="240" w:line="300" w:lineRule="atLeast"/>
              <w:jc w:val="center"/>
              <w:rPr>
                <w:sz w:val="15"/>
                <w:szCs w:val="15"/>
                <w:lang w:val="en-US"/>
              </w:rPr>
            </w:pPr>
          </w:p>
        </w:tc>
        <w:tc>
          <w:tcPr>
            <w:tcW w:w="1494" w:type="dxa"/>
            <w:shd w:val="clear" w:color="auto" w:fill="auto"/>
            <w:tcMar>
              <w:top w:w="0" w:type="dxa"/>
              <w:left w:w="60" w:type="dxa"/>
              <w:bottom w:w="0" w:type="dxa"/>
              <w:right w:w="60" w:type="dxa"/>
            </w:tcMar>
            <w:vAlign w:val="center"/>
            <w:hideMark/>
          </w:tcPr>
          <w:p w14:paraId="0951E955" w14:textId="77777777" w:rsidR="000179B6" w:rsidRPr="000179B6" w:rsidRDefault="000179B6" w:rsidP="008311A3">
            <w:pPr>
              <w:spacing w:after="240" w:line="300" w:lineRule="atLeast"/>
              <w:jc w:val="center"/>
              <w:rPr>
                <w:sz w:val="15"/>
                <w:szCs w:val="15"/>
              </w:rPr>
            </w:pPr>
            <w:r w:rsidRPr="000179B6">
              <w:rPr>
                <w:sz w:val="15"/>
                <w:szCs w:val="15"/>
              </w:rPr>
              <w:t>Total</w:t>
            </w:r>
          </w:p>
        </w:tc>
        <w:tc>
          <w:tcPr>
            <w:tcW w:w="1275" w:type="dxa"/>
            <w:shd w:val="clear" w:color="auto" w:fill="auto"/>
            <w:tcMar>
              <w:top w:w="0" w:type="dxa"/>
              <w:left w:w="60" w:type="dxa"/>
              <w:bottom w:w="0" w:type="dxa"/>
              <w:right w:w="60" w:type="dxa"/>
            </w:tcMar>
            <w:vAlign w:val="center"/>
            <w:hideMark/>
          </w:tcPr>
          <w:p w14:paraId="26711C53" w14:textId="77777777" w:rsidR="000179B6" w:rsidRPr="000179B6" w:rsidRDefault="000179B6" w:rsidP="008311A3">
            <w:pPr>
              <w:spacing w:after="240" w:line="300" w:lineRule="atLeast"/>
              <w:jc w:val="center"/>
              <w:rPr>
                <w:color w:val="FF0000"/>
                <w:sz w:val="15"/>
                <w:szCs w:val="15"/>
              </w:rPr>
            </w:pPr>
            <w:r w:rsidRPr="000179B6">
              <w:rPr>
                <w:color w:val="FF0000"/>
                <w:sz w:val="15"/>
                <w:szCs w:val="15"/>
              </w:rPr>
              <w:t>  Republicanos</w:t>
            </w:r>
          </w:p>
        </w:tc>
        <w:tc>
          <w:tcPr>
            <w:tcW w:w="1134" w:type="dxa"/>
            <w:shd w:val="clear" w:color="auto" w:fill="auto"/>
            <w:tcMar>
              <w:top w:w="0" w:type="dxa"/>
              <w:left w:w="60" w:type="dxa"/>
              <w:bottom w:w="0" w:type="dxa"/>
              <w:right w:w="60" w:type="dxa"/>
            </w:tcMar>
            <w:vAlign w:val="center"/>
            <w:hideMark/>
          </w:tcPr>
          <w:p w14:paraId="5C5869B4" w14:textId="77777777" w:rsidR="000179B6" w:rsidRPr="000179B6" w:rsidRDefault="000179B6" w:rsidP="008311A3">
            <w:pPr>
              <w:spacing w:after="240" w:line="300" w:lineRule="atLeast"/>
              <w:jc w:val="center"/>
              <w:rPr>
                <w:color w:val="0070C0"/>
                <w:sz w:val="15"/>
                <w:szCs w:val="15"/>
              </w:rPr>
            </w:pPr>
            <w:r w:rsidRPr="000179B6">
              <w:rPr>
                <w:color w:val="0070C0"/>
                <w:sz w:val="15"/>
                <w:szCs w:val="15"/>
              </w:rPr>
              <w:t>   Demócratas</w:t>
            </w:r>
          </w:p>
        </w:tc>
        <w:tc>
          <w:tcPr>
            <w:tcW w:w="1276" w:type="dxa"/>
            <w:shd w:val="clear" w:color="auto" w:fill="auto"/>
            <w:tcMar>
              <w:top w:w="0" w:type="dxa"/>
              <w:left w:w="60" w:type="dxa"/>
              <w:bottom w:w="0" w:type="dxa"/>
              <w:right w:w="60" w:type="dxa"/>
            </w:tcMar>
            <w:vAlign w:val="center"/>
            <w:hideMark/>
          </w:tcPr>
          <w:p w14:paraId="46DBF828" w14:textId="77777777" w:rsidR="000179B6" w:rsidRPr="000179B6" w:rsidRDefault="000179B6" w:rsidP="008311A3">
            <w:pPr>
              <w:spacing w:after="240" w:line="300" w:lineRule="atLeast"/>
              <w:jc w:val="center"/>
              <w:rPr>
                <w:sz w:val="15"/>
                <w:szCs w:val="15"/>
              </w:rPr>
            </w:pPr>
            <w:r w:rsidRPr="000179B6">
              <w:rPr>
                <w:sz w:val="15"/>
                <w:szCs w:val="15"/>
              </w:rPr>
              <w:t xml:space="preserve"> </w:t>
            </w:r>
            <w:proofErr w:type="spellStart"/>
            <w:r w:rsidRPr="000179B6">
              <w:rPr>
                <w:sz w:val="15"/>
                <w:szCs w:val="15"/>
              </w:rPr>
              <w:t>Independente</w:t>
            </w:r>
            <w:proofErr w:type="spellEnd"/>
          </w:p>
        </w:tc>
      </w:tr>
      <w:tr w:rsidR="000179B6" w:rsidRPr="000179B6" w14:paraId="2D92E641" w14:textId="77777777" w:rsidTr="000179B6">
        <w:trPr>
          <w:trHeight w:val="1455"/>
          <w:jc w:val="center"/>
        </w:trPr>
        <w:tc>
          <w:tcPr>
            <w:tcW w:w="1260" w:type="dxa"/>
            <w:vMerge w:val="restart"/>
            <w:shd w:val="clear" w:color="auto" w:fill="auto"/>
            <w:tcMar>
              <w:top w:w="0" w:type="dxa"/>
              <w:left w:w="0" w:type="dxa"/>
              <w:bottom w:w="0" w:type="dxa"/>
              <w:right w:w="150" w:type="dxa"/>
            </w:tcMar>
            <w:vAlign w:val="center"/>
            <w:hideMark/>
          </w:tcPr>
          <w:p w14:paraId="4B8C984F" w14:textId="77777777" w:rsidR="000179B6" w:rsidRPr="000179B6" w:rsidRDefault="000179B6" w:rsidP="008311A3">
            <w:pPr>
              <w:spacing w:after="240" w:line="150" w:lineRule="atLeast"/>
              <w:jc w:val="right"/>
              <w:rPr>
                <w:b/>
                <w:bCs/>
                <w:caps/>
                <w:sz w:val="15"/>
                <w:szCs w:val="15"/>
              </w:rPr>
            </w:pPr>
            <w:r w:rsidRPr="000179B6">
              <w:rPr>
                <w:b/>
                <w:bCs/>
                <w:caps/>
                <w:sz w:val="15"/>
                <w:szCs w:val="15"/>
              </w:rPr>
              <w:t>A Favor</w:t>
            </w:r>
          </w:p>
        </w:tc>
        <w:tc>
          <w:tcPr>
            <w:tcW w:w="1494" w:type="dxa"/>
            <w:shd w:val="clear" w:color="auto" w:fill="auto"/>
            <w:tcMar>
              <w:top w:w="0" w:type="dxa"/>
              <w:left w:w="90" w:type="dxa"/>
              <w:bottom w:w="0" w:type="dxa"/>
              <w:right w:w="90" w:type="dxa"/>
            </w:tcMar>
            <w:vAlign w:val="center"/>
            <w:hideMark/>
          </w:tcPr>
          <w:p w14:paraId="6BBBDC8C" w14:textId="77777777" w:rsidR="000179B6" w:rsidRPr="000179B6" w:rsidRDefault="000179B6" w:rsidP="008311A3">
            <w:pPr>
              <w:spacing w:after="240"/>
              <w:jc w:val="center"/>
              <w:rPr>
                <w:b/>
                <w:bCs/>
              </w:rPr>
            </w:pPr>
            <w:r w:rsidRPr="000179B6">
              <w:rPr>
                <w:b/>
                <w:bCs/>
              </w:rPr>
              <w:t>74</w:t>
            </w:r>
          </w:p>
        </w:tc>
        <w:tc>
          <w:tcPr>
            <w:tcW w:w="1275" w:type="dxa"/>
            <w:shd w:val="clear" w:color="auto" w:fill="auto"/>
            <w:tcMar>
              <w:top w:w="0" w:type="dxa"/>
              <w:left w:w="0" w:type="dxa"/>
              <w:bottom w:w="0" w:type="dxa"/>
              <w:right w:w="0" w:type="dxa"/>
            </w:tcMar>
            <w:vAlign w:val="center"/>
            <w:hideMark/>
          </w:tcPr>
          <w:p w14:paraId="2108DC80" w14:textId="77777777" w:rsidR="000179B6" w:rsidRPr="000179B6" w:rsidRDefault="000179B6" w:rsidP="008311A3">
            <w:pPr>
              <w:spacing w:after="240"/>
              <w:jc w:val="center"/>
              <w:rPr>
                <w:color w:val="FF0000"/>
              </w:rPr>
            </w:pPr>
            <w:r w:rsidRPr="000179B6">
              <w:rPr>
                <w:color w:val="FF0000"/>
              </w:rPr>
              <w:t>49</w:t>
            </w:r>
          </w:p>
        </w:tc>
        <w:tc>
          <w:tcPr>
            <w:tcW w:w="1134" w:type="dxa"/>
            <w:shd w:val="clear" w:color="auto" w:fill="auto"/>
            <w:tcMar>
              <w:top w:w="0" w:type="dxa"/>
              <w:left w:w="0" w:type="dxa"/>
              <w:bottom w:w="0" w:type="dxa"/>
              <w:right w:w="0" w:type="dxa"/>
            </w:tcMar>
            <w:vAlign w:val="center"/>
            <w:hideMark/>
          </w:tcPr>
          <w:p w14:paraId="6BFFD4DE" w14:textId="77777777" w:rsidR="000179B6" w:rsidRPr="000179B6" w:rsidRDefault="000179B6" w:rsidP="008311A3">
            <w:pPr>
              <w:spacing w:after="240"/>
              <w:jc w:val="center"/>
              <w:rPr>
                <w:color w:val="0070C0"/>
              </w:rPr>
            </w:pPr>
            <w:r w:rsidRPr="000179B6">
              <w:rPr>
                <w:color w:val="0070C0"/>
              </w:rPr>
              <w:t>25</w:t>
            </w:r>
          </w:p>
        </w:tc>
        <w:tc>
          <w:tcPr>
            <w:tcW w:w="1276" w:type="dxa"/>
            <w:shd w:val="clear" w:color="auto" w:fill="auto"/>
            <w:tcMar>
              <w:top w:w="0" w:type="dxa"/>
              <w:left w:w="0" w:type="dxa"/>
              <w:bottom w:w="0" w:type="dxa"/>
              <w:right w:w="0" w:type="dxa"/>
            </w:tcMar>
            <w:vAlign w:val="center"/>
            <w:hideMark/>
          </w:tcPr>
          <w:p w14:paraId="50963598" w14:textId="77777777" w:rsidR="000179B6" w:rsidRPr="000179B6" w:rsidRDefault="000179B6" w:rsidP="008311A3">
            <w:pPr>
              <w:spacing w:after="240"/>
              <w:jc w:val="center"/>
            </w:pPr>
            <w:r w:rsidRPr="000179B6">
              <w:t>0</w:t>
            </w:r>
          </w:p>
        </w:tc>
      </w:tr>
      <w:tr w:rsidR="000179B6" w:rsidRPr="000179B6" w14:paraId="4C78A490" w14:textId="77777777" w:rsidTr="000179B6">
        <w:trPr>
          <w:trHeight w:val="735"/>
          <w:jc w:val="center"/>
        </w:trPr>
        <w:tc>
          <w:tcPr>
            <w:tcW w:w="1260" w:type="dxa"/>
            <w:vMerge/>
            <w:shd w:val="clear" w:color="auto" w:fill="auto"/>
            <w:tcMar>
              <w:top w:w="0" w:type="dxa"/>
              <w:left w:w="0" w:type="dxa"/>
              <w:bottom w:w="0" w:type="dxa"/>
              <w:right w:w="150" w:type="dxa"/>
            </w:tcMar>
            <w:vAlign w:val="center"/>
          </w:tcPr>
          <w:p w14:paraId="779823E0" w14:textId="77777777" w:rsidR="000179B6" w:rsidRPr="000179B6" w:rsidRDefault="000179B6" w:rsidP="008311A3">
            <w:pPr>
              <w:spacing w:after="240" w:line="150" w:lineRule="atLeast"/>
              <w:jc w:val="right"/>
              <w:rPr>
                <w:rStyle w:val="votepositive"/>
                <w:b/>
                <w:bCs/>
                <w:caps/>
                <w:sz w:val="15"/>
                <w:szCs w:val="15"/>
                <w:bdr w:val="single" w:sz="6" w:space="0" w:color="AAAAAA" w:frame="1"/>
                <w:shd w:val="clear" w:color="auto" w:fill="EEFFEE"/>
              </w:rPr>
            </w:pPr>
          </w:p>
        </w:tc>
        <w:tc>
          <w:tcPr>
            <w:tcW w:w="1494" w:type="dxa"/>
            <w:shd w:val="clear" w:color="auto" w:fill="auto"/>
            <w:tcMar>
              <w:top w:w="0" w:type="dxa"/>
              <w:left w:w="90" w:type="dxa"/>
              <w:bottom w:w="0" w:type="dxa"/>
              <w:right w:w="90" w:type="dxa"/>
            </w:tcMar>
            <w:vAlign w:val="center"/>
          </w:tcPr>
          <w:p w14:paraId="22A54788" w14:textId="77777777" w:rsidR="000179B6" w:rsidRPr="000179B6" w:rsidRDefault="000179B6" w:rsidP="008311A3">
            <w:pPr>
              <w:spacing w:after="240"/>
              <w:jc w:val="center"/>
              <w:rPr>
                <w:b/>
                <w:bCs/>
              </w:rPr>
            </w:pPr>
            <w:r w:rsidRPr="000179B6">
              <w:rPr>
                <w:b/>
                <w:bCs/>
              </w:rPr>
              <w:t>74%</w:t>
            </w:r>
          </w:p>
        </w:tc>
        <w:tc>
          <w:tcPr>
            <w:tcW w:w="1275" w:type="dxa"/>
            <w:shd w:val="clear" w:color="auto" w:fill="auto"/>
            <w:tcMar>
              <w:top w:w="0" w:type="dxa"/>
              <w:left w:w="0" w:type="dxa"/>
              <w:bottom w:w="0" w:type="dxa"/>
              <w:right w:w="0" w:type="dxa"/>
            </w:tcMar>
            <w:vAlign w:val="center"/>
          </w:tcPr>
          <w:p w14:paraId="39B5E953" w14:textId="77777777" w:rsidR="000179B6" w:rsidRPr="000179B6" w:rsidRDefault="000179B6" w:rsidP="008311A3">
            <w:pPr>
              <w:spacing w:after="240"/>
              <w:jc w:val="center"/>
              <w:rPr>
                <w:color w:val="FF0000"/>
              </w:rPr>
            </w:pPr>
            <w:r w:rsidRPr="000179B6">
              <w:rPr>
                <w:color w:val="FF0000"/>
              </w:rPr>
              <w:t>66.2%</w:t>
            </w:r>
          </w:p>
        </w:tc>
        <w:tc>
          <w:tcPr>
            <w:tcW w:w="1134" w:type="dxa"/>
            <w:shd w:val="clear" w:color="auto" w:fill="auto"/>
            <w:tcMar>
              <w:top w:w="0" w:type="dxa"/>
              <w:left w:w="0" w:type="dxa"/>
              <w:bottom w:w="0" w:type="dxa"/>
              <w:right w:w="0" w:type="dxa"/>
            </w:tcMar>
            <w:vAlign w:val="center"/>
          </w:tcPr>
          <w:p w14:paraId="12C4E27B" w14:textId="77777777" w:rsidR="000179B6" w:rsidRPr="000179B6" w:rsidRDefault="000179B6" w:rsidP="008311A3">
            <w:pPr>
              <w:spacing w:after="240"/>
              <w:jc w:val="center"/>
              <w:rPr>
                <w:color w:val="0070C0"/>
              </w:rPr>
            </w:pPr>
            <w:r w:rsidRPr="000179B6">
              <w:rPr>
                <w:color w:val="0070C0"/>
              </w:rPr>
              <w:t>33.7%</w:t>
            </w:r>
          </w:p>
        </w:tc>
        <w:tc>
          <w:tcPr>
            <w:tcW w:w="1276" w:type="dxa"/>
            <w:shd w:val="clear" w:color="auto" w:fill="auto"/>
            <w:tcMar>
              <w:top w:w="0" w:type="dxa"/>
              <w:left w:w="0" w:type="dxa"/>
              <w:bottom w:w="0" w:type="dxa"/>
              <w:right w:w="0" w:type="dxa"/>
            </w:tcMar>
            <w:vAlign w:val="center"/>
          </w:tcPr>
          <w:p w14:paraId="26314D8B" w14:textId="77777777" w:rsidR="000179B6" w:rsidRPr="000179B6" w:rsidRDefault="000179B6" w:rsidP="008311A3">
            <w:pPr>
              <w:spacing w:after="240"/>
              <w:jc w:val="center"/>
            </w:pPr>
          </w:p>
        </w:tc>
      </w:tr>
      <w:tr w:rsidR="000179B6" w:rsidRPr="000179B6" w14:paraId="593F79EE" w14:textId="77777777" w:rsidTr="000179B6">
        <w:trPr>
          <w:trHeight w:val="1380"/>
          <w:jc w:val="center"/>
        </w:trPr>
        <w:tc>
          <w:tcPr>
            <w:tcW w:w="1260" w:type="dxa"/>
            <w:vMerge w:val="restart"/>
            <w:shd w:val="clear" w:color="auto" w:fill="auto"/>
            <w:tcMar>
              <w:top w:w="0" w:type="dxa"/>
              <w:left w:w="0" w:type="dxa"/>
              <w:bottom w:w="0" w:type="dxa"/>
              <w:right w:w="150" w:type="dxa"/>
            </w:tcMar>
            <w:vAlign w:val="center"/>
            <w:hideMark/>
          </w:tcPr>
          <w:p w14:paraId="4B4E04B3" w14:textId="77777777" w:rsidR="000179B6" w:rsidRPr="000179B6" w:rsidRDefault="000179B6" w:rsidP="008311A3">
            <w:pPr>
              <w:spacing w:after="240" w:line="150" w:lineRule="atLeast"/>
              <w:jc w:val="right"/>
              <w:rPr>
                <w:b/>
                <w:bCs/>
                <w:caps/>
                <w:sz w:val="15"/>
                <w:szCs w:val="15"/>
              </w:rPr>
            </w:pPr>
            <w:r w:rsidRPr="000179B6">
              <w:rPr>
                <w:b/>
                <w:bCs/>
                <w:caps/>
                <w:sz w:val="15"/>
                <w:szCs w:val="15"/>
              </w:rPr>
              <w:t>en contra</w:t>
            </w:r>
          </w:p>
        </w:tc>
        <w:tc>
          <w:tcPr>
            <w:tcW w:w="1494" w:type="dxa"/>
            <w:shd w:val="clear" w:color="auto" w:fill="auto"/>
            <w:tcMar>
              <w:top w:w="0" w:type="dxa"/>
              <w:left w:w="90" w:type="dxa"/>
              <w:bottom w:w="0" w:type="dxa"/>
              <w:right w:w="90" w:type="dxa"/>
            </w:tcMar>
            <w:vAlign w:val="center"/>
            <w:hideMark/>
          </w:tcPr>
          <w:p w14:paraId="0B171F72" w14:textId="77777777" w:rsidR="000179B6" w:rsidRPr="000179B6" w:rsidRDefault="000179B6" w:rsidP="008311A3">
            <w:pPr>
              <w:spacing w:after="240"/>
              <w:jc w:val="center"/>
              <w:rPr>
                <w:b/>
                <w:bCs/>
              </w:rPr>
            </w:pPr>
            <w:r w:rsidRPr="000179B6">
              <w:rPr>
                <w:b/>
                <w:bCs/>
              </w:rPr>
              <w:t>26</w:t>
            </w:r>
          </w:p>
        </w:tc>
        <w:tc>
          <w:tcPr>
            <w:tcW w:w="1275" w:type="dxa"/>
            <w:shd w:val="clear" w:color="auto" w:fill="auto"/>
            <w:tcMar>
              <w:top w:w="0" w:type="dxa"/>
              <w:left w:w="0" w:type="dxa"/>
              <w:bottom w:w="0" w:type="dxa"/>
              <w:right w:w="0" w:type="dxa"/>
            </w:tcMar>
            <w:vAlign w:val="center"/>
            <w:hideMark/>
          </w:tcPr>
          <w:p w14:paraId="111E18C8" w14:textId="77777777" w:rsidR="000179B6" w:rsidRPr="000179B6" w:rsidRDefault="000179B6" w:rsidP="008311A3">
            <w:pPr>
              <w:spacing w:after="240"/>
              <w:jc w:val="center"/>
              <w:rPr>
                <w:color w:val="FF0000"/>
              </w:rPr>
            </w:pPr>
            <w:r w:rsidRPr="000179B6">
              <w:rPr>
                <w:color w:val="FF0000"/>
              </w:rPr>
              <w:t>6</w:t>
            </w:r>
          </w:p>
        </w:tc>
        <w:tc>
          <w:tcPr>
            <w:tcW w:w="1134" w:type="dxa"/>
            <w:shd w:val="clear" w:color="auto" w:fill="auto"/>
            <w:tcMar>
              <w:top w:w="0" w:type="dxa"/>
              <w:left w:w="0" w:type="dxa"/>
              <w:bottom w:w="0" w:type="dxa"/>
              <w:right w:w="0" w:type="dxa"/>
            </w:tcMar>
            <w:vAlign w:val="center"/>
            <w:hideMark/>
          </w:tcPr>
          <w:p w14:paraId="4AA96541" w14:textId="77777777" w:rsidR="000179B6" w:rsidRPr="000179B6" w:rsidRDefault="000179B6" w:rsidP="008311A3">
            <w:pPr>
              <w:spacing w:after="240"/>
              <w:jc w:val="center"/>
              <w:rPr>
                <w:color w:val="0070C0"/>
              </w:rPr>
            </w:pPr>
            <w:r w:rsidRPr="000179B6">
              <w:rPr>
                <w:color w:val="0070C0"/>
              </w:rPr>
              <w:t>19</w:t>
            </w:r>
          </w:p>
        </w:tc>
        <w:tc>
          <w:tcPr>
            <w:tcW w:w="1276" w:type="dxa"/>
            <w:shd w:val="clear" w:color="auto" w:fill="auto"/>
            <w:tcMar>
              <w:top w:w="0" w:type="dxa"/>
              <w:left w:w="0" w:type="dxa"/>
              <w:bottom w:w="0" w:type="dxa"/>
              <w:right w:w="0" w:type="dxa"/>
            </w:tcMar>
            <w:vAlign w:val="center"/>
            <w:hideMark/>
          </w:tcPr>
          <w:p w14:paraId="5F9E5C15" w14:textId="77777777" w:rsidR="000179B6" w:rsidRPr="000179B6" w:rsidRDefault="000179B6" w:rsidP="008311A3">
            <w:pPr>
              <w:spacing w:after="240"/>
              <w:jc w:val="center"/>
            </w:pPr>
            <w:r w:rsidRPr="000179B6">
              <w:t>1</w:t>
            </w:r>
          </w:p>
        </w:tc>
      </w:tr>
      <w:tr w:rsidR="000179B6" w:rsidRPr="000179B6" w14:paraId="30EB8542" w14:textId="77777777" w:rsidTr="000179B6">
        <w:trPr>
          <w:trHeight w:val="800"/>
          <w:jc w:val="center"/>
        </w:trPr>
        <w:tc>
          <w:tcPr>
            <w:tcW w:w="1260" w:type="dxa"/>
            <w:vMerge/>
            <w:shd w:val="clear" w:color="auto" w:fill="auto"/>
            <w:tcMar>
              <w:top w:w="0" w:type="dxa"/>
              <w:left w:w="0" w:type="dxa"/>
              <w:bottom w:w="0" w:type="dxa"/>
              <w:right w:w="150" w:type="dxa"/>
            </w:tcMar>
            <w:vAlign w:val="center"/>
          </w:tcPr>
          <w:p w14:paraId="7335734E" w14:textId="77777777" w:rsidR="000179B6" w:rsidRPr="000179B6" w:rsidRDefault="000179B6" w:rsidP="008311A3">
            <w:pPr>
              <w:spacing w:after="240" w:line="150" w:lineRule="atLeast"/>
              <w:jc w:val="right"/>
              <w:rPr>
                <w:rStyle w:val="votenegative"/>
                <w:b/>
                <w:bCs/>
                <w:caps/>
                <w:sz w:val="15"/>
                <w:szCs w:val="15"/>
                <w:bdr w:val="single" w:sz="6" w:space="0" w:color="AAAAAA" w:frame="1"/>
                <w:shd w:val="clear" w:color="auto" w:fill="FFEEEE"/>
              </w:rPr>
            </w:pPr>
          </w:p>
        </w:tc>
        <w:tc>
          <w:tcPr>
            <w:tcW w:w="1494" w:type="dxa"/>
            <w:shd w:val="clear" w:color="auto" w:fill="auto"/>
            <w:tcMar>
              <w:top w:w="0" w:type="dxa"/>
              <w:left w:w="90" w:type="dxa"/>
              <w:bottom w:w="0" w:type="dxa"/>
              <w:right w:w="90" w:type="dxa"/>
            </w:tcMar>
            <w:vAlign w:val="center"/>
          </w:tcPr>
          <w:p w14:paraId="64955AFD" w14:textId="77777777" w:rsidR="000179B6" w:rsidRPr="000179B6" w:rsidRDefault="000179B6" w:rsidP="008311A3">
            <w:pPr>
              <w:spacing w:after="240"/>
              <w:jc w:val="center"/>
              <w:rPr>
                <w:b/>
                <w:bCs/>
              </w:rPr>
            </w:pPr>
            <w:r w:rsidRPr="000179B6">
              <w:rPr>
                <w:b/>
                <w:bCs/>
              </w:rPr>
              <w:t>26%</w:t>
            </w:r>
          </w:p>
        </w:tc>
        <w:tc>
          <w:tcPr>
            <w:tcW w:w="1275" w:type="dxa"/>
            <w:shd w:val="clear" w:color="auto" w:fill="auto"/>
            <w:tcMar>
              <w:top w:w="0" w:type="dxa"/>
              <w:left w:w="0" w:type="dxa"/>
              <w:bottom w:w="0" w:type="dxa"/>
              <w:right w:w="0" w:type="dxa"/>
            </w:tcMar>
            <w:vAlign w:val="center"/>
          </w:tcPr>
          <w:p w14:paraId="50D08C3A" w14:textId="77777777" w:rsidR="000179B6" w:rsidRPr="000179B6" w:rsidRDefault="000179B6" w:rsidP="008311A3">
            <w:pPr>
              <w:spacing w:after="240"/>
              <w:jc w:val="center"/>
              <w:rPr>
                <w:color w:val="FF0000"/>
              </w:rPr>
            </w:pPr>
            <w:r w:rsidRPr="000179B6">
              <w:rPr>
                <w:color w:val="FF0000"/>
              </w:rPr>
              <w:t>23%</w:t>
            </w:r>
          </w:p>
        </w:tc>
        <w:tc>
          <w:tcPr>
            <w:tcW w:w="1134" w:type="dxa"/>
            <w:shd w:val="clear" w:color="auto" w:fill="auto"/>
            <w:tcMar>
              <w:top w:w="0" w:type="dxa"/>
              <w:left w:w="0" w:type="dxa"/>
              <w:bottom w:w="0" w:type="dxa"/>
              <w:right w:w="0" w:type="dxa"/>
            </w:tcMar>
            <w:vAlign w:val="center"/>
          </w:tcPr>
          <w:p w14:paraId="6BA0719F" w14:textId="77777777" w:rsidR="000179B6" w:rsidRPr="000179B6" w:rsidRDefault="000179B6" w:rsidP="008311A3">
            <w:pPr>
              <w:spacing w:after="240"/>
              <w:jc w:val="center"/>
              <w:rPr>
                <w:color w:val="0070C0"/>
              </w:rPr>
            </w:pPr>
            <w:r w:rsidRPr="000179B6">
              <w:rPr>
                <w:color w:val="0070C0"/>
              </w:rPr>
              <w:t>73%</w:t>
            </w:r>
          </w:p>
        </w:tc>
        <w:tc>
          <w:tcPr>
            <w:tcW w:w="1276" w:type="dxa"/>
            <w:shd w:val="clear" w:color="auto" w:fill="auto"/>
            <w:tcMar>
              <w:top w:w="0" w:type="dxa"/>
              <w:left w:w="0" w:type="dxa"/>
              <w:bottom w:w="0" w:type="dxa"/>
              <w:right w:w="0" w:type="dxa"/>
            </w:tcMar>
            <w:vAlign w:val="center"/>
          </w:tcPr>
          <w:p w14:paraId="0533D7D4" w14:textId="77777777" w:rsidR="000179B6" w:rsidRPr="000179B6" w:rsidRDefault="000179B6" w:rsidP="008311A3">
            <w:pPr>
              <w:spacing w:after="240"/>
              <w:jc w:val="center"/>
            </w:pPr>
            <w:r w:rsidRPr="000179B6">
              <w:t>0.03%</w:t>
            </w:r>
          </w:p>
        </w:tc>
      </w:tr>
      <w:tr w:rsidR="000179B6" w:rsidRPr="000179B6" w14:paraId="6C5F9274" w14:textId="77777777" w:rsidTr="000179B6">
        <w:trPr>
          <w:trHeight w:val="435"/>
          <w:jc w:val="center"/>
        </w:trPr>
        <w:tc>
          <w:tcPr>
            <w:tcW w:w="1260" w:type="dxa"/>
            <w:shd w:val="clear" w:color="auto" w:fill="auto"/>
            <w:tcMar>
              <w:top w:w="0" w:type="dxa"/>
              <w:left w:w="0" w:type="dxa"/>
              <w:bottom w:w="0" w:type="dxa"/>
              <w:right w:w="150" w:type="dxa"/>
            </w:tcMar>
            <w:vAlign w:val="center"/>
            <w:hideMark/>
          </w:tcPr>
          <w:p w14:paraId="5663F304" w14:textId="77777777" w:rsidR="000179B6" w:rsidRPr="000179B6" w:rsidRDefault="000179B6" w:rsidP="008311A3">
            <w:pPr>
              <w:spacing w:after="240" w:line="150" w:lineRule="atLeast"/>
              <w:jc w:val="right"/>
              <w:rPr>
                <w:b/>
                <w:bCs/>
                <w:caps/>
                <w:sz w:val="15"/>
                <w:szCs w:val="15"/>
              </w:rPr>
            </w:pPr>
            <w:r w:rsidRPr="000179B6">
              <w:rPr>
                <w:b/>
                <w:bCs/>
                <w:caps/>
                <w:sz w:val="15"/>
                <w:szCs w:val="15"/>
              </w:rPr>
              <w:t>tipo de votación:</w:t>
            </w:r>
          </w:p>
        </w:tc>
        <w:tc>
          <w:tcPr>
            <w:tcW w:w="1494" w:type="dxa"/>
            <w:shd w:val="clear" w:color="auto" w:fill="auto"/>
            <w:tcMar>
              <w:top w:w="0" w:type="dxa"/>
              <w:left w:w="180" w:type="dxa"/>
              <w:bottom w:w="0" w:type="dxa"/>
              <w:right w:w="0" w:type="dxa"/>
            </w:tcMar>
            <w:vAlign w:val="center"/>
            <w:hideMark/>
          </w:tcPr>
          <w:p w14:paraId="536EC994" w14:textId="77777777" w:rsidR="000179B6" w:rsidRPr="000179B6" w:rsidRDefault="000179B6" w:rsidP="008311A3">
            <w:pPr>
              <w:spacing w:after="240"/>
              <w:rPr>
                <w:sz w:val="20"/>
              </w:rPr>
            </w:pPr>
            <w:r w:rsidRPr="000179B6">
              <w:rPr>
                <w:sz w:val="20"/>
              </w:rPr>
              <w:t xml:space="preserve">Mayoría simple </w:t>
            </w:r>
          </w:p>
        </w:tc>
        <w:tc>
          <w:tcPr>
            <w:tcW w:w="3685" w:type="dxa"/>
            <w:gridSpan w:val="3"/>
            <w:shd w:val="clear" w:color="auto" w:fill="auto"/>
            <w:tcMar>
              <w:top w:w="0" w:type="dxa"/>
              <w:left w:w="0" w:type="dxa"/>
              <w:bottom w:w="0" w:type="dxa"/>
              <w:right w:w="0" w:type="dxa"/>
            </w:tcMar>
            <w:vAlign w:val="center"/>
            <w:hideMark/>
          </w:tcPr>
          <w:p w14:paraId="5C380689" w14:textId="77777777" w:rsidR="000179B6" w:rsidRPr="000179B6" w:rsidRDefault="000179B6" w:rsidP="008311A3">
            <w:pPr>
              <w:spacing w:after="240"/>
              <w:jc w:val="center"/>
            </w:pPr>
            <w:r w:rsidRPr="000179B6">
              <w:t>Fuente: </w:t>
            </w:r>
            <w:hyperlink r:id="rId24" w:history="1">
              <w:r w:rsidRPr="000179B6">
                <w:rPr>
                  <w:rStyle w:val="Hipervnculo"/>
                  <w:color w:val="9D2146"/>
                </w:rPr>
                <w:t>senate.gov</w:t>
              </w:r>
            </w:hyperlink>
          </w:p>
        </w:tc>
      </w:tr>
    </w:tbl>
    <w:p w14:paraId="2929EF4A" w14:textId="77777777" w:rsidR="00322A56" w:rsidRDefault="00322A56" w:rsidP="00322A56"/>
    <w:p w14:paraId="58BA7369" w14:textId="77777777" w:rsidR="000553CA" w:rsidRDefault="000553CA" w:rsidP="00322A56"/>
    <w:p w14:paraId="48CDC0A6" w14:textId="16457F2E" w:rsidR="00322A56" w:rsidRPr="0047512E" w:rsidRDefault="00322A56" w:rsidP="0047512E">
      <w:pPr>
        <w:spacing w:line="360" w:lineRule="auto"/>
        <w:rPr>
          <w:rFonts w:ascii="Arial" w:hAnsi="Arial" w:cs="Arial"/>
        </w:rPr>
      </w:pPr>
      <w:r w:rsidRPr="0047512E">
        <w:rPr>
          <w:rFonts w:ascii="Arial" w:hAnsi="Arial" w:cs="Arial"/>
        </w:rPr>
        <w:t xml:space="preserve">Debido a que los estados con mayores reservas de </w:t>
      </w:r>
      <w:proofErr w:type="spellStart"/>
      <w:r w:rsidRPr="0047512E">
        <w:rPr>
          <w:rFonts w:ascii="Arial" w:hAnsi="Arial" w:cs="Arial"/>
          <w:i/>
        </w:rPr>
        <w:t>shale</w:t>
      </w:r>
      <w:proofErr w:type="spellEnd"/>
      <w:r w:rsidRPr="0047512E">
        <w:rPr>
          <w:rFonts w:ascii="Arial" w:hAnsi="Arial" w:cs="Arial"/>
        </w:rPr>
        <w:t xml:space="preserve"> </w:t>
      </w:r>
      <w:r w:rsidR="002807DD" w:rsidRPr="0047512E">
        <w:rPr>
          <w:rFonts w:ascii="Arial" w:hAnsi="Arial" w:cs="Arial"/>
        </w:rPr>
        <w:t xml:space="preserve">por la presencia de la formación rocosa del Río Verde, Colorado, Utah y Wyoming, son los estados donde los cambios en el arrendamiento de tierras federales para la investigación y recuperación de </w:t>
      </w:r>
      <w:proofErr w:type="spellStart"/>
      <w:r w:rsidR="002807DD" w:rsidRPr="0047512E">
        <w:rPr>
          <w:rFonts w:ascii="Arial" w:hAnsi="Arial" w:cs="Arial"/>
          <w:i/>
        </w:rPr>
        <w:t>shale</w:t>
      </w:r>
      <w:proofErr w:type="spellEnd"/>
      <w:r w:rsidR="002807DD" w:rsidRPr="0047512E">
        <w:rPr>
          <w:rFonts w:ascii="Arial" w:hAnsi="Arial" w:cs="Arial"/>
          <w:i/>
        </w:rPr>
        <w:t xml:space="preserve"> </w:t>
      </w:r>
      <w:r w:rsidR="002807DD" w:rsidRPr="0047512E">
        <w:rPr>
          <w:rFonts w:ascii="Arial" w:hAnsi="Arial" w:cs="Arial"/>
        </w:rPr>
        <w:t xml:space="preserve">tiene incidencia directa, se realizó un análisis de las votaciones </w:t>
      </w:r>
      <w:r w:rsidR="00F928D5">
        <w:rPr>
          <w:rFonts w:ascii="Arial" w:hAnsi="Arial" w:cs="Arial"/>
        </w:rPr>
        <w:t>de</w:t>
      </w:r>
      <w:r w:rsidR="002807DD" w:rsidRPr="0047512E">
        <w:rPr>
          <w:rFonts w:ascii="Arial" w:hAnsi="Arial" w:cs="Arial"/>
        </w:rPr>
        <w:t xml:space="preserve"> los representantes y senadores de dichos estados. Adicionalmente, se revisaron las donaciones </w:t>
      </w:r>
      <w:r w:rsidR="000553CA" w:rsidRPr="0047512E">
        <w:rPr>
          <w:rFonts w:ascii="Arial" w:hAnsi="Arial" w:cs="Arial"/>
        </w:rPr>
        <w:t xml:space="preserve">de los 20 </w:t>
      </w:r>
      <w:r w:rsidR="000553CA" w:rsidRPr="0047512E">
        <w:rPr>
          <w:rFonts w:ascii="Arial" w:hAnsi="Arial" w:cs="Arial"/>
        </w:rPr>
        <w:lastRenderedPageBreak/>
        <w:t xml:space="preserve">principales contribuyentes por industria, Comités de Acción Política y miembros de una organización en específico </w:t>
      </w:r>
      <w:r w:rsidR="002807DD" w:rsidRPr="0047512E">
        <w:rPr>
          <w:rFonts w:ascii="Arial" w:hAnsi="Arial" w:cs="Arial"/>
        </w:rPr>
        <w:t>a las campañas de cada representante y senador</w:t>
      </w:r>
      <w:r w:rsidR="000553CA" w:rsidRPr="0047512E">
        <w:rPr>
          <w:rFonts w:ascii="Arial" w:hAnsi="Arial" w:cs="Arial"/>
        </w:rPr>
        <w:t xml:space="preserve">. </w:t>
      </w:r>
    </w:p>
    <w:p w14:paraId="12242B69" w14:textId="652D1C95" w:rsidR="000553CA" w:rsidRPr="0047512E" w:rsidRDefault="000553CA" w:rsidP="0047512E">
      <w:pPr>
        <w:spacing w:line="360" w:lineRule="auto"/>
        <w:rPr>
          <w:rFonts w:ascii="Arial" w:hAnsi="Arial" w:cs="Arial"/>
        </w:rPr>
      </w:pPr>
      <w:r w:rsidRPr="0047512E">
        <w:rPr>
          <w:rFonts w:ascii="Arial" w:hAnsi="Arial" w:cs="Arial"/>
        </w:rPr>
        <w:t>Se estableció una relación entre los donantes relacionados directamente con el sector energético, ya que se asum</w:t>
      </w:r>
      <w:r w:rsidR="00F928D5">
        <w:rPr>
          <w:rFonts w:ascii="Arial" w:hAnsi="Arial" w:cs="Arial"/>
        </w:rPr>
        <w:t>e</w:t>
      </w:r>
      <w:r w:rsidRPr="0047512E">
        <w:rPr>
          <w:rFonts w:ascii="Arial" w:hAnsi="Arial" w:cs="Arial"/>
        </w:rPr>
        <w:t xml:space="preserve"> que podrían beneficiarse sus empresas o las industrias donde trabajan con la votación que realizó el representante o senado a favor o en contra de la Ley de seguridad Energética.</w:t>
      </w:r>
    </w:p>
    <w:p w14:paraId="2CE1F283" w14:textId="77777777" w:rsidR="006036C7" w:rsidRPr="0047512E" w:rsidRDefault="000553CA" w:rsidP="0047512E">
      <w:pPr>
        <w:spacing w:line="360" w:lineRule="auto"/>
        <w:rPr>
          <w:rFonts w:ascii="Arial" w:hAnsi="Arial" w:cs="Arial"/>
        </w:rPr>
      </w:pPr>
      <w:r w:rsidRPr="0047512E">
        <w:rPr>
          <w:rFonts w:ascii="Arial" w:hAnsi="Arial" w:cs="Arial"/>
        </w:rPr>
        <w:t>De la Cámara de Representantes, el estado de Colorado cue</w:t>
      </w:r>
      <w:r w:rsidR="006036C7" w:rsidRPr="0047512E">
        <w:rPr>
          <w:rFonts w:ascii="Arial" w:hAnsi="Arial" w:cs="Arial"/>
        </w:rPr>
        <w:t>nta con siete representantes, d</w:t>
      </w:r>
      <w:r w:rsidRPr="0047512E">
        <w:rPr>
          <w:rFonts w:ascii="Arial" w:hAnsi="Arial" w:cs="Arial"/>
        </w:rPr>
        <w:t>e</w:t>
      </w:r>
      <w:r w:rsidR="006036C7" w:rsidRPr="0047512E">
        <w:rPr>
          <w:rFonts w:ascii="Arial" w:hAnsi="Arial" w:cs="Arial"/>
        </w:rPr>
        <w:t xml:space="preserve"> </w:t>
      </w:r>
      <w:r w:rsidRPr="0047512E">
        <w:rPr>
          <w:rFonts w:ascii="Arial" w:hAnsi="Arial" w:cs="Arial"/>
        </w:rPr>
        <w:t>los cuales cuatro eran republicanos y tres demócratas.</w:t>
      </w:r>
    </w:p>
    <w:p w14:paraId="4A3189D5" w14:textId="3CF9E031" w:rsidR="006036C7" w:rsidRPr="0047512E" w:rsidRDefault="000553CA" w:rsidP="0047512E">
      <w:pPr>
        <w:spacing w:line="360" w:lineRule="auto"/>
        <w:rPr>
          <w:rFonts w:ascii="Arial" w:hAnsi="Arial" w:cs="Arial"/>
        </w:rPr>
      </w:pPr>
      <w:r w:rsidRPr="0047512E">
        <w:rPr>
          <w:rFonts w:ascii="Arial" w:hAnsi="Arial" w:cs="Arial"/>
        </w:rPr>
        <w:t>Dos de los representantes demócratas votaron la ley en contra</w:t>
      </w:r>
      <w:r w:rsidR="006036C7" w:rsidRPr="0047512E">
        <w:rPr>
          <w:rFonts w:ascii="Arial" w:hAnsi="Arial" w:cs="Arial"/>
        </w:rPr>
        <w:t xml:space="preserve"> y solamente John Salazar, quien recibió donaciones de dos organizaciones relacionadas directamente con el sector energético, votó a favor. Todos los representantes republicanos votaron la ley a favor a pesar de que </w:t>
      </w:r>
      <w:r w:rsidR="00F928D5">
        <w:rPr>
          <w:rFonts w:ascii="Arial" w:hAnsi="Arial" w:cs="Arial"/>
        </w:rPr>
        <w:t xml:space="preserve">sólo </w:t>
      </w:r>
      <w:r w:rsidR="006036C7" w:rsidRPr="0047512E">
        <w:rPr>
          <w:rFonts w:ascii="Arial" w:hAnsi="Arial" w:cs="Arial"/>
        </w:rPr>
        <w:t>dos de los cuatro representantes republicanos de Colorado hayan recibido donaciones de organizaciones del sector.</w:t>
      </w:r>
    </w:p>
    <w:p w14:paraId="132DC82E" w14:textId="537E8A83" w:rsidR="006036C7" w:rsidRDefault="006036C7" w:rsidP="0047512E">
      <w:pPr>
        <w:spacing w:line="360" w:lineRule="auto"/>
        <w:rPr>
          <w:rFonts w:ascii="Arial" w:hAnsi="Arial" w:cs="Arial"/>
        </w:rPr>
      </w:pPr>
      <w:r w:rsidRPr="0047512E">
        <w:rPr>
          <w:rFonts w:ascii="Arial" w:hAnsi="Arial" w:cs="Arial"/>
        </w:rPr>
        <w:t xml:space="preserve">Los estados de Utah y Wyoming con menor cantidad de representantes, </w:t>
      </w:r>
      <w:r w:rsidR="003C5F7E" w:rsidRPr="0047512E">
        <w:rPr>
          <w:rFonts w:ascii="Arial" w:hAnsi="Arial" w:cs="Arial"/>
        </w:rPr>
        <w:t xml:space="preserve">fueron representados por republicanos y votaron </w:t>
      </w:r>
      <w:r w:rsidR="00F928D5">
        <w:rPr>
          <w:rFonts w:ascii="Arial" w:hAnsi="Arial" w:cs="Arial"/>
        </w:rPr>
        <w:t>a</w:t>
      </w:r>
      <w:r w:rsidR="003C5F7E" w:rsidRPr="0047512E">
        <w:rPr>
          <w:rFonts w:ascii="Arial" w:hAnsi="Arial" w:cs="Arial"/>
        </w:rPr>
        <w:t xml:space="preserve"> favor de la ley. Todos los representantes a excepción de Chris </w:t>
      </w:r>
      <w:proofErr w:type="spellStart"/>
      <w:r w:rsidR="003C5F7E" w:rsidRPr="0047512E">
        <w:rPr>
          <w:rFonts w:ascii="Arial" w:hAnsi="Arial" w:cs="Arial"/>
        </w:rPr>
        <w:t>Cannon</w:t>
      </w:r>
      <w:proofErr w:type="spellEnd"/>
      <w:r w:rsidR="003C5F7E" w:rsidRPr="0047512E">
        <w:rPr>
          <w:rFonts w:ascii="Arial" w:hAnsi="Arial" w:cs="Arial"/>
        </w:rPr>
        <w:t xml:space="preserve"> de Utah, recibieron donaciones relacionadas con el sector energético.</w:t>
      </w:r>
    </w:p>
    <w:p w14:paraId="3C8EA0E2" w14:textId="6AE81E9A" w:rsidR="00AB27E6" w:rsidRDefault="00AB27E6">
      <w:pPr>
        <w:rPr>
          <w:rFonts w:ascii="Arial" w:hAnsi="Arial" w:cs="Arial"/>
        </w:rPr>
      </w:pPr>
      <w:r>
        <w:rPr>
          <w:rFonts w:ascii="Arial" w:hAnsi="Arial" w:cs="Arial"/>
        </w:rPr>
        <w:br w:type="page"/>
      </w:r>
    </w:p>
    <w:p w14:paraId="65EAE89D" w14:textId="77777777" w:rsidR="008D5699" w:rsidRPr="0047512E" w:rsidRDefault="008D5699" w:rsidP="0047512E">
      <w:pPr>
        <w:spacing w:line="360" w:lineRule="auto"/>
        <w:rPr>
          <w:rFonts w:ascii="Arial" w:hAnsi="Arial" w:cs="Arial"/>
        </w:rPr>
      </w:pPr>
    </w:p>
    <w:tbl>
      <w:tblPr>
        <w:tblW w:w="89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9"/>
        <w:gridCol w:w="1095"/>
        <w:gridCol w:w="1100"/>
        <w:gridCol w:w="1092"/>
        <w:gridCol w:w="1232"/>
        <w:gridCol w:w="1234"/>
        <w:gridCol w:w="1651"/>
      </w:tblGrid>
      <w:tr w:rsidR="003C5F7E" w:rsidRPr="003C5F7E" w14:paraId="4CE9A398" w14:textId="77777777" w:rsidTr="00AB27E6">
        <w:trPr>
          <w:trHeight w:val="300"/>
        </w:trPr>
        <w:tc>
          <w:tcPr>
            <w:tcW w:w="1520" w:type="dxa"/>
            <w:shd w:val="clear" w:color="auto" w:fill="auto"/>
            <w:noWrap/>
            <w:vAlign w:val="bottom"/>
          </w:tcPr>
          <w:p w14:paraId="59F43A54" w14:textId="60622EB9" w:rsidR="000553CA" w:rsidRPr="003C5F7E" w:rsidRDefault="000553CA"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Representante</w:t>
            </w:r>
          </w:p>
        </w:tc>
        <w:tc>
          <w:tcPr>
            <w:tcW w:w="1096" w:type="dxa"/>
            <w:shd w:val="clear" w:color="auto" w:fill="auto"/>
            <w:noWrap/>
            <w:vAlign w:val="bottom"/>
          </w:tcPr>
          <w:p w14:paraId="096E9CBC" w14:textId="62B612A4" w:rsidR="000553CA" w:rsidRPr="003C5F7E" w:rsidRDefault="000553CA"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Cámara a la que pertenece</w:t>
            </w:r>
          </w:p>
        </w:tc>
        <w:tc>
          <w:tcPr>
            <w:tcW w:w="1100" w:type="dxa"/>
            <w:shd w:val="clear" w:color="auto" w:fill="auto"/>
            <w:noWrap/>
            <w:vAlign w:val="bottom"/>
          </w:tcPr>
          <w:p w14:paraId="737F8134" w14:textId="3C429E0C" w:rsidR="000553CA" w:rsidRPr="003C5F7E" w:rsidRDefault="000553CA"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Estado que representa</w:t>
            </w:r>
          </w:p>
        </w:tc>
        <w:tc>
          <w:tcPr>
            <w:tcW w:w="1092" w:type="dxa"/>
            <w:shd w:val="clear" w:color="auto" w:fill="auto"/>
            <w:noWrap/>
            <w:vAlign w:val="bottom"/>
          </w:tcPr>
          <w:p w14:paraId="7D8CAED5" w14:textId="77777777" w:rsidR="000553CA" w:rsidRPr="003C5F7E" w:rsidRDefault="000553CA"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Votación</w:t>
            </w:r>
          </w:p>
        </w:tc>
        <w:tc>
          <w:tcPr>
            <w:tcW w:w="1232" w:type="dxa"/>
            <w:shd w:val="clear" w:color="auto" w:fill="auto"/>
            <w:noWrap/>
            <w:vAlign w:val="bottom"/>
          </w:tcPr>
          <w:p w14:paraId="191C26D4" w14:textId="7A341CD2" w:rsidR="000553CA" w:rsidRPr="003C5F7E" w:rsidRDefault="000553CA"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Filiación política</w:t>
            </w:r>
          </w:p>
        </w:tc>
        <w:tc>
          <w:tcPr>
            <w:tcW w:w="1232" w:type="dxa"/>
            <w:shd w:val="clear" w:color="auto" w:fill="auto"/>
            <w:noWrap/>
            <w:vAlign w:val="bottom"/>
          </w:tcPr>
          <w:p w14:paraId="680A59D2" w14:textId="77777777" w:rsidR="000553CA" w:rsidRPr="003C5F7E" w:rsidRDefault="000553CA" w:rsidP="008311A3">
            <w:pPr>
              <w:spacing w:after="0" w:line="240" w:lineRule="auto"/>
              <w:jc w:val="right"/>
              <w:rPr>
                <w:rFonts w:ascii="Calibri" w:eastAsia="Times New Roman" w:hAnsi="Calibri" w:cs="Times New Roman"/>
                <w:b/>
                <w:sz w:val="20"/>
              </w:rPr>
            </w:pPr>
            <w:proofErr w:type="spellStart"/>
            <w:r w:rsidRPr="003C5F7E">
              <w:rPr>
                <w:rFonts w:ascii="Calibri" w:eastAsia="Times New Roman" w:hAnsi="Calibri" w:cs="Times New Roman"/>
                <w:b/>
                <w:sz w:val="20"/>
              </w:rPr>
              <w:t>Org</w:t>
            </w:r>
            <w:proofErr w:type="spellEnd"/>
            <w:r w:rsidRPr="003C5F7E">
              <w:rPr>
                <w:rFonts w:ascii="Calibri" w:eastAsia="Times New Roman" w:hAnsi="Calibri" w:cs="Times New Roman"/>
                <w:b/>
                <w:sz w:val="20"/>
              </w:rPr>
              <w:t xml:space="preserve">. donantes Relacionadas con el sector energético </w:t>
            </w:r>
          </w:p>
        </w:tc>
        <w:tc>
          <w:tcPr>
            <w:tcW w:w="1651" w:type="dxa"/>
            <w:shd w:val="clear" w:color="auto" w:fill="auto"/>
            <w:noWrap/>
            <w:vAlign w:val="bottom"/>
          </w:tcPr>
          <w:p w14:paraId="7024C014" w14:textId="22C0A295" w:rsidR="000553CA" w:rsidRPr="003C5F7E" w:rsidRDefault="000553CA"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 xml:space="preserve">Cantidad donada por organizaciones del sector </w:t>
            </w:r>
            <w:r w:rsidR="00E436DE" w:rsidRPr="003C5F7E">
              <w:rPr>
                <w:rFonts w:ascii="Calibri" w:eastAsia="Times New Roman" w:hAnsi="Calibri" w:cs="Times New Roman"/>
                <w:b/>
                <w:sz w:val="20"/>
              </w:rPr>
              <w:t>energético</w:t>
            </w:r>
          </w:p>
        </w:tc>
      </w:tr>
      <w:tr w:rsidR="003C5F7E" w:rsidRPr="003C5F7E" w14:paraId="03632F07" w14:textId="77777777" w:rsidTr="00AB27E6">
        <w:trPr>
          <w:trHeight w:val="300"/>
        </w:trPr>
        <w:tc>
          <w:tcPr>
            <w:tcW w:w="1520" w:type="dxa"/>
            <w:shd w:val="clear" w:color="auto" w:fill="auto"/>
            <w:noWrap/>
            <w:vAlign w:val="bottom"/>
            <w:hideMark/>
          </w:tcPr>
          <w:p w14:paraId="3A35E073"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 xml:space="preserve">Diana </w:t>
            </w:r>
            <w:proofErr w:type="spellStart"/>
            <w:r w:rsidRPr="003C5F7E">
              <w:rPr>
                <w:rFonts w:ascii="Calibri" w:eastAsia="Times New Roman" w:hAnsi="Calibri" w:cs="Times New Roman"/>
                <w:color w:val="0070C0"/>
                <w:sz w:val="20"/>
              </w:rPr>
              <w:t>DeGette</w:t>
            </w:r>
            <w:proofErr w:type="spellEnd"/>
          </w:p>
        </w:tc>
        <w:tc>
          <w:tcPr>
            <w:tcW w:w="1096" w:type="dxa"/>
            <w:shd w:val="clear" w:color="auto" w:fill="auto"/>
            <w:noWrap/>
            <w:vAlign w:val="bottom"/>
            <w:hideMark/>
          </w:tcPr>
          <w:p w14:paraId="3FF07AA3" w14:textId="77777777" w:rsidR="000553CA" w:rsidRPr="003C5F7E" w:rsidRDefault="000553CA" w:rsidP="008311A3">
            <w:pPr>
              <w:spacing w:after="0" w:line="240" w:lineRule="auto"/>
              <w:rPr>
                <w:rFonts w:ascii="Calibri" w:eastAsia="Times New Roman" w:hAnsi="Calibri" w:cs="Times New Roman"/>
                <w:color w:val="0070C0"/>
                <w:sz w:val="20"/>
              </w:rPr>
            </w:pPr>
            <w:proofErr w:type="spellStart"/>
            <w:r w:rsidRPr="003C5F7E">
              <w:rPr>
                <w:rFonts w:ascii="Calibri" w:eastAsia="Times New Roman" w:hAnsi="Calibri" w:cs="Times New Roman"/>
                <w:color w:val="0070C0"/>
                <w:sz w:val="20"/>
              </w:rPr>
              <w:t>HoR</w:t>
            </w:r>
            <w:proofErr w:type="spellEnd"/>
          </w:p>
        </w:tc>
        <w:tc>
          <w:tcPr>
            <w:tcW w:w="1100" w:type="dxa"/>
            <w:shd w:val="clear" w:color="auto" w:fill="auto"/>
            <w:noWrap/>
            <w:vAlign w:val="bottom"/>
            <w:hideMark/>
          </w:tcPr>
          <w:p w14:paraId="079D9769"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Colorado</w:t>
            </w:r>
          </w:p>
        </w:tc>
        <w:tc>
          <w:tcPr>
            <w:tcW w:w="1092" w:type="dxa"/>
            <w:shd w:val="clear" w:color="auto" w:fill="auto"/>
            <w:noWrap/>
            <w:vAlign w:val="bottom"/>
            <w:hideMark/>
          </w:tcPr>
          <w:p w14:paraId="43C6429A"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En contra</w:t>
            </w:r>
          </w:p>
        </w:tc>
        <w:tc>
          <w:tcPr>
            <w:tcW w:w="1232" w:type="dxa"/>
            <w:shd w:val="clear" w:color="auto" w:fill="auto"/>
            <w:noWrap/>
            <w:vAlign w:val="bottom"/>
            <w:hideMark/>
          </w:tcPr>
          <w:p w14:paraId="27F5F546"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Demócrata</w:t>
            </w:r>
          </w:p>
        </w:tc>
        <w:tc>
          <w:tcPr>
            <w:tcW w:w="1232" w:type="dxa"/>
            <w:shd w:val="clear" w:color="auto" w:fill="auto"/>
            <w:noWrap/>
            <w:vAlign w:val="bottom"/>
            <w:hideMark/>
          </w:tcPr>
          <w:p w14:paraId="21CF446A" w14:textId="77777777" w:rsidR="000553CA" w:rsidRPr="003C5F7E" w:rsidRDefault="000553CA" w:rsidP="008311A3">
            <w:pPr>
              <w:spacing w:after="0" w:line="240" w:lineRule="auto"/>
              <w:jc w:val="right"/>
              <w:rPr>
                <w:rFonts w:ascii="Calibri" w:eastAsia="Times New Roman" w:hAnsi="Calibri" w:cs="Times New Roman"/>
                <w:color w:val="0070C0"/>
                <w:sz w:val="20"/>
              </w:rPr>
            </w:pPr>
            <w:r w:rsidRPr="003C5F7E">
              <w:rPr>
                <w:rFonts w:ascii="Calibri" w:eastAsia="Times New Roman" w:hAnsi="Calibri" w:cs="Times New Roman"/>
                <w:color w:val="0070C0"/>
                <w:sz w:val="20"/>
              </w:rPr>
              <w:t>0</w:t>
            </w:r>
          </w:p>
        </w:tc>
        <w:tc>
          <w:tcPr>
            <w:tcW w:w="1651" w:type="dxa"/>
            <w:shd w:val="clear" w:color="auto" w:fill="auto"/>
            <w:noWrap/>
            <w:vAlign w:val="bottom"/>
            <w:hideMark/>
          </w:tcPr>
          <w:p w14:paraId="27806303"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 xml:space="preserve"> $                   -   </w:t>
            </w:r>
          </w:p>
        </w:tc>
      </w:tr>
      <w:tr w:rsidR="003C5F7E" w:rsidRPr="003C5F7E" w14:paraId="21FEFC27" w14:textId="77777777" w:rsidTr="00AB27E6">
        <w:trPr>
          <w:trHeight w:val="300"/>
        </w:trPr>
        <w:tc>
          <w:tcPr>
            <w:tcW w:w="1520" w:type="dxa"/>
            <w:shd w:val="clear" w:color="auto" w:fill="auto"/>
            <w:noWrap/>
            <w:vAlign w:val="bottom"/>
            <w:hideMark/>
          </w:tcPr>
          <w:p w14:paraId="0F0FD738"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 xml:space="preserve">Mark </w:t>
            </w:r>
            <w:proofErr w:type="spellStart"/>
            <w:r w:rsidRPr="003C5F7E">
              <w:rPr>
                <w:rFonts w:ascii="Calibri" w:eastAsia="Times New Roman" w:hAnsi="Calibri" w:cs="Times New Roman"/>
                <w:color w:val="0070C0"/>
                <w:sz w:val="20"/>
              </w:rPr>
              <w:t>Udall</w:t>
            </w:r>
            <w:proofErr w:type="spellEnd"/>
          </w:p>
        </w:tc>
        <w:tc>
          <w:tcPr>
            <w:tcW w:w="1096" w:type="dxa"/>
            <w:shd w:val="clear" w:color="auto" w:fill="auto"/>
            <w:noWrap/>
            <w:vAlign w:val="bottom"/>
            <w:hideMark/>
          </w:tcPr>
          <w:p w14:paraId="6DC0313E" w14:textId="77777777" w:rsidR="000553CA" w:rsidRPr="003C5F7E" w:rsidRDefault="000553CA" w:rsidP="008311A3">
            <w:pPr>
              <w:spacing w:after="0" w:line="240" w:lineRule="auto"/>
              <w:rPr>
                <w:rFonts w:ascii="Calibri" w:eastAsia="Times New Roman" w:hAnsi="Calibri" w:cs="Times New Roman"/>
                <w:color w:val="0070C0"/>
                <w:sz w:val="20"/>
              </w:rPr>
            </w:pPr>
            <w:proofErr w:type="spellStart"/>
            <w:r w:rsidRPr="003C5F7E">
              <w:rPr>
                <w:rFonts w:ascii="Calibri" w:eastAsia="Times New Roman" w:hAnsi="Calibri" w:cs="Times New Roman"/>
                <w:color w:val="0070C0"/>
                <w:sz w:val="20"/>
              </w:rPr>
              <w:t>HoR</w:t>
            </w:r>
            <w:proofErr w:type="spellEnd"/>
          </w:p>
        </w:tc>
        <w:tc>
          <w:tcPr>
            <w:tcW w:w="1100" w:type="dxa"/>
            <w:shd w:val="clear" w:color="auto" w:fill="auto"/>
            <w:noWrap/>
            <w:vAlign w:val="bottom"/>
            <w:hideMark/>
          </w:tcPr>
          <w:p w14:paraId="012E16AE"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Colorado</w:t>
            </w:r>
          </w:p>
        </w:tc>
        <w:tc>
          <w:tcPr>
            <w:tcW w:w="1092" w:type="dxa"/>
            <w:shd w:val="clear" w:color="auto" w:fill="auto"/>
            <w:noWrap/>
            <w:vAlign w:val="bottom"/>
            <w:hideMark/>
          </w:tcPr>
          <w:p w14:paraId="6028CE20"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En contra</w:t>
            </w:r>
          </w:p>
        </w:tc>
        <w:tc>
          <w:tcPr>
            <w:tcW w:w="1232" w:type="dxa"/>
            <w:shd w:val="clear" w:color="auto" w:fill="auto"/>
            <w:noWrap/>
            <w:vAlign w:val="bottom"/>
            <w:hideMark/>
          </w:tcPr>
          <w:p w14:paraId="18789551"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Demócrata</w:t>
            </w:r>
          </w:p>
        </w:tc>
        <w:tc>
          <w:tcPr>
            <w:tcW w:w="1232" w:type="dxa"/>
            <w:shd w:val="clear" w:color="auto" w:fill="auto"/>
            <w:noWrap/>
            <w:vAlign w:val="bottom"/>
            <w:hideMark/>
          </w:tcPr>
          <w:p w14:paraId="650514BF" w14:textId="77777777" w:rsidR="000553CA" w:rsidRPr="003C5F7E" w:rsidRDefault="000553CA" w:rsidP="008311A3">
            <w:pPr>
              <w:spacing w:after="0" w:line="240" w:lineRule="auto"/>
              <w:jc w:val="right"/>
              <w:rPr>
                <w:rFonts w:ascii="Calibri" w:eastAsia="Times New Roman" w:hAnsi="Calibri" w:cs="Times New Roman"/>
                <w:color w:val="0070C0"/>
                <w:sz w:val="20"/>
              </w:rPr>
            </w:pPr>
            <w:r w:rsidRPr="003C5F7E">
              <w:rPr>
                <w:rFonts w:ascii="Calibri" w:eastAsia="Times New Roman" w:hAnsi="Calibri" w:cs="Times New Roman"/>
                <w:color w:val="0070C0"/>
                <w:sz w:val="20"/>
              </w:rPr>
              <w:t>0</w:t>
            </w:r>
          </w:p>
        </w:tc>
        <w:tc>
          <w:tcPr>
            <w:tcW w:w="1651" w:type="dxa"/>
            <w:shd w:val="clear" w:color="auto" w:fill="auto"/>
            <w:noWrap/>
            <w:vAlign w:val="bottom"/>
            <w:hideMark/>
          </w:tcPr>
          <w:p w14:paraId="0EF9D8CD"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 xml:space="preserve"> $                   -   </w:t>
            </w:r>
          </w:p>
        </w:tc>
      </w:tr>
      <w:tr w:rsidR="003C5F7E" w:rsidRPr="003C5F7E" w14:paraId="495E2490" w14:textId="77777777" w:rsidTr="00AB27E6">
        <w:trPr>
          <w:trHeight w:val="300"/>
        </w:trPr>
        <w:tc>
          <w:tcPr>
            <w:tcW w:w="1520" w:type="dxa"/>
            <w:shd w:val="clear" w:color="auto" w:fill="auto"/>
            <w:noWrap/>
            <w:vAlign w:val="bottom"/>
            <w:hideMark/>
          </w:tcPr>
          <w:p w14:paraId="4E1C292D"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John Salazar</w:t>
            </w:r>
          </w:p>
        </w:tc>
        <w:tc>
          <w:tcPr>
            <w:tcW w:w="1096" w:type="dxa"/>
            <w:shd w:val="clear" w:color="auto" w:fill="auto"/>
            <w:noWrap/>
            <w:vAlign w:val="bottom"/>
            <w:hideMark/>
          </w:tcPr>
          <w:p w14:paraId="2964885A" w14:textId="77777777" w:rsidR="000553CA" w:rsidRPr="003C5F7E" w:rsidRDefault="000553CA" w:rsidP="008311A3">
            <w:pPr>
              <w:spacing w:after="0" w:line="240" w:lineRule="auto"/>
              <w:rPr>
                <w:rFonts w:ascii="Calibri" w:eastAsia="Times New Roman" w:hAnsi="Calibri" w:cs="Times New Roman"/>
                <w:color w:val="0070C0"/>
                <w:sz w:val="20"/>
              </w:rPr>
            </w:pPr>
            <w:proofErr w:type="spellStart"/>
            <w:r w:rsidRPr="003C5F7E">
              <w:rPr>
                <w:rFonts w:ascii="Calibri" w:eastAsia="Times New Roman" w:hAnsi="Calibri" w:cs="Times New Roman"/>
                <w:color w:val="0070C0"/>
                <w:sz w:val="20"/>
              </w:rPr>
              <w:t>HoR</w:t>
            </w:r>
            <w:proofErr w:type="spellEnd"/>
          </w:p>
        </w:tc>
        <w:tc>
          <w:tcPr>
            <w:tcW w:w="1100" w:type="dxa"/>
            <w:shd w:val="clear" w:color="auto" w:fill="auto"/>
            <w:noWrap/>
            <w:vAlign w:val="bottom"/>
            <w:hideMark/>
          </w:tcPr>
          <w:p w14:paraId="10CFB8D8"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Colorado</w:t>
            </w:r>
          </w:p>
        </w:tc>
        <w:tc>
          <w:tcPr>
            <w:tcW w:w="1092" w:type="dxa"/>
            <w:shd w:val="clear" w:color="auto" w:fill="auto"/>
            <w:noWrap/>
            <w:vAlign w:val="bottom"/>
            <w:hideMark/>
          </w:tcPr>
          <w:p w14:paraId="0BF2E946"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A favor</w:t>
            </w:r>
          </w:p>
        </w:tc>
        <w:tc>
          <w:tcPr>
            <w:tcW w:w="1232" w:type="dxa"/>
            <w:shd w:val="clear" w:color="auto" w:fill="auto"/>
            <w:noWrap/>
            <w:vAlign w:val="bottom"/>
            <w:hideMark/>
          </w:tcPr>
          <w:p w14:paraId="00EBDBC1"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Demócrata</w:t>
            </w:r>
          </w:p>
        </w:tc>
        <w:tc>
          <w:tcPr>
            <w:tcW w:w="1232" w:type="dxa"/>
            <w:shd w:val="clear" w:color="auto" w:fill="auto"/>
            <w:noWrap/>
            <w:vAlign w:val="bottom"/>
            <w:hideMark/>
          </w:tcPr>
          <w:p w14:paraId="735A2CDD" w14:textId="77777777" w:rsidR="000553CA" w:rsidRPr="003C5F7E" w:rsidRDefault="000553CA" w:rsidP="008311A3">
            <w:pPr>
              <w:spacing w:after="0" w:line="240" w:lineRule="auto"/>
              <w:jc w:val="right"/>
              <w:rPr>
                <w:rFonts w:ascii="Calibri" w:eastAsia="Times New Roman" w:hAnsi="Calibri" w:cs="Times New Roman"/>
                <w:color w:val="0070C0"/>
                <w:sz w:val="20"/>
              </w:rPr>
            </w:pPr>
            <w:r w:rsidRPr="003C5F7E">
              <w:rPr>
                <w:rFonts w:ascii="Calibri" w:eastAsia="Times New Roman" w:hAnsi="Calibri" w:cs="Times New Roman"/>
                <w:color w:val="0070C0"/>
                <w:sz w:val="20"/>
              </w:rPr>
              <w:t>2</w:t>
            </w:r>
          </w:p>
        </w:tc>
        <w:tc>
          <w:tcPr>
            <w:tcW w:w="1651" w:type="dxa"/>
            <w:shd w:val="clear" w:color="auto" w:fill="auto"/>
            <w:noWrap/>
            <w:vAlign w:val="bottom"/>
            <w:hideMark/>
          </w:tcPr>
          <w:p w14:paraId="65780B80" w14:textId="77777777" w:rsidR="000553CA" w:rsidRPr="003C5F7E" w:rsidRDefault="000553CA"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 xml:space="preserve"> $    21,900.00 </w:t>
            </w:r>
          </w:p>
        </w:tc>
      </w:tr>
      <w:tr w:rsidR="003C5F7E" w:rsidRPr="003C5F7E" w14:paraId="1C23DF4B" w14:textId="77777777" w:rsidTr="00AB27E6">
        <w:trPr>
          <w:trHeight w:val="300"/>
        </w:trPr>
        <w:tc>
          <w:tcPr>
            <w:tcW w:w="1520" w:type="dxa"/>
            <w:shd w:val="clear" w:color="auto" w:fill="auto"/>
            <w:noWrap/>
            <w:vAlign w:val="bottom"/>
            <w:hideMark/>
          </w:tcPr>
          <w:p w14:paraId="3BAD73D7"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Marilyn </w:t>
            </w:r>
            <w:proofErr w:type="spellStart"/>
            <w:r w:rsidRPr="003C5F7E">
              <w:rPr>
                <w:rFonts w:ascii="Calibri" w:eastAsia="Times New Roman" w:hAnsi="Calibri" w:cs="Times New Roman"/>
                <w:color w:val="FF0000"/>
                <w:sz w:val="20"/>
              </w:rPr>
              <w:t>Musgrave</w:t>
            </w:r>
            <w:proofErr w:type="spellEnd"/>
          </w:p>
        </w:tc>
        <w:tc>
          <w:tcPr>
            <w:tcW w:w="1096" w:type="dxa"/>
            <w:shd w:val="clear" w:color="auto" w:fill="auto"/>
            <w:noWrap/>
            <w:vAlign w:val="bottom"/>
            <w:hideMark/>
          </w:tcPr>
          <w:p w14:paraId="0841DC8B"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61B68760"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Colorado</w:t>
            </w:r>
          </w:p>
        </w:tc>
        <w:tc>
          <w:tcPr>
            <w:tcW w:w="1092" w:type="dxa"/>
            <w:shd w:val="clear" w:color="auto" w:fill="auto"/>
            <w:noWrap/>
            <w:vAlign w:val="bottom"/>
            <w:hideMark/>
          </w:tcPr>
          <w:p w14:paraId="327467A2"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36B8920F"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61C82BFA"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0</w:t>
            </w:r>
          </w:p>
        </w:tc>
        <w:tc>
          <w:tcPr>
            <w:tcW w:w="1651" w:type="dxa"/>
            <w:shd w:val="clear" w:color="auto" w:fill="auto"/>
            <w:noWrap/>
            <w:vAlign w:val="bottom"/>
            <w:hideMark/>
          </w:tcPr>
          <w:p w14:paraId="574C108D"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   </w:t>
            </w:r>
          </w:p>
        </w:tc>
      </w:tr>
      <w:tr w:rsidR="003C5F7E" w:rsidRPr="003C5F7E" w14:paraId="1EFB55EB" w14:textId="77777777" w:rsidTr="00AB27E6">
        <w:trPr>
          <w:trHeight w:val="300"/>
        </w:trPr>
        <w:tc>
          <w:tcPr>
            <w:tcW w:w="1520" w:type="dxa"/>
            <w:shd w:val="clear" w:color="auto" w:fill="auto"/>
            <w:noWrap/>
            <w:vAlign w:val="bottom"/>
            <w:hideMark/>
          </w:tcPr>
          <w:p w14:paraId="273A1391"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Joel </w:t>
            </w:r>
            <w:proofErr w:type="spellStart"/>
            <w:r w:rsidRPr="003C5F7E">
              <w:rPr>
                <w:rFonts w:ascii="Calibri" w:eastAsia="Times New Roman" w:hAnsi="Calibri" w:cs="Times New Roman"/>
                <w:color w:val="FF0000"/>
                <w:sz w:val="20"/>
              </w:rPr>
              <w:t>Hefley</w:t>
            </w:r>
            <w:proofErr w:type="spellEnd"/>
          </w:p>
        </w:tc>
        <w:tc>
          <w:tcPr>
            <w:tcW w:w="1096" w:type="dxa"/>
            <w:shd w:val="clear" w:color="auto" w:fill="auto"/>
            <w:noWrap/>
            <w:vAlign w:val="bottom"/>
            <w:hideMark/>
          </w:tcPr>
          <w:p w14:paraId="7A0D7AEA"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723149A8"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Colorado</w:t>
            </w:r>
          </w:p>
        </w:tc>
        <w:tc>
          <w:tcPr>
            <w:tcW w:w="1092" w:type="dxa"/>
            <w:shd w:val="clear" w:color="auto" w:fill="auto"/>
            <w:noWrap/>
            <w:vAlign w:val="bottom"/>
            <w:hideMark/>
          </w:tcPr>
          <w:p w14:paraId="67E3AC89"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245F0360"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6C113A29"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0</w:t>
            </w:r>
          </w:p>
        </w:tc>
        <w:tc>
          <w:tcPr>
            <w:tcW w:w="1651" w:type="dxa"/>
            <w:shd w:val="clear" w:color="auto" w:fill="auto"/>
            <w:noWrap/>
            <w:vAlign w:val="bottom"/>
            <w:hideMark/>
          </w:tcPr>
          <w:p w14:paraId="6BF13140"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   </w:t>
            </w:r>
          </w:p>
        </w:tc>
      </w:tr>
      <w:tr w:rsidR="003C5F7E" w:rsidRPr="003C5F7E" w14:paraId="3BF9A2CB" w14:textId="77777777" w:rsidTr="00AB27E6">
        <w:trPr>
          <w:trHeight w:val="300"/>
        </w:trPr>
        <w:tc>
          <w:tcPr>
            <w:tcW w:w="1520" w:type="dxa"/>
            <w:shd w:val="clear" w:color="auto" w:fill="auto"/>
            <w:noWrap/>
            <w:vAlign w:val="bottom"/>
            <w:hideMark/>
          </w:tcPr>
          <w:p w14:paraId="2B1BE0FA"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Tom Tancredo</w:t>
            </w:r>
          </w:p>
        </w:tc>
        <w:tc>
          <w:tcPr>
            <w:tcW w:w="1096" w:type="dxa"/>
            <w:shd w:val="clear" w:color="auto" w:fill="auto"/>
            <w:noWrap/>
            <w:vAlign w:val="bottom"/>
            <w:hideMark/>
          </w:tcPr>
          <w:p w14:paraId="6792B108"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019E746D"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Colorado</w:t>
            </w:r>
          </w:p>
        </w:tc>
        <w:tc>
          <w:tcPr>
            <w:tcW w:w="1092" w:type="dxa"/>
            <w:shd w:val="clear" w:color="auto" w:fill="auto"/>
            <w:noWrap/>
            <w:vAlign w:val="bottom"/>
            <w:hideMark/>
          </w:tcPr>
          <w:p w14:paraId="36E51805"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0DD747EB"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16EEC7FB"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1</w:t>
            </w:r>
          </w:p>
        </w:tc>
        <w:tc>
          <w:tcPr>
            <w:tcW w:w="1651" w:type="dxa"/>
            <w:shd w:val="clear" w:color="auto" w:fill="auto"/>
            <w:noWrap/>
            <w:vAlign w:val="bottom"/>
            <w:hideMark/>
          </w:tcPr>
          <w:p w14:paraId="617AB835"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3,750.00 </w:t>
            </w:r>
          </w:p>
        </w:tc>
      </w:tr>
      <w:tr w:rsidR="003C5F7E" w:rsidRPr="003C5F7E" w14:paraId="49F701F9" w14:textId="77777777" w:rsidTr="00AB27E6">
        <w:trPr>
          <w:trHeight w:val="300"/>
        </w:trPr>
        <w:tc>
          <w:tcPr>
            <w:tcW w:w="1520" w:type="dxa"/>
            <w:shd w:val="clear" w:color="auto" w:fill="auto"/>
            <w:noWrap/>
            <w:vAlign w:val="bottom"/>
            <w:hideMark/>
          </w:tcPr>
          <w:p w14:paraId="72E721E8"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Bob </w:t>
            </w:r>
            <w:proofErr w:type="spellStart"/>
            <w:r w:rsidRPr="003C5F7E">
              <w:rPr>
                <w:rFonts w:ascii="Calibri" w:eastAsia="Times New Roman" w:hAnsi="Calibri" w:cs="Times New Roman"/>
                <w:color w:val="FF0000"/>
                <w:sz w:val="20"/>
              </w:rPr>
              <w:t>Beauprez</w:t>
            </w:r>
            <w:proofErr w:type="spellEnd"/>
          </w:p>
        </w:tc>
        <w:tc>
          <w:tcPr>
            <w:tcW w:w="1096" w:type="dxa"/>
            <w:shd w:val="clear" w:color="auto" w:fill="auto"/>
            <w:noWrap/>
            <w:vAlign w:val="bottom"/>
            <w:hideMark/>
          </w:tcPr>
          <w:p w14:paraId="280CAB28"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090EEA56"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Colorado</w:t>
            </w:r>
          </w:p>
        </w:tc>
        <w:tc>
          <w:tcPr>
            <w:tcW w:w="1092" w:type="dxa"/>
            <w:shd w:val="clear" w:color="auto" w:fill="auto"/>
            <w:noWrap/>
            <w:vAlign w:val="bottom"/>
            <w:hideMark/>
          </w:tcPr>
          <w:p w14:paraId="1C409FB0"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763AF07C"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4E28C52C"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3</w:t>
            </w:r>
          </w:p>
        </w:tc>
        <w:tc>
          <w:tcPr>
            <w:tcW w:w="1651" w:type="dxa"/>
            <w:shd w:val="clear" w:color="auto" w:fill="auto"/>
            <w:noWrap/>
            <w:vAlign w:val="bottom"/>
            <w:hideMark/>
          </w:tcPr>
          <w:p w14:paraId="0D211A34"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21,200.00 </w:t>
            </w:r>
          </w:p>
        </w:tc>
      </w:tr>
      <w:tr w:rsidR="003C5F7E" w:rsidRPr="003C5F7E" w14:paraId="0B629BED" w14:textId="77777777" w:rsidTr="00AB27E6">
        <w:trPr>
          <w:trHeight w:val="300"/>
        </w:trPr>
        <w:tc>
          <w:tcPr>
            <w:tcW w:w="1520" w:type="dxa"/>
            <w:shd w:val="clear" w:color="auto" w:fill="auto"/>
            <w:noWrap/>
            <w:vAlign w:val="bottom"/>
            <w:hideMark/>
          </w:tcPr>
          <w:p w14:paraId="2413996E"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Rob</w:t>
            </w:r>
            <w:proofErr w:type="spellEnd"/>
            <w:r w:rsidRPr="003C5F7E">
              <w:rPr>
                <w:rFonts w:ascii="Calibri" w:eastAsia="Times New Roman" w:hAnsi="Calibri" w:cs="Times New Roman"/>
                <w:color w:val="FF0000"/>
                <w:sz w:val="20"/>
              </w:rPr>
              <w:t xml:space="preserve"> </w:t>
            </w:r>
            <w:proofErr w:type="spellStart"/>
            <w:r w:rsidRPr="003C5F7E">
              <w:rPr>
                <w:rFonts w:ascii="Calibri" w:eastAsia="Times New Roman" w:hAnsi="Calibri" w:cs="Times New Roman"/>
                <w:color w:val="FF0000"/>
                <w:sz w:val="20"/>
              </w:rPr>
              <w:t>Bishop</w:t>
            </w:r>
            <w:proofErr w:type="spellEnd"/>
          </w:p>
        </w:tc>
        <w:tc>
          <w:tcPr>
            <w:tcW w:w="1096" w:type="dxa"/>
            <w:shd w:val="clear" w:color="auto" w:fill="auto"/>
            <w:noWrap/>
            <w:vAlign w:val="bottom"/>
            <w:hideMark/>
          </w:tcPr>
          <w:p w14:paraId="1EF1E0FD"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4050FD16"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Utah</w:t>
            </w:r>
          </w:p>
        </w:tc>
        <w:tc>
          <w:tcPr>
            <w:tcW w:w="1092" w:type="dxa"/>
            <w:shd w:val="clear" w:color="auto" w:fill="auto"/>
            <w:noWrap/>
            <w:vAlign w:val="bottom"/>
            <w:hideMark/>
          </w:tcPr>
          <w:p w14:paraId="7E0A1127"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6340EF0A"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4D1F45CC"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1</w:t>
            </w:r>
          </w:p>
        </w:tc>
        <w:tc>
          <w:tcPr>
            <w:tcW w:w="1651" w:type="dxa"/>
            <w:shd w:val="clear" w:color="auto" w:fill="auto"/>
            <w:noWrap/>
            <w:vAlign w:val="bottom"/>
            <w:hideMark/>
          </w:tcPr>
          <w:p w14:paraId="43C583EB"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23,000.00 </w:t>
            </w:r>
          </w:p>
        </w:tc>
      </w:tr>
      <w:tr w:rsidR="003C5F7E" w:rsidRPr="003C5F7E" w14:paraId="3E46E78B" w14:textId="77777777" w:rsidTr="00AB27E6">
        <w:trPr>
          <w:trHeight w:val="300"/>
        </w:trPr>
        <w:tc>
          <w:tcPr>
            <w:tcW w:w="1520" w:type="dxa"/>
            <w:shd w:val="clear" w:color="auto" w:fill="auto"/>
            <w:noWrap/>
            <w:vAlign w:val="bottom"/>
            <w:hideMark/>
          </w:tcPr>
          <w:p w14:paraId="6104867F"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Jim</w:t>
            </w:r>
            <w:proofErr w:type="spellEnd"/>
            <w:r w:rsidRPr="003C5F7E">
              <w:rPr>
                <w:rFonts w:ascii="Calibri" w:eastAsia="Times New Roman" w:hAnsi="Calibri" w:cs="Times New Roman"/>
                <w:color w:val="FF0000"/>
                <w:sz w:val="20"/>
              </w:rPr>
              <w:t xml:space="preserve"> </w:t>
            </w:r>
            <w:proofErr w:type="spellStart"/>
            <w:r w:rsidRPr="003C5F7E">
              <w:rPr>
                <w:rFonts w:ascii="Calibri" w:eastAsia="Times New Roman" w:hAnsi="Calibri" w:cs="Times New Roman"/>
                <w:color w:val="FF0000"/>
                <w:sz w:val="20"/>
              </w:rPr>
              <w:t>Matheson</w:t>
            </w:r>
            <w:proofErr w:type="spellEnd"/>
          </w:p>
        </w:tc>
        <w:tc>
          <w:tcPr>
            <w:tcW w:w="1096" w:type="dxa"/>
            <w:shd w:val="clear" w:color="auto" w:fill="auto"/>
            <w:noWrap/>
            <w:vAlign w:val="bottom"/>
            <w:hideMark/>
          </w:tcPr>
          <w:p w14:paraId="05A8A735"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32235367"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Utah</w:t>
            </w:r>
          </w:p>
        </w:tc>
        <w:tc>
          <w:tcPr>
            <w:tcW w:w="1092" w:type="dxa"/>
            <w:shd w:val="clear" w:color="auto" w:fill="auto"/>
            <w:noWrap/>
            <w:hideMark/>
          </w:tcPr>
          <w:p w14:paraId="10436446" w14:textId="77777777" w:rsidR="000553CA" w:rsidRPr="003C5F7E" w:rsidRDefault="000553CA" w:rsidP="008311A3">
            <w:pPr>
              <w:rPr>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046A7A58"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03E43C31"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3</w:t>
            </w:r>
          </w:p>
        </w:tc>
        <w:tc>
          <w:tcPr>
            <w:tcW w:w="1651" w:type="dxa"/>
            <w:shd w:val="clear" w:color="auto" w:fill="auto"/>
            <w:noWrap/>
            <w:vAlign w:val="bottom"/>
            <w:hideMark/>
          </w:tcPr>
          <w:p w14:paraId="65E5DC72"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32,946.00 </w:t>
            </w:r>
          </w:p>
        </w:tc>
      </w:tr>
      <w:tr w:rsidR="003C5F7E" w:rsidRPr="003C5F7E" w14:paraId="15B89705" w14:textId="77777777" w:rsidTr="00AB27E6">
        <w:trPr>
          <w:trHeight w:val="300"/>
        </w:trPr>
        <w:tc>
          <w:tcPr>
            <w:tcW w:w="1520" w:type="dxa"/>
            <w:shd w:val="clear" w:color="auto" w:fill="auto"/>
            <w:noWrap/>
            <w:vAlign w:val="bottom"/>
            <w:hideMark/>
          </w:tcPr>
          <w:p w14:paraId="412D8913"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Chris </w:t>
            </w:r>
            <w:proofErr w:type="spellStart"/>
            <w:r w:rsidRPr="003C5F7E">
              <w:rPr>
                <w:rFonts w:ascii="Calibri" w:eastAsia="Times New Roman" w:hAnsi="Calibri" w:cs="Times New Roman"/>
                <w:color w:val="FF0000"/>
                <w:sz w:val="20"/>
              </w:rPr>
              <w:t>Cannon</w:t>
            </w:r>
            <w:proofErr w:type="spellEnd"/>
          </w:p>
        </w:tc>
        <w:tc>
          <w:tcPr>
            <w:tcW w:w="1096" w:type="dxa"/>
            <w:shd w:val="clear" w:color="auto" w:fill="auto"/>
            <w:noWrap/>
            <w:vAlign w:val="bottom"/>
            <w:hideMark/>
          </w:tcPr>
          <w:p w14:paraId="0AF085FB"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4850AD20"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Utah</w:t>
            </w:r>
          </w:p>
        </w:tc>
        <w:tc>
          <w:tcPr>
            <w:tcW w:w="1092" w:type="dxa"/>
            <w:shd w:val="clear" w:color="auto" w:fill="auto"/>
            <w:noWrap/>
            <w:hideMark/>
          </w:tcPr>
          <w:p w14:paraId="5A0E6E47" w14:textId="77777777" w:rsidR="000553CA" w:rsidRPr="003C5F7E" w:rsidRDefault="000553CA" w:rsidP="008311A3">
            <w:pPr>
              <w:rPr>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76A988D5"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60F35AEC"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0</w:t>
            </w:r>
          </w:p>
        </w:tc>
        <w:tc>
          <w:tcPr>
            <w:tcW w:w="1651" w:type="dxa"/>
            <w:shd w:val="clear" w:color="auto" w:fill="auto"/>
            <w:noWrap/>
            <w:vAlign w:val="bottom"/>
            <w:hideMark/>
          </w:tcPr>
          <w:p w14:paraId="72F40033"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   </w:t>
            </w:r>
          </w:p>
        </w:tc>
      </w:tr>
      <w:tr w:rsidR="003C5F7E" w:rsidRPr="003C5F7E" w14:paraId="6863B865" w14:textId="77777777" w:rsidTr="00AB27E6">
        <w:trPr>
          <w:trHeight w:val="300"/>
        </w:trPr>
        <w:tc>
          <w:tcPr>
            <w:tcW w:w="1520" w:type="dxa"/>
            <w:shd w:val="clear" w:color="auto" w:fill="auto"/>
            <w:noWrap/>
            <w:vAlign w:val="bottom"/>
            <w:hideMark/>
          </w:tcPr>
          <w:p w14:paraId="65866345"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Barbara</w:t>
            </w:r>
            <w:proofErr w:type="spellEnd"/>
            <w:r w:rsidRPr="003C5F7E">
              <w:rPr>
                <w:rFonts w:ascii="Calibri" w:eastAsia="Times New Roman" w:hAnsi="Calibri" w:cs="Times New Roman"/>
                <w:color w:val="FF0000"/>
                <w:sz w:val="20"/>
              </w:rPr>
              <w:t xml:space="preserve"> </w:t>
            </w:r>
            <w:proofErr w:type="spellStart"/>
            <w:r w:rsidRPr="003C5F7E">
              <w:rPr>
                <w:rFonts w:ascii="Calibri" w:eastAsia="Times New Roman" w:hAnsi="Calibri" w:cs="Times New Roman"/>
                <w:color w:val="FF0000"/>
                <w:sz w:val="20"/>
              </w:rPr>
              <w:t>Cubin</w:t>
            </w:r>
            <w:proofErr w:type="spellEnd"/>
          </w:p>
        </w:tc>
        <w:tc>
          <w:tcPr>
            <w:tcW w:w="1096" w:type="dxa"/>
            <w:shd w:val="clear" w:color="auto" w:fill="auto"/>
            <w:noWrap/>
            <w:vAlign w:val="bottom"/>
            <w:hideMark/>
          </w:tcPr>
          <w:p w14:paraId="6F9B40B4" w14:textId="77777777" w:rsidR="000553CA" w:rsidRPr="003C5F7E" w:rsidRDefault="000553CA"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HoR</w:t>
            </w:r>
            <w:proofErr w:type="spellEnd"/>
          </w:p>
        </w:tc>
        <w:tc>
          <w:tcPr>
            <w:tcW w:w="1100" w:type="dxa"/>
            <w:shd w:val="clear" w:color="auto" w:fill="auto"/>
            <w:noWrap/>
            <w:vAlign w:val="bottom"/>
            <w:hideMark/>
          </w:tcPr>
          <w:p w14:paraId="320E3626"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Wyoming</w:t>
            </w:r>
          </w:p>
        </w:tc>
        <w:tc>
          <w:tcPr>
            <w:tcW w:w="1092" w:type="dxa"/>
            <w:shd w:val="clear" w:color="auto" w:fill="auto"/>
            <w:noWrap/>
            <w:hideMark/>
          </w:tcPr>
          <w:p w14:paraId="664013EA" w14:textId="77777777" w:rsidR="000553CA" w:rsidRPr="003C5F7E" w:rsidRDefault="000553CA" w:rsidP="008311A3">
            <w:pPr>
              <w:rPr>
                <w:sz w:val="20"/>
              </w:rPr>
            </w:pPr>
            <w:r w:rsidRPr="003C5F7E">
              <w:rPr>
                <w:rFonts w:ascii="Calibri" w:eastAsia="Times New Roman" w:hAnsi="Calibri" w:cs="Times New Roman"/>
                <w:color w:val="FF0000"/>
                <w:sz w:val="20"/>
              </w:rPr>
              <w:t>A favor</w:t>
            </w:r>
          </w:p>
        </w:tc>
        <w:tc>
          <w:tcPr>
            <w:tcW w:w="1232" w:type="dxa"/>
            <w:shd w:val="clear" w:color="auto" w:fill="auto"/>
            <w:noWrap/>
            <w:vAlign w:val="bottom"/>
            <w:hideMark/>
          </w:tcPr>
          <w:p w14:paraId="4348D61E"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2" w:type="dxa"/>
            <w:shd w:val="clear" w:color="auto" w:fill="auto"/>
            <w:noWrap/>
            <w:vAlign w:val="bottom"/>
            <w:hideMark/>
          </w:tcPr>
          <w:p w14:paraId="5C4B1C22" w14:textId="77777777" w:rsidR="000553CA" w:rsidRPr="003C5F7E" w:rsidRDefault="000553CA"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4</w:t>
            </w:r>
          </w:p>
        </w:tc>
        <w:tc>
          <w:tcPr>
            <w:tcW w:w="1651" w:type="dxa"/>
            <w:shd w:val="clear" w:color="auto" w:fill="auto"/>
            <w:noWrap/>
            <w:vAlign w:val="bottom"/>
            <w:hideMark/>
          </w:tcPr>
          <w:p w14:paraId="48831905" w14:textId="77777777" w:rsidR="000553CA" w:rsidRPr="003C5F7E" w:rsidRDefault="000553CA"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41,000.00 </w:t>
            </w:r>
          </w:p>
        </w:tc>
      </w:tr>
      <w:tr w:rsidR="003C5F7E" w:rsidRPr="003C5F7E" w14:paraId="2CEFBC8A" w14:textId="77777777" w:rsidTr="00AB27E6">
        <w:trPr>
          <w:trHeight w:val="300"/>
        </w:trPr>
        <w:tc>
          <w:tcPr>
            <w:tcW w:w="1520" w:type="dxa"/>
            <w:shd w:val="clear" w:color="auto" w:fill="auto"/>
            <w:noWrap/>
            <w:vAlign w:val="bottom"/>
            <w:hideMark/>
          </w:tcPr>
          <w:p w14:paraId="54A5E3E4" w14:textId="77777777" w:rsidR="000553CA" w:rsidRPr="003C5F7E" w:rsidRDefault="000553CA" w:rsidP="008311A3">
            <w:pPr>
              <w:spacing w:after="0" w:line="240" w:lineRule="auto"/>
              <w:rPr>
                <w:rFonts w:ascii="Calibri" w:eastAsia="Times New Roman" w:hAnsi="Calibri" w:cs="Times New Roman"/>
                <w:color w:val="000000"/>
                <w:sz w:val="20"/>
              </w:rPr>
            </w:pPr>
          </w:p>
        </w:tc>
        <w:tc>
          <w:tcPr>
            <w:tcW w:w="1096" w:type="dxa"/>
            <w:shd w:val="clear" w:color="auto" w:fill="auto"/>
            <w:noWrap/>
            <w:vAlign w:val="bottom"/>
            <w:hideMark/>
          </w:tcPr>
          <w:p w14:paraId="7B247C90" w14:textId="77777777" w:rsidR="000553CA" w:rsidRPr="003C5F7E" w:rsidRDefault="000553CA" w:rsidP="008311A3">
            <w:pPr>
              <w:spacing w:after="0" w:line="240" w:lineRule="auto"/>
              <w:rPr>
                <w:rFonts w:ascii="Calibri" w:eastAsia="Times New Roman" w:hAnsi="Calibri" w:cs="Times New Roman"/>
                <w:color w:val="000000"/>
                <w:sz w:val="20"/>
              </w:rPr>
            </w:pPr>
          </w:p>
        </w:tc>
        <w:tc>
          <w:tcPr>
            <w:tcW w:w="1100" w:type="dxa"/>
            <w:shd w:val="clear" w:color="auto" w:fill="auto"/>
            <w:noWrap/>
            <w:vAlign w:val="bottom"/>
            <w:hideMark/>
          </w:tcPr>
          <w:p w14:paraId="41CB9F3E" w14:textId="77777777" w:rsidR="000553CA" w:rsidRPr="003C5F7E" w:rsidRDefault="000553CA" w:rsidP="008311A3">
            <w:pPr>
              <w:spacing w:after="0" w:line="240" w:lineRule="auto"/>
              <w:rPr>
                <w:rFonts w:ascii="Calibri" w:eastAsia="Times New Roman" w:hAnsi="Calibri" w:cs="Times New Roman"/>
                <w:color w:val="000000"/>
                <w:sz w:val="20"/>
              </w:rPr>
            </w:pPr>
          </w:p>
        </w:tc>
        <w:tc>
          <w:tcPr>
            <w:tcW w:w="1092" w:type="dxa"/>
            <w:shd w:val="clear" w:color="auto" w:fill="auto"/>
            <w:noWrap/>
            <w:hideMark/>
          </w:tcPr>
          <w:p w14:paraId="3BA8DBF9" w14:textId="77777777" w:rsidR="000553CA" w:rsidRPr="003C5F7E" w:rsidRDefault="000553CA" w:rsidP="008311A3">
            <w:pPr>
              <w:rPr>
                <w:sz w:val="20"/>
              </w:rPr>
            </w:pPr>
          </w:p>
        </w:tc>
        <w:tc>
          <w:tcPr>
            <w:tcW w:w="1232" w:type="dxa"/>
            <w:shd w:val="clear" w:color="auto" w:fill="auto"/>
            <w:noWrap/>
            <w:vAlign w:val="bottom"/>
            <w:hideMark/>
          </w:tcPr>
          <w:p w14:paraId="580BC01D" w14:textId="77777777" w:rsidR="000553CA" w:rsidRPr="003C5F7E" w:rsidRDefault="000553CA" w:rsidP="008311A3">
            <w:pPr>
              <w:spacing w:after="0" w:line="240" w:lineRule="auto"/>
              <w:rPr>
                <w:rFonts w:ascii="Calibri" w:eastAsia="Times New Roman" w:hAnsi="Calibri" w:cs="Times New Roman"/>
                <w:color w:val="000000"/>
                <w:sz w:val="20"/>
              </w:rPr>
            </w:pPr>
          </w:p>
        </w:tc>
        <w:tc>
          <w:tcPr>
            <w:tcW w:w="1232" w:type="dxa"/>
            <w:shd w:val="clear" w:color="auto" w:fill="auto"/>
            <w:noWrap/>
            <w:vAlign w:val="bottom"/>
            <w:hideMark/>
          </w:tcPr>
          <w:p w14:paraId="55D5FE83" w14:textId="77777777" w:rsidR="000553CA" w:rsidRPr="003C5F7E" w:rsidRDefault="000553CA" w:rsidP="008311A3">
            <w:pPr>
              <w:spacing w:after="0" w:line="240" w:lineRule="auto"/>
              <w:rPr>
                <w:rFonts w:ascii="Calibri" w:eastAsia="Times New Roman" w:hAnsi="Calibri" w:cs="Times New Roman"/>
                <w:color w:val="000000"/>
                <w:sz w:val="20"/>
              </w:rPr>
            </w:pPr>
          </w:p>
        </w:tc>
        <w:tc>
          <w:tcPr>
            <w:tcW w:w="1651" w:type="dxa"/>
            <w:shd w:val="clear" w:color="auto" w:fill="auto"/>
            <w:noWrap/>
            <w:vAlign w:val="bottom"/>
            <w:hideMark/>
          </w:tcPr>
          <w:p w14:paraId="0D91C999" w14:textId="77777777" w:rsidR="000553CA" w:rsidRPr="003C5F7E" w:rsidRDefault="000553CA" w:rsidP="008311A3">
            <w:pPr>
              <w:spacing w:after="0" w:line="240" w:lineRule="auto"/>
              <w:rPr>
                <w:rFonts w:ascii="Calibri" w:eastAsia="Times New Roman" w:hAnsi="Calibri" w:cs="Times New Roman"/>
                <w:b/>
                <w:bCs/>
                <w:color w:val="000000"/>
                <w:sz w:val="20"/>
              </w:rPr>
            </w:pPr>
            <w:r w:rsidRPr="003C5F7E">
              <w:rPr>
                <w:rFonts w:ascii="Calibri" w:eastAsia="Times New Roman" w:hAnsi="Calibri" w:cs="Times New Roman"/>
                <w:b/>
                <w:bCs/>
                <w:color w:val="000000"/>
                <w:sz w:val="20"/>
              </w:rPr>
              <w:t xml:space="preserve"> $  143,796.00 </w:t>
            </w:r>
          </w:p>
        </w:tc>
      </w:tr>
    </w:tbl>
    <w:p w14:paraId="07FF5EE5" w14:textId="77777777" w:rsidR="00AB27E6" w:rsidRPr="00AB27E6" w:rsidRDefault="00AB27E6" w:rsidP="00AB27E6">
      <w:pPr>
        <w:adjustRightInd w:val="0"/>
        <w:ind w:left="709" w:hanging="709"/>
        <w:rPr>
          <w:rFonts w:ascii="Arial" w:hAnsi="Arial" w:cs="Arial"/>
          <w:lang w:val="en-US"/>
        </w:rPr>
      </w:pPr>
      <w:r w:rsidRPr="00AB27E6">
        <w:rPr>
          <w:rFonts w:ascii="Arial" w:hAnsi="Arial" w:cs="Arial"/>
          <w:lang w:val="en-US"/>
        </w:rPr>
        <w:t>(Civic Impulse, 2017) (Center for Responsive Politics, 2017)</w:t>
      </w:r>
    </w:p>
    <w:p w14:paraId="75F52E0A" w14:textId="77777777" w:rsidR="000553CA" w:rsidRPr="00AB27E6" w:rsidRDefault="000553CA" w:rsidP="0047512E">
      <w:pPr>
        <w:spacing w:line="360" w:lineRule="auto"/>
        <w:rPr>
          <w:rFonts w:ascii="Arial" w:hAnsi="Arial" w:cs="Arial"/>
          <w:lang w:val="en-US"/>
        </w:rPr>
      </w:pPr>
    </w:p>
    <w:p w14:paraId="712C0CE0" w14:textId="01660179" w:rsidR="003C5F7E" w:rsidRPr="0047512E" w:rsidRDefault="003C5F7E" w:rsidP="0047512E">
      <w:pPr>
        <w:spacing w:line="360" w:lineRule="auto"/>
        <w:rPr>
          <w:rFonts w:ascii="Arial" w:hAnsi="Arial" w:cs="Arial"/>
        </w:rPr>
      </w:pPr>
      <w:r w:rsidRPr="0047512E">
        <w:rPr>
          <w:rFonts w:ascii="Arial" w:hAnsi="Arial" w:cs="Arial"/>
        </w:rPr>
        <w:t>Los senadores de los estados de Colorado, Utah y Wyoming votaron unánimemente a favor de la legislación. Destaca que el único senador demócrata, por el estado de Colorado, es también el único que no recibió donaciones para su campaña política por parte de organizaciones del sector energético.</w:t>
      </w:r>
    </w:p>
    <w:p w14:paraId="03291480" w14:textId="7FEAB3CF" w:rsidR="00AB27E6" w:rsidRDefault="00AB27E6">
      <w:r>
        <w:br w:type="page"/>
      </w:r>
    </w:p>
    <w:p w14:paraId="6A01182A" w14:textId="77777777" w:rsidR="00BD54B5" w:rsidRDefault="00BD54B5" w:rsidP="00322A56"/>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6"/>
        <w:gridCol w:w="1066"/>
        <w:gridCol w:w="1099"/>
        <w:gridCol w:w="992"/>
        <w:gridCol w:w="1418"/>
        <w:gridCol w:w="1234"/>
        <w:gridCol w:w="1601"/>
      </w:tblGrid>
      <w:tr w:rsidR="003C5F7E" w:rsidRPr="003C5F7E" w14:paraId="46F32B8B" w14:textId="77777777" w:rsidTr="003C5F7E">
        <w:trPr>
          <w:trHeight w:val="300"/>
        </w:trPr>
        <w:tc>
          <w:tcPr>
            <w:tcW w:w="1536" w:type="dxa"/>
            <w:shd w:val="clear" w:color="auto" w:fill="auto"/>
            <w:noWrap/>
            <w:vAlign w:val="bottom"/>
          </w:tcPr>
          <w:p w14:paraId="60E4D6E5" w14:textId="77777777" w:rsidR="003C5F7E" w:rsidRPr="003C5F7E" w:rsidRDefault="003C5F7E"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Senador</w:t>
            </w:r>
          </w:p>
        </w:tc>
        <w:tc>
          <w:tcPr>
            <w:tcW w:w="1066" w:type="dxa"/>
            <w:shd w:val="clear" w:color="auto" w:fill="auto"/>
            <w:noWrap/>
            <w:vAlign w:val="bottom"/>
          </w:tcPr>
          <w:p w14:paraId="4614F94A" w14:textId="72435B1F" w:rsidR="003C5F7E" w:rsidRPr="003C5F7E" w:rsidRDefault="003C5F7E"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Cámara a la que pertenece</w:t>
            </w:r>
          </w:p>
        </w:tc>
        <w:tc>
          <w:tcPr>
            <w:tcW w:w="1099" w:type="dxa"/>
            <w:shd w:val="clear" w:color="auto" w:fill="auto"/>
            <w:noWrap/>
            <w:vAlign w:val="bottom"/>
          </w:tcPr>
          <w:p w14:paraId="2DAC6D84" w14:textId="77777777" w:rsidR="003C5F7E" w:rsidRPr="003C5F7E" w:rsidRDefault="003C5F7E"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Estado</w:t>
            </w:r>
          </w:p>
        </w:tc>
        <w:tc>
          <w:tcPr>
            <w:tcW w:w="992" w:type="dxa"/>
            <w:shd w:val="clear" w:color="auto" w:fill="auto"/>
            <w:noWrap/>
            <w:vAlign w:val="bottom"/>
          </w:tcPr>
          <w:p w14:paraId="4AF22E6E" w14:textId="77777777" w:rsidR="003C5F7E" w:rsidRPr="003C5F7E" w:rsidRDefault="003C5F7E"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Votación</w:t>
            </w:r>
          </w:p>
        </w:tc>
        <w:tc>
          <w:tcPr>
            <w:tcW w:w="1418" w:type="dxa"/>
            <w:shd w:val="clear" w:color="auto" w:fill="auto"/>
            <w:noWrap/>
            <w:vAlign w:val="bottom"/>
          </w:tcPr>
          <w:p w14:paraId="47EC04C2" w14:textId="77777777" w:rsidR="003C5F7E" w:rsidRPr="003C5F7E" w:rsidRDefault="003C5F7E"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Filiación</w:t>
            </w:r>
          </w:p>
        </w:tc>
        <w:tc>
          <w:tcPr>
            <w:tcW w:w="1234" w:type="dxa"/>
            <w:shd w:val="clear" w:color="auto" w:fill="auto"/>
            <w:noWrap/>
            <w:vAlign w:val="bottom"/>
          </w:tcPr>
          <w:p w14:paraId="447F554D" w14:textId="77777777" w:rsidR="003C5F7E" w:rsidRPr="003C5F7E" w:rsidRDefault="003C5F7E" w:rsidP="008311A3">
            <w:pPr>
              <w:spacing w:after="0" w:line="240" w:lineRule="auto"/>
              <w:jc w:val="right"/>
              <w:rPr>
                <w:rFonts w:ascii="Calibri" w:eastAsia="Times New Roman" w:hAnsi="Calibri" w:cs="Times New Roman"/>
                <w:b/>
                <w:sz w:val="20"/>
              </w:rPr>
            </w:pPr>
            <w:proofErr w:type="spellStart"/>
            <w:r w:rsidRPr="003C5F7E">
              <w:rPr>
                <w:rFonts w:ascii="Calibri" w:eastAsia="Times New Roman" w:hAnsi="Calibri" w:cs="Times New Roman"/>
                <w:b/>
                <w:sz w:val="20"/>
              </w:rPr>
              <w:t>Org</w:t>
            </w:r>
            <w:proofErr w:type="spellEnd"/>
            <w:r w:rsidRPr="003C5F7E">
              <w:rPr>
                <w:rFonts w:ascii="Calibri" w:eastAsia="Times New Roman" w:hAnsi="Calibri" w:cs="Times New Roman"/>
                <w:b/>
                <w:sz w:val="20"/>
              </w:rPr>
              <w:t xml:space="preserve">. Relacionadas con el sector energético </w:t>
            </w:r>
          </w:p>
        </w:tc>
        <w:tc>
          <w:tcPr>
            <w:tcW w:w="1601" w:type="dxa"/>
            <w:shd w:val="clear" w:color="auto" w:fill="auto"/>
            <w:noWrap/>
            <w:vAlign w:val="bottom"/>
          </w:tcPr>
          <w:p w14:paraId="63F8481B" w14:textId="77777777" w:rsidR="003C5F7E" w:rsidRPr="003C5F7E" w:rsidRDefault="003C5F7E" w:rsidP="008311A3">
            <w:pPr>
              <w:spacing w:after="0" w:line="240" w:lineRule="auto"/>
              <w:rPr>
                <w:rFonts w:ascii="Calibri" w:eastAsia="Times New Roman" w:hAnsi="Calibri" w:cs="Times New Roman"/>
                <w:b/>
                <w:sz w:val="20"/>
              </w:rPr>
            </w:pPr>
            <w:r w:rsidRPr="003C5F7E">
              <w:rPr>
                <w:rFonts w:ascii="Calibri" w:eastAsia="Times New Roman" w:hAnsi="Calibri" w:cs="Times New Roman"/>
                <w:b/>
                <w:sz w:val="20"/>
              </w:rPr>
              <w:t xml:space="preserve">Cantidad donada por organizaciones del sector </w:t>
            </w:r>
            <w:proofErr w:type="spellStart"/>
            <w:r w:rsidRPr="003C5F7E">
              <w:rPr>
                <w:rFonts w:ascii="Calibri" w:eastAsia="Times New Roman" w:hAnsi="Calibri" w:cs="Times New Roman"/>
                <w:b/>
                <w:sz w:val="20"/>
              </w:rPr>
              <w:t>energetico</w:t>
            </w:r>
            <w:proofErr w:type="spellEnd"/>
          </w:p>
        </w:tc>
      </w:tr>
      <w:tr w:rsidR="003C5F7E" w:rsidRPr="003C5F7E" w14:paraId="71EA9327" w14:textId="77777777" w:rsidTr="003C5F7E">
        <w:trPr>
          <w:trHeight w:val="300"/>
        </w:trPr>
        <w:tc>
          <w:tcPr>
            <w:tcW w:w="1536" w:type="dxa"/>
            <w:shd w:val="clear" w:color="auto" w:fill="auto"/>
            <w:noWrap/>
            <w:vAlign w:val="bottom"/>
            <w:hideMark/>
          </w:tcPr>
          <w:p w14:paraId="79DA575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Wayne </w:t>
            </w:r>
            <w:proofErr w:type="spellStart"/>
            <w:r w:rsidRPr="003C5F7E">
              <w:rPr>
                <w:rFonts w:ascii="Calibri" w:eastAsia="Times New Roman" w:hAnsi="Calibri" w:cs="Times New Roman"/>
                <w:color w:val="FF0000"/>
                <w:sz w:val="20"/>
              </w:rPr>
              <w:t>Allard</w:t>
            </w:r>
            <w:proofErr w:type="spellEnd"/>
          </w:p>
        </w:tc>
        <w:tc>
          <w:tcPr>
            <w:tcW w:w="1066" w:type="dxa"/>
            <w:shd w:val="clear" w:color="auto" w:fill="auto"/>
            <w:noWrap/>
            <w:vAlign w:val="bottom"/>
            <w:hideMark/>
          </w:tcPr>
          <w:p w14:paraId="4856DC96"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Senado</w:t>
            </w:r>
          </w:p>
        </w:tc>
        <w:tc>
          <w:tcPr>
            <w:tcW w:w="1099" w:type="dxa"/>
            <w:shd w:val="clear" w:color="auto" w:fill="auto"/>
            <w:noWrap/>
            <w:vAlign w:val="bottom"/>
            <w:hideMark/>
          </w:tcPr>
          <w:p w14:paraId="475930B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Colorado</w:t>
            </w:r>
          </w:p>
        </w:tc>
        <w:tc>
          <w:tcPr>
            <w:tcW w:w="992" w:type="dxa"/>
            <w:shd w:val="clear" w:color="auto" w:fill="auto"/>
            <w:noWrap/>
            <w:vAlign w:val="bottom"/>
            <w:hideMark/>
          </w:tcPr>
          <w:p w14:paraId="43AFE973"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418" w:type="dxa"/>
            <w:shd w:val="clear" w:color="auto" w:fill="auto"/>
            <w:noWrap/>
            <w:vAlign w:val="bottom"/>
            <w:hideMark/>
          </w:tcPr>
          <w:p w14:paraId="4E9BC75B"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4" w:type="dxa"/>
            <w:shd w:val="clear" w:color="auto" w:fill="auto"/>
            <w:noWrap/>
            <w:vAlign w:val="bottom"/>
            <w:hideMark/>
          </w:tcPr>
          <w:p w14:paraId="493BBB16" w14:textId="77777777" w:rsidR="003C5F7E" w:rsidRPr="003C5F7E" w:rsidRDefault="003C5F7E"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2</w:t>
            </w:r>
          </w:p>
        </w:tc>
        <w:tc>
          <w:tcPr>
            <w:tcW w:w="1601" w:type="dxa"/>
            <w:shd w:val="clear" w:color="auto" w:fill="auto"/>
            <w:noWrap/>
            <w:vAlign w:val="bottom"/>
            <w:hideMark/>
          </w:tcPr>
          <w:p w14:paraId="13850A58"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28,100.00 </w:t>
            </w:r>
          </w:p>
        </w:tc>
      </w:tr>
      <w:tr w:rsidR="003C5F7E" w:rsidRPr="003C5F7E" w14:paraId="0E91F639" w14:textId="77777777" w:rsidTr="003C5F7E">
        <w:trPr>
          <w:trHeight w:val="300"/>
        </w:trPr>
        <w:tc>
          <w:tcPr>
            <w:tcW w:w="1536" w:type="dxa"/>
            <w:shd w:val="clear" w:color="auto" w:fill="auto"/>
            <w:noWrap/>
            <w:vAlign w:val="bottom"/>
            <w:hideMark/>
          </w:tcPr>
          <w:p w14:paraId="4F1C406B" w14:textId="77777777" w:rsidR="003C5F7E" w:rsidRPr="003C5F7E" w:rsidRDefault="003C5F7E"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Ken Salazar</w:t>
            </w:r>
          </w:p>
        </w:tc>
        <w:tc>
          <w:tcPr>
            <w:tcW w:w="1066" w:type="dxa"/>
            <w:shd w:val="clear" w:color="auto" w:fill="auto"/>
            <w:noWrap/>
            <w:vAlign w:val="bottom"/>
            <w:hideMark/>
          </w:tcPr>
          <w:p w14:paraId="09E02F74" w14:textId="77777777" w:rsidR="003C5F7E" w:rsidRPr="003C5F7E" w:rsidRDefault="003C5F7E"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Senado</w:t>
            </w:r>
          </w:p>
        </w:tc>
        <w:tc>
          <w:tcPr>
            <w:tcW w:w="1099" w:type="dxa"/>
            <w:shd w:val="clear" w:color="auto" w:fill="auto"/>
            <w:noWrap/>
            <w:vAlign w:val="bottom"/>
            <w:hideMark/>
          </w:tcPr>
          <w:p w14:paraId="78891BCD" w14:textId="77777777" w:rsidR="003C5F7E" w:rsidRPr="003C5F7E" w:rsidRDefault="003C5F7E"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Colorado</w:t>
            </w:r>
          </w:p>
        </w:tc>
        <w:tc>
          <w:tcPr>
            <w:tcW w:w="992" w:type="dxa"/>
            <w:shd w:val="clear" w:color="auto" w:fill="auto"/>
            <w:noWrap/>
            <w:vAlign w:val="bottom"/>
            <w:hideMark/>
          </w:tcPr>
          <w:p w14:paraId="3EFC7D2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0070C0"/>
                <w:sz w:val="20"/>
              </w:rPr>
              <w:t>A favor</w:t>
            </w:r>
          </w:p>
        </w:tc>
        <w:tc>
          <w:tcPr>
            <w:tcW w:w="1418" w:type="dxa"/>
            <w:shd w:val="clear" w:color="auto" w:fill="auto"/>
            <w:noWrap/>
            <w:vAlign w:val="bottom"/>
            <w:hideMark/>
          </w:tcPr>
          <w:p w14:paraId="775B5BB2" w14:textId="77777777" w:rsidR="003C5F7E" w:rsidRPr="003C5F7E" w:rsidRDefault="003C5F7E"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Demócrata</w:t>
            </w:r>
          </w:p>
        </w:tc>
        <w:tc>
          <w:tcPr>
            <w:tcW w:w="1234" w:type="dxa"/>
            <w:shd w:val="clear" w:color="auto" w:fill="auto"/>
            <w:noWrap/>
            <w:vAlign w:val="bottom"/>
            <w:hideMark/>
          </w:tcPr>
          <w:p w14:paraId="06D9C3E3" w14:textId="77777777" w:rsidR="003C5F7E" w:rsidRPr="003C5F7E" w:rsidRDefault="003C5F7E" w:rsidP="008311A3">
            <w:pPr>
              <w:spacing w:after="0" w:line="240" w:lineRule="auto"/>
              <w:jc w:val="right"/>
              <w:rPr>
                <w:rFonts w:ascii="Calibri" w:eastAsia="Times New Roman" w:hAnsi="Calibri" w:cs="Times New Roman"/>
                <w:color w:val="0070C0"/>
                <w:sz w:val="20"/>
              </w:rPr>
            </w:pPr>
            <w:r w:rsidRPr="003C5F7E">
              <w:rPr>
                <w:rFonts w:ascii="Calibri" w:eastAsia="Times New Roman" w:hAnsi="Calibri" w:cs="Times New Roman"/>
                <w:color w:val="0070C0"/>
                <w:sz w:val="20"/>
              </w:rPr>
              <w:t>0</w:t>
            </w:r>
          </w:p>
        </w:tc>
        <w:tc>
          <w:tcPr>
            <w:tcW w:w="1601" w:type="dxa"/>
            <w:shd w:val="clear" w:color="auto" w:fill="auto"/>
            <w:noWrap/>
            <w:vAlign w:val="bottom"/>
            <w:hideMark/>
          </w:tcPr>
          <w:p w14:paraId="6B3C97A1" w14:textId="77777777" w:rsidR="003C5F7E" w:rsidRPr="003C5F7E" w:rsidRDefault="003C5F7E" w:rsidP="008311A3">
            <w:pPr>
              <w:spacing w:after="0" w:line="240" w:lineRule="auto"/>
              <w:rPr>
                <w:rFonts w:ascii="Calibri" w:eastAsia="Times New Roman" w:hAnsi="Calibri" w:cs="Times New Roman"/>
                <w:color w:val="0070C0"/>
                <w:sz w:val="20"/>
              </w:rPr>
            </w:pPr>
            <w:r w:rsidRPr="003C5F7E">
              <w:rPr>
                <w:rFonts w:ascii="Calibri" w:eastAsia="Times New Roman" w:hAnsi="Calibri" w:cs="Times New Roman"/>
                <w:color w:val="0070C0"/>
                <w:sz w:val="20"/>
              </w:rPr>
              <w:t xml:space="preserve"> $                   -   </w:t>
            </w:r>
          </w:p>
        </w:tc>
      </w:tr>
      <w:tr w:rsidR="003C5F7E" w:rsidRPr="003C5F7E" w14:paraId="5767F929" w14:textId="77777777" w:rsidTr="003C5F7E">
        <w:trPr>
          <w:trHeight w:val="300"/>
        </w:trPr>
        <w:tc>
          <w:tcPr>
            <w:tcW w:w="1536" w:type="dxa"/>
            <w:shd w:val="clear" w:color="auto" w:fill="auto"/>
            <w:noWrap/>
            <w:vAlign w:val="bottom"/>
            <w:hideMark/>
          </w:tcPr>
          <w:p w14:paraId="109FB091"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Robert Bennett</w:t>
            </w:r>
          </w:p>
        </w:tc>
        <w:tc>
          <w:tcPr>
            <w:tcW w:w="1066" w:type="dxa"/>
            <w:shd w:val="clear" w:color="auto" w:fill="auto"/>
            <w:noWrap/>
            <w:vAlign w:val="bottom"/>
            <w:hideMark/>
          </w:tcPr>
          <w:p w14:paraId="59456591"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Senado</w:t>
            </w:r>
          </w:p>
        </w:tc>
        <w:tc>
          <w:tcPr>
            <w:tcW w:w="1099" w:type="dxa"/>
            <w:shd w:val="clear" w:color="auto" w:fill="auto"/>
            <w:noWrap/>
            <w:vAlign w:val="bottom"/>
            <w:hideMark/>
          </w:tcPr>
          <w:p w14:paraId="56566309"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Utah</w:t>
            </w:r>
          </w:p>
        </w:tc>
        <w:tc>
          <w:tcPr>
            <w:tcW w:w="992" w:type="dxa"/>
            <w:shd w:val="clear" w:color="auto" w:fill="auto"/>
            <w:noWrap/>
            <w:vAlign w:val="bottom"/>
            <w:hideMark/>
          </w:tcPr>
          <w:p w14:paraId="4B2237AC"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418" w:type="dxa"/>
            <w:shd w:val="clear" w:color="auto" w:fill="auto"/>
            <w:noWrap/>
            <w:vAlign w:val="bottom"/>
            <w:hideMark/>
          </w:tcPr>
          <w:p w14:paraId="7ABE8E6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4" w:type="dxa"/>
            <w:shd w:val="clear" w:color="auto" w:fill="auto"/>
            <w:noWrap/>
            <w:vAlign w:val="bottom"/>
            <w:hideMark/>
          </w:tcPr>
          <w:p w14:paraId="7B6B2711" w14:textId="77777777" w:rsidR="003C5F7E" w:rsidRPr="003C5F7E" w:rsidRDefault="003C5F7E"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2</w:t>
            </w:r>
          </w:p>
        </w:tc>
        <w:tc>
          <w:tcPr>
            <w:tcW w:w="1601" w:type="dxa"/>
            <w:shd w:val="clear" w:color="auto" w:fill="auto"/>
            <w:noWrap/>
            <w:vAlign w:val="bottom"/>
            <w:hideMark/>
          </w:tcPr>
          <w:p w14:paraId="58C6A2F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35,500.00 </w:t>
            </w:r>
          </w:p>
        </w:tc>
      </w:tr>
      <w:tr w:rsidR="003C5F7E" w:rsidRPr="003C5F7E" w14:paraId="05C61B87" w14:textId="77777777" w:rsidTr="003C5F7E">
        <w:trPr>
          <w:trHeight w:val="300"/>
        </w:trPr>
        <w:tc>
          <w:tcPr>
            <w:tcW w:w="1536" w:type="dxa"/>
            <w:shd w:val="clear" w:color="auto" w:fill="auto"/>
            <w:noWrap/>
            <w:vAlign w:val="bottom"/>
            <w:hideMark/>
          </w:tcPr>
          <w:p w14:paraId="4ACE82A5" w14:textId="77777777" w:rsidR="003C5F7E" w:rsidRPr="003C5F7E" w:rsidRDefault="003C5F7E" w:rsidP="008311A3">
            <w:pPr>
              <w:spacing w:after="0" w:line="240" w:lineRule="auto"/>
              <w:rPr>
                <w:rFonts w:ascii="Calibri" w:eastAsia="Times New Roman" w:hAnsi="Calibri" w:cs="Times New Roman"/>
                <w:color w:val="FF0000"/>
                <w:sz w:val="20"/>
              </w:rPr>
            </w:pPr>
            <w:proofErr w:type="spellStart"/>
            <w:r w:rsidRPr="003C5F7E">
              <w:rPr>
                <w:rFonts w:ascii="Calibri" w:eastAsia="Times New Roman" w:hAnsi="Calibri" w:cs="Times New Roman"/>
                <w:color w:val="FF0000"/>
                <w:sz w:val="20"/>
              </w:rPr>
              <w:t>Orrin</w:t>
            </w:r>
            <w:proofErr w:type="spellEnd"/>
            <w:r w:rsidRPr="003C5F7E">
              <w:rPr>
                <w:rFonts w:ascii="Calibri" w:eastAsia="Times New Roman" w:hAnsi="Calibri" w:cs="Times New Roman"/>
                <w:color w:val="FF0000"/>
                <w:sz w:val="20"/>
              </w:rPr>
              <w:t xml:space="preserve"> </w:t>
            </w:r>
            <w:proofErr w:type="spellStart"/>
            <w:r w:rsidRPr="003C5F7E">
              <w:rPr>
                <w:rFonts w:ascii="Calibri" w:eastAsia="Times New Roman" w:hAnsi="Calibri" w:cs="Times New Roman"/>
                <w:color w:val="FF0000"/>
                <w:sz w:val="20"/>
              </w:rPr>
              <w:t>Hatch</w:t>
            </w:r>
            <w:proofErr w:type="spellEnd"/>
          </w:p>
        </w:tc>
        <w:tc>
          <w:tcPr>
            <w:tcW w:w="1066" w:type="dxa"/>
            <w:shd w:val="clear" w:color="auto" w:fill="auto"/>
            <w:noWrap/>
            <w:vAlign w:val="bottom"/>
            <w:hideMark/>
          </w:tcPr>
          <w:p w14:paraId="6F76CB3B"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Senado</w:t>
            </w:r>
          </w:p>
        </w:tc>
        <w:tc>
          <w:tcPr>
            <w:tcW w:w="1099" w:type="dxa"/>
            <w:shd w:val="clear" w:color="auto" w:fill="auto"/>
            <w:noWrap/>
            <w:vAlign w:val="bottom"/>
            <w:hideMark/>
          </w:tcPr>
          <w:p w14:paraId="3B5F87BA"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Utah</w:t>
            </w:r>
          </w:p>
        </w:tc>
        <w:tc>
          <w:tcPr>
            <w:tcW w:w="992" w:type="dxa"/>
            <w:shd w:val="clear" w:color="auto" w:fill="auto"/>
            <w:noWrap/>
            <w:vAlign w:val="bottom"/>
            <w:hideMark/>
          </w:tcPr>
          <w:p w14:paraId="5AE6B69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418" w:type="dxa"/>
            <w:shd w:val="clear" w:color="auto" w:fill="auto"/>
            <w:noWrap/>
            <w:vAlign w:val="bottom"/>
            <w:hideMark/>
          </w:tcPr>
          <w:p w14:paraId="5FF8D99C"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4" w:type="dxa"/>
            <w:shd w:val="clear" w:color="auto" w:fill="auto"/>
            <w:noWrap/>
            <w:vAlign w:val="bottom"/>
            <w:hideMark/>
          </w:tcPr>
          <w:p w14:paraId="68C12C6E" w14:textId="77777777" w:rsidR="003C5F7E" w:rsidRPr="003C5F7E" w:rsidRDefault="003C5F7E"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1</w:t>
            </w:r>
          </w:p>
        </w:tc>
        <w:tc>
          <w:tcPr>
            <w:tcW w:w="1601" w:type="dxa"/>
            <w:shd w:val="clear" w:color="auto" w:fill="auto"/>
            <w:noWrap/>
            <w:vAlign w:val="bottom"/>
            <w:hideMark/>
          </w:tcPr>
          <w:p w14:paraId="55D27457"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31,400.00 </w:t>
            </w:r>
          </w:p>
        </w:tc>
      </w:tr>
      <w:tr w:rsidR="003C5F7E" w:rsidRPr="003C5F7E" w14:paraId="0BC314D0" w14:textId="77777777" w:rsidTr="003C5F7E">
        <w:trPr>
          <w:trHeight w:val="210"/>
        </w:trPr>
        <w:tc>
          <w:tcPr>
            <w:tcW w:w="1536" w:type="dxa"/>
            <w:shd w:val="clear" w:color="auto" w:fill="auto"/>
            <w:noWrap/>
            <w:vAlign w:val="bottom"/>
            <w:hideMark/>
          </w:tcPr>
          <w:p w14:paraId="1C1ACF6E" w14:textId="5FB8049A" w:rsidR="003C5F7E" w:rsidRPr="003C5F7E" w:rsidRDefault="000D71E5" w:rsidP="008311A3">
            <w:pPr>
              <w:spacing w:after="0" w:line="240" w:lineRule="auto"/>
              <w:rPr>
                <w:rFonts w:ascii="Calibri" w:eastAsia="Times New Roman" w:hAnsi="Calibri" w:cs="Times New Roman"/>
                <w:color w:val="FF0000"/>
                <w:sz w:val="20"/>
              </w:rPr>
            </w:pPr>
            <w:r>
              <w:rPr>
                <w:rFonts w:ascii="Calibri" w:eastAsia="Times New Roman" w:hAnsi="Calibri" w:cs="Times New Roman"/>
                <w:color w:val="FF0000"/>
                <w:sz w:val="20"/>
              </w:rPr>
              <w:t xml:space="preserve">Michael </w:t>
            </w:r>
            <w:proofErr w:type="spellStart"/>
            <w:r>
              <w:rPr>
                <w:rFonts w:ascii="Calibri" w:eastAsia="Times New Roman" w:hAnsi="Calibri" w:cs="Times New Roman"/>
                <w:color w:val="FF0000"/>
                <w:sz w:val="20"/>
              </w:rPr>
              <w:t>E</w:t>
            </w:r>
            <w:r w:rsidR="003C5F7E" w:rsidRPr="003C5F7E">
              <w:rPr>
                <w:rFonts w:ascii="Calibri" w:eastAsia="Times New Roman" w:hAnsi="Calibri" w:cs="Times New Roman"/>
                <w:color w:val="FF0000"/>
                <w:sz w:val="20"/>
              </w:rPr>
              <w:t>nzi</w:t>
            </w:r>
            <w:proofErr w:type="spellEnd"/>
          </w:p>
        </w:tc>
        <w:tc>
          <w:tcPr>
            <w:tcW w:w="1066" w:type="dxa"/>
            <w:shd w:val="clear" w:color="auto" w:fill="auto"/>
            <w:noWrap/>
            <w:vAlign w:val="bottom"/>
            <w:hideMark/>
          </w:tcPr>
          <w:p w14:paraId="4B946A14"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Senado</w:t>
            </w:r>
          </w:p>
        </w:tc>
        <w:tc>
          <w:tcPr>
            <w:tcW w:w="1099" w:type="dxa"/>
            <w:shd w:val="clear" w:color="auto" w:fill="auto"/>
            <w:noWrap/>
            <w:vAlign w:val="bottom"/>
            <w:hideMark/>
          </w:tcPr>
          <w:p w14:paraId="17B6672C"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Wyoming</w:t>
            </w:r>
          </w:p>
        </w:tc>
        <w:tc>
          <w:tcPr>
            <w:tcW w:w="992" w:type="dxa"/>
            <w:shd w:val="clear" w:color="auto" w:fill="auto"/>
            <w:noWrap/>
            <w:vAlign w:val="bottom"/>
            <w:hideMark/>
          </w:tcPr>
          <w:p w14:paraId="4BA0B7A9"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418" w:type="dxa"/>
            <w:shd w:val="clear" w:color="auto" w:fill="auto"/>
            <w:noWrap/>
            <w:vAlign w:val="bottom"/>
            <w:hideMark/>
          </w:tcPr>
          <w:p w14:paraId="6FB29C78"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4" w:type="dxa"/>
            <w:shd w:val="clear" w:color="auto" w:fill="auto"/>
            <w:noWrap/>
            <w:vAlign w:val="bottom"/>
            <w:hideMark/>
          </w:tcPr>
          <w:p w14:paraId="32298BC6" w14:textId="77777777" w:rsidR="003C5F7E" w:rsidRPr="003C5F7E" w:rsidRDefault="003C5F7E"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3</w:t>
            </w:r>
          </w:p>
        </w:tc>
        <w:tc>
          <w:tcPr>
            <w:tcW w:w="1601" w:type="dxa"/>
            <w:shd w:val="clear" w:color="auto" w:fill="auto"/>
            <w:noWrap/>
            <w:vAlign w:val="bottom"/>
            <w:hideMark/>
          </w:tcPr>
          <w:p w14:paraId="7EE3FF38"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33,450.00 </w:t>
            </w:r>
          </w:p>
        </w:tc>
      </w:tr>
      <w:tr w:rsidR="003C5F7E" w:rsidRPr="003C5F7E" w14:paraId="4DF785B0" w14:textId="77777777" w:rsidTr="003C5F7E">
        <w:trPr>
          <w:trHeight w:val="300"/>
        </w:trPr>
        <w:tc>
          <w:tcPr>
            <w:tcW w:w="1536" w:type="dxa"/>
            <w:shd w:val="clear" w:color="auto" w:fill="auto"/>
            <w:noWrap/>
            <w:vAlign w:val="bottom"/>
            <w:hideMark/>
          </w:tcPr>
          <w:p w14:paraId="560220A4"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Thomas Craig</w:t>
            </w:r>
          </w:p>
        </w:tc>
        <w:tc>
          <w:tcPr>
            <w:tcW w:w="1066" w:type="dxa"/>
            <w:shd w:val="clear" w:color="auto" w:fill="auto"/>
            <w:noWrap/>
            <w:vAlign w:val="bottom"/>
            <w:hideMark/>
          </w:tcPr>
          <w:p w14:paraId="2AAB0C72"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Senado</w:t>
            </w:r>
          </w:p>
        </w:tc>
        <w:tc>
          <w:tcPr>
            <w:tcW w:w="1099" w:type="dxa"/>
            <w:shd w:val="clear" w:color="auto" w:fill="auto"/>
            <w:noWrap/>
            <w:vAlign w:val="bottom"/>
            <w:hideMark/>
          </w:tcPr>
          <w:p w14:paraId="7F093538"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Wyoming</w:t>
            </w:r>
          </w:p>
        </w:tc>
        <w:tc>
          <w:tcPr>
            <w:tcW w:w="992" w:type="dxa"/>
            <w:shd w:val="clear" w:color="auto" w:fill="auto"/>
            <w:noWrap/>
            <w:vAlign w:val="bottom"/>
            <w:hideMark/>
          </w:tcPr>
          <w:p w14:paraId="1F4BB44F"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A favor</w:t>
            </w:r>
          </w:p>
        </w:tc>
        <w:tc>
          <w:tcPr>
            <w:tcW w:w="1418" w:type="dxa"/>
            <w:shd w:val="clear" w:color="auto" w:fill="auto"/>
            <w:noWrap/>
            <w:vAlign w:val="bottom"/>
            <w:hideMark/>
          </w:tcPr>
          <w:p w14:paraId="3651040E"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Republicano</w:t>
            </w:r>
          </w:p>
        </w:tc>
        <w:tc>
          <w:tcPr>
            <w:tcW w:w="1234" w:type="dxa"/>
            <w:shd w:val="clear" w:color="auto" w:fill="auto"/>
            <w:noWrap/>
            <w:vAlign w:val="bottom"/>
            <w:hideMark/>
          </w:tcPr>
          <w:p w14:paraId="5D156041" w14:textId="77777777" w:rsidR="003C5F7E" w:rsidRPr="003C5F7E" w:rsidRDefault="003C5F7E" w:rsidP="008311A3">
            <w:pPr>
              <w:spacing w:after="0" w:line="240" w:lineRule="auto"/>
              <w:jc w:val="right"/>
              <w:rPr>
                <w:rFonts w:ascii="Calibri" w:eastAsia="Times New Roman" w:hAnsi="Calibri" w:cs="Times New Roman"/>
                <w:color w:val="FF0000"/>
                <w:sz w:val="20"/>
              </w:rPr>
            </w:pPr>
            <w:r w:rsidRPr="003C5F7E">
              <w:rPr>
                <w:rFonts w:ascii="Calibri" w:eastAsia="Times New Roman" w:hAnsi="Calibri" w:cs="Times New Roman"/>
                <w:color w:val="FF0000"/>
                <w:sz w:val="20"/>
              </w:rPr>
              <w:t>5</w:t>
            </w:r>
          </w:p>
        </w:tc>
        <w:tc>
          <w:tcPr>
            <w:tcW w:w="1601" w:type="dxa"/>
            <w:shd w:val="clear" w:color="auto" w:fill="auto"/>
            <w:noWrap/>
            <w:vAlign w:val="bottom"/>
            <w:hideMark/>
          </w:tcPr>
          <w:p w14:paraId="181A8F48" w14:textId="77777777" w:rsidR="003C5F7E" w:rsidRPr="003C5F7E" w:rsidRDefault="003C5F7E" w:rsidP="008311A3">
            <w:pPr>
              <w:spacing w:after="0" w:line="240" w:lineRule="auto"/>
              <w:rPr>
                <w:rFonts w:ascii="Calibri" w:eastAsia="Times New Roman" w:hAnsi="Calibri" w:cs="Times New Roman"/>
                <w:color w:val="FF0000"/>
                <w:sz w:val="20"/>
              </w:rPr>
            </w:pPr>
            <w:r w:rsidRPr="003C5F7E">
              <w:rPr>
                <w:rFonts w:ascii="Calibri" w:eastAsia="Times New Roman" w:hAnsi="Calibri" w:cs="Times New Roman"/>
                <w:color w:val="FF0000"/>
                <w:sz w:val="20"/>
              </w:rPr>
              <w:t xml:space="preserve"> $    53,500.00 </w:t>
            </w:r>
          </w:p>
        </w:tc>
      </w:tr>
      <w:tr w:rsidR="003C5F7E" w:rsidRPr="003C5F7E" w14:paraId="489C5F04" w14:textId="77777777" w:rsidTr="003C5F7E">
        <w:trPr>
          <w:trHeight w:val="300"/>
        </w:trPr>
        <w:tc>
          <w:tcPr>
            <w:tcW w:w="1536" w:type="dxa"/>
            <w:shd w:val="clear" w:color="auto" w:fill="auto"/>
            <w:noWrap/>
            <w:vAlign w:val="bottom"/>
            <w:hideMark/>
          </w:tcPr>
          <w:p w14:paraId="2BD0842F" w14:textId="77777777" w:rsidR="003C5F7E" w:rsidRPr="003C5F7E" w:rsidRDefault="003C5F7E" w:rsidP="008311A3">
            <w:pPr>
              <w:spacing w:after="0" w:line="240" w:lineRule="auto"/>
              <w:rPr>
                <w:rFonts w:ascii="Calibri" w:eastAsia="Times New Roman" w:hAnsi="Calibri" w:cs="Times New Roman"/>
                <w:color w:val="000000"/>
                <w:sz w:val="20"/>
              </w:rPr>
            </w:pPr>
          </w:p>
        </w:tc>
        <w:tc>
          <w:tcPr>
            <w:tcW w:w="1066" w:type="dxa"/>
            <w:shd w:val="clear" w:color="auto" w:fill="auto"/>
            <w:noWrap/>
            <w:vAlign w:val="bottom"/>
            <w:hideMark/>
          </w:tcPr>
          <w:p w14:paraId="796BD158" w14:textId="77777777" w:rsidR="003C5F7E" w:rsidRPr="003C5F7E" w:rsidRDefault="003C5F7E" w:rsidP="008311A3">
            <w:pPr>
              <w:spacing w:after="0" w:line="240" w:lineRule="auto"/>
              <w:rPr>
                <w:rFonts w:ascii="Calibri" w:eastAsia="Times New Roman" w:hAnsi="Calibri" w:cs="Times New Roman"/>
                <w:color w:val="000000"/>
                <w:sz w:val="20"/>
              </w:rPr>
            </w:pPr>
          </w:p>
        </w:tc>
        <w:tc>
          <w:tcPr>
            <w:tcW w:w="1099" w:type="dxa"/>
            <w:shd w:val="clear" w:color="auto" w:fill="auto"/>
            <w:noWrap/>
            <w:vAlign w:val="bottom"/>
            <w:hideMark/>
          </w:tcPr>
          <w:p w14:paraId="384B07BE" w14:textId="77777777" w:rsidR="003C5F7E" w:rsidRPr="003C5F7E" w:rsidRDefault="003C5F7E" w:rsidP="008311A3">
            <w:pPr>
              <w:spacing w:after="0" w:line="240" w:lineRule="auto"/>
              <w:rPr>
                <w:rFonts w:ascii="Calibri" w:eastAsia="Times New Roman" w:hAnsi="Calibri" w:cs="Times New Roman"/>
                <w:color w:val="000000"/>
                <w:sz w:val="20"/>
              </w:rPr>
            </w:pPr>
          </w:p>
        </w:tc>
        <w:tc>
          <w:tcPr>
            <w:tcW w:w="992" w:type="dxa"/>
            <w:shd w:val="clear" w:color="auto" w:fill="auto"/>
            <w:noWrap/>
            <w:vAlign w:val="bottom"/>
            <w:hideMark/>
          </w:tcPr>
          <w:p w14:paraId="3174D7B8" w14:textId="77777777" w:rsidR="003C5F7E" w:rsidRPr="003C5F7E" w:rsidRDefault="003C5F7E" w:rsidP="008311A3">
            <w:pPr>
              <w:spacing w:after="0" w:line="240" w:lineRule="auto"/>
              <w:rPr>
                <w:rFonts w:ascii="Calibri" w:eastAsia="Times New Roman" w:hAnsi="Calibri" w:cs="Times New Roman"/>
                <w:color w:val="000000"/>
                <w:sz w:val="20"/>
              </w:rPr>
            </w:pPr>
          </w:p>
        </w:tc>
        <w:tc>
          <w:tcPr>
            <w:tcW w:w="1418" w:type="dxa"/>
            <w:shd w:val="clear" w:color="auto" w:fill="auto"/>
            <w:noWrap/>
            <w:vAlign w:val="bottom"/>
            <w:hideMark/>
          </w:tcPr>
          <w:p w14:paraId="6A84838F" w14:textId="77777777" w:rsidR="003C5F7E" w:rsidRPr="003C5F7E" w:rsidRDefault="003C5F7E" w:rsidP="008311A3">
            <w:pPr>
              <w:spacing w:after="0" w:line="240" w:lineRule="auto"/>
              <w:rPr>
                <w:rFonts w:ascii="Calibri" w:eastAsia="Times New Roman" w:hAnsi="Calibri" w:cs="Times New Roman"/>
                <w:color w:val="000000"/>
                <w:sz w:val="20"/>
              </w:rPr>
            </w:pPr>
          </w:p>
        </w:tc>
        <w:tc>
          <w:tcPr>
            <w:tcW w:w="1234" w:type="dxa"/>
            <w:shd w:val="clear" w:color="auto" w:fill="auto"/>
            <w:noWrap/>
            <w:vAlign w:val="bottom"/>
            <w:hideMark/>
          </w:tcPr>
          <w:p w14:paraId="78B7FD5B" w14:textId="77777777" w:rsidR="003C5F7E" w:rsidRPr="003C5F7E" w:rsidRDefault="003C5F7E" w:rsidP="008311A3">
            <w:pPr>
              <w:spacing w:after="0" w:line="240" w:lineRule="auto"/>
              <w:rPr>
                <w:rFonts w:ascii="Calibri" w:eastAsia="Times New Roman" w:hAnsi="Calibri" w:cs="Times New Roman"/>
                <w:color w:val="000000"/>
                <w:sz w:val="20"/>
              </w:rPr>
            </w:pPr>
          </w:p>
        </w:tc>
        <w:tc>
          <w:tcPr>
            <w:tcW w:w="1601" w:type="dxa"/>
            <w:shd w:val="clear" w:color="auto" w:fill="auto"/>
            <w:noWrap/>
            <w:vAlign w:val="bottom"/>
            <w:hideMark/>
          </w:tcPr>
          <w:p w14:paraId="457F884A" w14:textId="77777777" w:rsidR="003C5F7E" w:rsidRPr="003C5F7E" w:rsidRDefault="003C5F7E" w:rsidP="008311A3">
            <w:pPr>
              <w:spacing w:after="0" w:line="240" w:lineRule="auto"/>
              <w:rPr>
                <w:rFonts w:ascii="Calibri" w:eastAsia="Times New Roman" w:hAnsi="Calibri" w:cs="Times New Roman"/>
                <w:b/>
                <w:bCs/>
                <w:color w:val="000000"/>
                <w:sz w:val="20"/>
              </w:rPr>
            </w:pPr>
            <w:r w:rsidRPr="003C5F7E">
              <w:rPr>
                <w:rFonts w:ascii="Calibri" w:eastAsia="Times New Roman" w:hAnsi="Calibri" w:cs="Times New Roman"/>
                <w:b/>
                <w:bCs/>
                <w:color w:val="000000"/>
                <w:sz w:val="20"/>
              </w:rPr>
              <w:t xml:space="preserve"> $  181,950.00 </w:t>
            </w:r>
          </w:p>
        </w:tc>
      </w:tr>
    </w:tbl>
    <w:p w14:paraId="23DD9DE7" w14:textId="77777777" w:rsidR="00AB27E6" w:rsidRPr="00AB27E6" w:rsidRDefault="00AB27E6" w:rsidP="00AB27E6">
      <w:pPr>
        <w:adjustRightInd w:val="0"/>
        <w:ind w:left="709" w:hanging="709"/>
        <w:rPr>
          <w:rFonts w:ascii="Arial" w:hAnsi="Arial" w:cs="Arial"/>
          <w:lang w:val="en-US"/>
        </w:rPr>
      </w:pPr>
      <w:r w:rsidRPr="00AB27E6">
        <w:rPr>
          <w:rFonts w:ascii="Arial" w:hAnsi="Arial" w:cs="Arial"/>
          <w:lang w:val="en-US"/>
        </w:rPr>
        <w:t>(Civic Impulse, 2017) (Center for Responsive Politics, 2017)</w:t>
      </w:r>
    </w:p>
    <w:p w14:paraId="607BC3BD" w14:textId="77777777" w:rsidR="00E436DE" w:rsidRPr="00AB27E6" w:rsidRDefault="00E436DE" w:rsidP="00322A56">
      <w:pPr>
        <w:rPr>
          <w:lang w:val="en-US"/>
        </w:rPr>
      </w:pPr>
    </w:p>
    <w:p w14:paraId="4A655D35" w14:textId="0BEB6484" w:rsidR="00E436DE" w:rsidRPr="0047512E" w:rsidRDefault="00BD54B5" w:rsidP="0047512E">
      <w:pPr>
        <w:spacing w:line="360" w:lineRule="auto"/>
        <w:rPr>
          <w:rFonts w:ascii="Arial" w:hAnsi="Arial" w:cs="Arial"/>
        </w:rPr>
      </w:pPr>
      <w:r w:rsidRPr="0047512E">
        <w:rPr>
          <w:rFonts w:ascii="Arial" w:hAnsi="Arial" w:cs="Arial"/>
        </w:rPr>
        <w:t>A partir de las contribuciones que realizaron a los estados de Colorado Utah y Wyoming los miembros de organizaciones del sector energético durante el 109 congreso de EE.UU., se realizó una investigación de otras contribuciones que realizaron para las campañas de</w:t>
      </w:r>
      <w:r w:rsidR="00E436DE" w:rsidRPr="0047512E">
        <w:rPr>
          <w:rFonts w:ascii="Arial" w:hAnsi="Arial" w:cs="Arial"/>
        </w:rPr>
        <w:t xml:space="preserve"> congresistas para el congreso número 109.</w:t>
      </w:r>
    </w:p>
    <w:p w14:paraId="68B89BBC" w14:textId="77777777" w:rsidR="00415BA8" w:rsidRDefault="00E436DE" w:rsidP="0047512E">
      <w:pPr>
        <w:spacing w:line="360" w:lineRule="auto"/>
        <w:rPr>
          <w:rFonts w:ascii="Arial" w:hAnsi="Arial" w:cs="Arial"/>
        </w:rPr>
      </w:pPr>
      <w:r w:rsidRPr="0047512E">
        <w:rPr>
          <w:rFonts w:ascii="Arial" w:hAnsi="Arial" w:cs="Arial"/>
        </w:rPr>
        <w:t xml:space="preserve">Se encontró que el 77% de las contribuciones que se realizaron fueron dirigidas a congresistas republicanos y solamente el 23% para candidatos demócratas. </w:t>
      </w:r>
    </w:p>
    <w:p w14:paraId="75C203FA" w14:textId="77777777" w:rsidR="0063505A" w:rsidRDefault="0063505A" w:rsidP="00672848">
      <w:pPr>
        <w:spacing w:line="360" w:lineRule="auto"/>
        <w:rPr>
          <w:rFonts w:ascii="Arial" w:hAnsi="Arial" w:cs="Arial"/>
        </w:rPr>
      </w:pPr>
    </w:p>
    <w:tbl>
      <w:tblPr>
        <w:tblStyle w:val="Tablaconcuadrcula"/>
        <w:tblW w:w="9218" w:type="dxa"/>
        <w:jc w:val="center"/>
        <w:tblLayout w:type="fixed"/>
        <w:tblLook w:val="04A0" w:firstRow="1" w:lastRow="0" w:firstColumn="1" w:lastColumn="0" w:noHBand="0" w:noVBand="1"/>
      </w:tblPr>
      <w:tblGrid>
        <w:gridCol w:w="1600"/>
        <w:gridCol w:w="952"/>
        <w:gridCol w:w="1134"/>
        <w:gridCol w:w="1276"/>
        <w:gridCol w:w="1275"/>
        <w:gridCol w:w="1418"/>
        <w:gridCol w:w="1563"/>
      </w:tblGrid>
      <w:tr w:rsidR="0063505A" w:rsidRPr="0063505A" w14:paraId="60747F0F" w14:textId="77777777" w:rsidTr="004948F7">
        <w:trPr>
          <w:jc w:val="center"/>
        </w:trPr>
        <w:tc>
          <w:tcPr>
            <w:tcW w:w="1600" w:type="dxa"/>
          </w:tcPr>
          <w:p w14:paraId="0A8CAB7D" w14:textId="77777777" w:rsidR="0063505A" w:rsidRPr="0063505A" w:rsidRDefault="0063505A" w:rsidP="0063505A">
            <w:pPr>
              <w:spacing w:line="360" w:lineRule="auto"/>
              <w:rPr>
                <w:rFonts w:cs="Arial"/>
                <w:sz w:val="20"/>
              </w:rPr>
            </w:pPr>
          </w:p>
        </w:tc>
        <w:tc>
          <w:tcPr>
            <w:tcW w:w="2086" w:type="dxa"/>
            <w:gridSpan w:val="2"/>
          </w:tcPr>
          <w:p w14:paraId="519B7E60" w14:textId="7F09EE0B" w:rsidR="0063505A" w:rsidRPr="0063505A" w:rsidRDefault="0063505A" w:rsidP="0063505A">
            <w:pPr>
              <w:spacing w:line="360" w:lineRule="auto"/>
              <w:jc w:val="center"/>
              <w:rPr>
                <w:rFonts w:cs="Arial"/>
                <w:b/>
                <w:color w:val="FF0000"/>
                <w:sz w:val="20"/>
              </w:rPr>
            </w:pPr>
            <w:r w:rsidRPr="0063505A">
              <w:rPr>
                <w:rFonts w:cs="Arial"/>
                <w:b/>
                <w:color w:val="FF0000"/>
                <w:sz w:val="20"/>
              </w:rPr>
              <w:t>Republicanos</w:t>
            </w:r>
          </w:p>
        </w:tc>
        <w:tc>
          <w:tcPr>
            <w:tcW w:w="2551" w:type="dxa"/>
            <w:gridSpan w:val="2"/>
          </w:tcPr>
          <w:p w14:paraId="554C09E8" w14:textId="222B6B8C" w:rsidR="0063505A" w:rsidRPr="0063505A" w:rsidRDefault="0063505A" w:rsidP="0063505A">
            <w:pPr>
              <w:spacing w:line="360" w:lineRule="auto"/>
              <w:jc w:val="center"/>
              <w:rPr>
                <w:rFonts w:cs="Arial"/>
                <w:b/>
                <w:color w:val="0070C0"/>
                <w:sz w:val="20"/>
              </w:rPr>
            </w:pPr>
            <w:r w:rsidRPr="0063505A">
              <w:rPr>
                <w:rFonts w:cs="Arial"/>
                <w:b/>
                <w:color w:val="0070C0"/>
                <w:sz w:val="20"/>
              </w:rPr>
              <w:t>Demócratas</w:t>
            </w:r>
          </w:p>
        </w:tc>
        <w:tc>
          <w:tcPr>
            <w:tcW w:w="1418" w:type="dxa"/>
          </w:tcPr>
          <w:p w14:paraId="0E898BED" w14:textId="77777777" w:rsidR="0063505A" w:rsidRPr="0063505A" w:rsidRDefault="0063505A" w:rsidP="0063505A">
            <w:pPr>
              <w:spacing w:line="360" w:lineRule="auto"/>
              <w:jc w:val="center"/>
              <w:rPr>
                <w:rFonts w:cs="Arial"/>
                <w:b/>
                <w:sz w:val="20"/>
              </w:rPr>
            </w:pPr>
          </w:p>
        </w:tc>
        <w:tc>
          <w:tcPr>
            <w:tcW w:w="1563" w:type="dxa"/>
          </w:tcPr>
          <w:p w14:paraId="6124EBBC" w14:textId="173605CF" w:rsidR="0063505A" w:rsidRPr="0063505A" w:rsidRDefault="0063505A" w:rsidP="0063505A">
            <w:pPr>
              <w:spacing w:line="360" w:lineRule="auto"/>
              <w:jc w:val="center"/>
              <w:rPr>
                <w:rFonts w:cs="Arial"/>
                <w:b/>
                <w:sz w:val="20"/>
              </w:rPr>
            </w:pPr>
          </w:p>
        </w:tc>
      </w:tr>
      <w:tr w:rsidR="0063505A" w:rsidRPr="0063505A" w14:paraId="5502D50A" w14:textId="77777777" w:rsidTr="004948F7">
        <w:trPr>
          <w:jc w:val="center"/>
        </w:trPr>
        <w:tc>
          <w:tcPr>
            <w:tcW w:w="1600" w:type="dxa"/>
          </w:tcPr>
          <w:p w14:paraId="703B54A3" w14:textId="77777777" w:rsidR="0063505A" w:rsidRPr="0063505A" w:rsidRDefault="0063505A" w:rsidP="0063505A">
            <w:pPr>
              <w:spacing w:line="360" w:lineRule="auto"/>
              <w:jc w:val="center"/>
              <w:rPr>
                <w:rFonts w:cs="Arial"/>
                <w:sz w:val="20"/>
              </w:rPr>
            </w:pPr>
          </w:p>
        </w:tc>
        <w:tc>
          <w:tcPr>
            <w:tcW w:w="952" w:type="dxa"/>
          </w:tcPr>
          <w:p w14:paraId="2F2AEA86" w14:textId="3E6D863A" w:rsidR="0063505A" w:rsidRPr="0063505A" w:rsidRDefault="0063505A" w:rsidP="0063505A">
            <w:pPr>
              <w:spacing w:line="360" w:lineRule="auto"/>
              <w:jc w:val="center"/>
              <w:rPr>
                <w:rFonts w:cs="Arial"/>
                <w:b/>
                <w:color w:val="FF0000"/>
                <w:sz w:val="20"/>
              </w:rPr>
            </w:pPr>
            <w:r w:rsidRPr="0063505A">
              <w:rPr>
                <w:rFonts w:cs="Arial"/>
                <w:b/>
                <w:color w:val="FF0000"/>
                <w:sz w:val="20"/>
              </w:rPr>
              <w:t>A favor</w:t>
            </w:r>
          </w:p>
        </w:tc>
        <w:tc>
          <w:tcPr>
            <w:tcW w:w="1134" w:type="dxa"/>
          </w:tcPr>
          <w:p w14:paraId="1C73F385" w14:textId="77777777" w:rsidR="0063505A" w:rsidRPr="0063505A" w:rsidRDefault="0063505A" w:rsidP="0063505A">
            <w:pPr>
              <w:spacing w:line="360" w:lineRule="auto"/>
              <w:jc w:val="center"/>
              <w:rPr>
                <w:rFonts w:cs="Arial"/>
                <w:b/>
                <w:color w:val="FF0000"/>
                <w:sz w:val="20"/>
              </w:rPr>
            </w:pPr>
            <w:r w:rsidRPr="0063505A">
              <w:rPr>
                <w:rFonts w:cs="Arial"/>
                <w:b/>
                <w:color w:val="FF0000"/>
                <w:sz w:val="20"/>
              </w:rPr>
              <w:t>En contra</w:t>
            </w:r>
          </w:p>
        </w:tc>
        <w:tc>
          <w:tcPr>
            <w:tcW w:w="1276" w:type="dxa"/>
          </w:tcPr>
          <w:p w14:paraId="2751EAD1" w14:textId="2D067081" w:rsidR="0063505A" w:rsidRPr="0063505A" w:rsidRDefault="0063505A" w:rsidP="0063505A">
            <w:pPr>
              <w:spacing w:line="360" w:lineRule="auto"/>
              <w:jc w:val="center"/>
              <w:rPr>
                <w:rFonts w:cs="Arial"/>
                <w:b/>
                <w:color w:val="0070C0"/>
                <w:sz w:val="20"/>
              </w:rPr>
            </w:pPr>
            <w:r w:rsidRPr="0063505A">
              <w:rPr>
                <w:rFonts w:cs="Arial"/>
                <w:b/>
                <w:color w:val="0070C0"/>
                <w:sz w:val="20"/>
              </w:rPr>
              <w:t>A favor</w:t>
            </w:r>
          </w:p>
        </w:tc>
        <w:tc>
          <w:tcPr>
            <w:tcW w:w="1275" w:type="dxa"/>
          </w:tcPr>
          <w:p w14:paraId="0CAA21EE" w14:textId="77777777" w:rsidR="0063505A" w:rsidRPr="0063505A" w:rsidRDefault="0063505A" w:rsidP="0063505A">
            <w:pPr>
              <w:spacing w:line="360" w:lineRule="auto"/>
              <w:jc w:val="center"/>
              <w:rPr>
                <w:rFonts w:cs="Arial"/>
                <w:b/>
                <w:color w:val="0070C0"/>
                <w:sz w:val="20"/>
              </w:rPr>
            </w:pPr>
            <w:r w:rsidRPr="0063505A">
              <w:rPr>
                <w:rFonts w:cs="Arial"/>
                <w:b/>
                <w:color w:val="0070C0"/>
                <w:sz w:val="20"/>
              </w:rPr>
              <w:t>En contra</w:t>
            </w:r>
          </w:p>
        </w:tc>
        <w:tc>
          <w:tcPr>
            <w:tcW w:w="1418" w:type="dxa"/>
          </w:tcPr>
          <w:p w14:paraId="4FC9C76D" w14:textId="627867FA" w:rsidR="0063505A" w:rsidRPr="0063505A" w:rsidRDefault="0063505A" w:rsidP="0063505A">
            <w:pPr>
              <w:spacing w:line="360" w:lineRule="auto"/>
              <w:jc w:val="center"/>
              <w:rPr>
                <w:rFonts w:cs="Arial"/>
                <w:b/>
                <w:sz w:val="20"/>
              </w:rPr>
            </w:pPr>
            <w:r w:rsidRPr="0063505A">
              <w:rPr>
                <w:rFonts w:cs="Arial"/>
                <w:b/>
                <w:sz w:val="20"/>
              </w:rPr>
              <w:t>Total a Favor</w:t>
            </w:r>
          </w:p>
        </w:tc>
        <w:tc>
          <w:tcPr>
            <w:tcW w:w="1563" w:type="dxa"/>
          </w:tcPr>
          <w:p w14:paraId="75E45E4E" w14:textId="4039C7DF" w:rsidR="0063505A" w:rsidRPr="0063505A" w:rsidRDefault="0063505A" w:rsidP="0063505A">
            <w:pPr>
              <w:spacing w:line="360" w:lineRule="auto"/>
              <w:jc w:val="center"/>
              <w:rPr>
                <w:rFonts w:cs="Arial"/>
                <w:b/>
                <w:sz w:val="20"/>
              </w:rPr>
            </w:pPr>
            <w:r w:rsidRPr="0063505A">
              <w:rPr>
                <w:rFonts w:cs="Arial"/>
                <w:b/>
                <w:sz w:val="20"/>
              </w:rPr>
              <w:t>Total en contra</w:t>
            </w:r>
          </w:p>
        </w:tc>
      </w:tr>
      <w:tr w:rsidR="0063505A" w:rsidRPr="0063505A" w14:paraId="303B9A6B" w14:textId="77777777" w:rsidTr="004948F7">
        <w:trPr>
          <w:trHeight w:val="653"/>
          <w:jc w:val="center"/>
        </w:trPr>
        <w:tc>
          <w:tcPr>
            <w:tcW w:w="1600" w:type="dxa"/>
          </w:tcPr>
          <w:p w14:paraId="68B3C077" w14:textId="77777777" w:rsidR="0063505A" w:rsidRPr="0063505A" w:rsidRDefault="0063505A" w:rsidP="0063505A">
            <w:pPr>
              <w:spacing w:line="360" w:lineRule="auto"/>
              <w:jc w:val="center"/>
              <w:rPr>
                <w:rFonts w:cs="Arial"/>
                <w:b/>
                <w:sz w:val="20"/>
              </w:rPr>
            </w:pPr>
            <w:r w:rsidRPr="0063505A">
              <w:rPr>
                <w:rFonts w:cs="Arial"/>
                <w:b/>
                <w:sz w:val="20"/>
              </w:rPr>
              <w:t>Casa de Representantes</w:t>
            </w:r>
          </w:p>
        </w:tc>
        <w:tc>
          <w:tcPr>
            <w:tcW w:w="952" w:type="dxa"/>
          </w:tcPr>
          <w:p w14:paraId="52EB7B48" w14:textId="7E9BF21D" w:rsidR="0063505A" w:rsidRPr="0063505A" w:rsidRDefault="0063505A" w:rsidP="0063505A">
            <w:pPr>
              <w:spacing w:line="360" w:lineRule="auto"/>
              <w:jc w:val="center"/>
              <w:rPr>
                <w:rFonts w:cs="Arial"/>
                <w:color w:val="FF0000"/>
                <w:sz w:val="20"/>
              </w:rPr>
            </w:pPr>
            <w:r w:rsidRPr="0063505A">
              <w:rPr>
                <w:rFonts w:cs="Arial"/>
                <w:color w:val="FF0000"/>
                <w:sz w:val="20"/>
              </w:rPr>
              <w:t>20</w:t>
            </w:r>
          </w:p>
        </w:tc>
        <w:tc>
          <w:tcPr>
            <w:tcW w:w="1134" w:type="dxa"/>
          </w:tcPr>
          <w:p w14:paraId="2EE56222" w14:textId="77777777" w:rsidR="0063505A" w:rsidRPr="0063505A" w:rsidRDefault="0063505A" w:rsidP="0063505A">
            <w:pPr>
              <w:spacing w:line="360" w:lineRule="auto"/>
              <w:jc w:val="center"/>
              <w:rPr>
                <w:rFonts w:cs="Arial"/>
                <w:color w:val="FF0000"/>
                <w:sz w:val="20"/>
              </w:rPr>
            </w:pPr>
            <w:r w:rsidRPr="0063505A">
              <w:rPr>
                <w:rFonts w:cs="Arial"/>
                <w:color w:val="FF0000"/>
                <w:sz w:val="20"/>
              </w:rPr>
              <w:t>1</w:t>
            </w:r>
          </w:p>
        </w:tc>
        <w:tc>
          <w:tcPr>
            <w:tcW w:w="1276" w:type="dxa"/>
          </w:tcPr>
          <w:p w14:paraId="30F27830" w14:textId="6279A9F7" w:rsidR="0063505A" w:rsidRPr="0063505A" w:rsidRDefault="0063505A" w:rsidP="0063505A">
            <w:pPr>
              <w:spacing w:line="360" w:lineRule="auto"/>
              <w:jc w:val="center"/>
              <w:rPr>
                <w:rFonts w:cs="Arial"/>
                <w:color w:val="0070C0"/>
                <w:sz w:val="20"/>
              </w:rPr>
            </w:pPr>
            <w:r w:rsidRPr="0063505A">
              <w:rPr>
                <w:rFonts w:cs="Arial"/>
                <w:color w:val="0070C0"/>
                <w:sz w:val="20"/>
              </w:rPr>
              <w:t>10</w:t>
            </w:r>
          </w:p>
        </w:tc>
        <w:tc>
          <w:tcPr>
            <w:tcW w:w="1275" w:type="dxa"/>
          </w:tcPr>
          <w:p w14:paraId="60F98800" w14:textId="77777777" w:rsidR="0063505A" w:rsidRPr="0063505A" w:rsidRDefault="0063505A" w:rsidP="0063505A">
            <w:pPr>
              <w:spacing w:line="360" w:lineRule="auto"/>
              <w:jc w:val="center"/>
              <w:rPr>
                <w:rFonts w:cs="Arial"/>
                <w:color w:val="0070C0"/>
                <w:sz w:val="20"/>
              </w:rPr>
            </w:pPr>
            <w:r w:rsidRPr="0063505A">
              <w:rPr>
                <w:rFonts w:cs="Arial"/>
                <w:color w:val="0070C0"/>
                <w:sz w:val="20"/>
              </w:rPr>
              <w:t>1</w:t>
            </w:r>
          </w:p>
        </w:tc>
        <w:tc>
          <w:tcPr>
            <w:tcW w:w="1418" w:type="dxa"/>
          </w:tcPr>
          <w:p w14:paraId="5FFB8D01" w14:textId="03B59EFE" w:rsidR="0063505A" w:rsidRPr="0063505A" w:rsidRDefault="0063505A" w:rsidP="0063505A">
            <w:pPr>
              <w:spacing w:line="360" w:lineRule="auto"/>
              <w:jc w:val="center"/>
              <w:rPr>
                <w:rFonts w:cs="Arial"/>
                <w:sz w:val="20"/>
              </w:rPr>
            </w:pPr>
            <w:r w:rsidRPr="0063505A">
              <w:rPr>
                <w:rFonts w:cs="Arial"/>
                <w:sz w:val="20"/>
              </w:rPr>
              <w:t>93.71%</w:t>
            </w:r>
          </w:p>
        </w:tc>
        <w:tc>
          <w:tcPr>
            <w:tcW w:w="1563" w:type="dxa"/>
          </w:tcPr>
          <w:p w14:paraId="5FE35B8A" w14:textId="63CBFEF3" w:rsidR="0063505A" w:rsidRPr="0063505A" w:rsidRDefault="0063505A" w:rsidP="0063505A">
            <w:pPr>
              <w:spacing w:line="360" w:lineRule="auto"/>
              <w:jc w:val="center"/>
              <w:rPr>
                <w:rFonts w:cs="Arial"/>
                <w:sz w:val="20"/>
              </w:rPr>
            </w:pPr>
            <w:r w:rsidRPr="0063505A">
              <w:rPr>
                <w:rFonts w:cs="Arial"/>
                <w:sz w:val="20"/>
              </w:rPr>
              <w:t>6.25%</w:t>
            </w:r>
          </w:p>
        </w:tc>
      </w:tr>
      <w:tr w:rsidR="0063505A" w:rsidRPr="0063505A" w14:paraId="0E84D6CD" w14:textId="77777777" w:rsidTr="004948F7">
        <w:trPr>
          <w:trHeight w:val="380"/>
          <w:jc w:val="center"/>
        </w:trPr>
        <w:tc>
          <w:tcPr>
            <w:tcW w:w="1600" w:type="dxa"/>
          </w:tcPr>
          <w:p w14:paraId="1DCBFB57" w14:textId="77777777" w:rsidR="0063505A" w:rsidRPr="0063505A" w:rsidRDefault="0063505A" w:rsidP="0063505A">
            <w:pPr>
              <w:spacing w:line="360" w:lineRule="auto"/>
              <w:jc w:val="center"/>
              <w:rPr>
                <w:rFonts w:cs="Arial"/>
                <w:b/>
                <w:sz w:val="20"/>
              </w:rPr>
            </w:pPr>
          </w:p>
        </w:tc>
        <w:tc>
          <w:tcPr>
            <w:tcW w:w="2086" w:type="dxa"/>
            <w:gridSpan w:val="2"/>
          </w:tcPr>
          <w:p w14:paraId="2DBF4C08" w14:textId="4097B2C1" w:rsidR="0063505A" w:rsidRPr="0063505A" w:rsidRDefault="0063505A" w:rsidP="0063505A">
            <w:pPr>
              <w:spacing w:line="360" w:lineRule="auto"/>
              <w:jc w:val="right"/>
              <w:rPr>
                <w:rFonts w:cs="Arial"/>
                <w:color w:val="FF0000"/>
                <w:sz w:val="20"/>
              </w:rPr>
            </w:pPr>
            <w:r w:rsidRPr="0063505A">
              <w:rPr>
                <w:rFonts w:cs="Arial"/>
                <w:color w:val="FF0000"/>
                <w:sz w:val="20"/>
              </w:rPr>
              <w:t>65.25%</w:t>
            </w:r>
          </w:p>
        </w:tc>
        <w:tc>
          <w:tcPr>
            <w:tcW w:w="2551" w:type="dxa"/>
            <w:gridSpan w:val="2"/>
          </w:tcPr>
          <w:p w14:paraId="5DFEA8B5" w14:textId="327C5A28" w:rsidR="0063505A" w:rsidRPr="0063505A" w:rsidRDefault="0063505A" w:rsidP="0063505A">
            <w:pPr>
              <w:spacing w:line="360" w:lineRule="auto"/>
              <w:jc w:val="right"/>
              <w:rPr>
                <w:rFonts w:cs="Arial"/>
                <w:color w:val="0070C0"/>
                <w:sz w:val="20"/>
              </w:rPr>
            </w:pPr>
            <w:r w:rsidRPr="0063505A">
              <w:rPr>
                <w:rFonts w:cs="Arial"/>
                <w:color w:val="0070C0"/>
                <w:sz w:val="20"/>
              </w:rPr>
              <w:t>34.37%</w:t>
            </w:r>
          </w:p>
        </w:tc>
        <w:tc>
          <w:tcPr>
            <w:tcW w:w="1418" w:type="dxa"/>
          </w:tcPr>
          <w:p w14:paraId="266D8EC7" w14:textId="77777777" w:rsidR="0063505A" w:rsidRPr="0063505A" w:rsidRDefault="0063505A" w:rsidP="0063505A">
            <w:pPr>
              <w:spacing w:line="360" w:lineRule="auto"/>
              <w:jc w:val="center"/>
              <w:rPr>
                <w:rFonts w:cs="Arial"/>
                <w:sz w:val="20"/>
              </w:rPr>
            </w:pPr>
          </w:p>
        </w:tc>
        <w:tc>
          <w:tcPr>
            <w:tcW w:w="1563" w:type="dxa"/>
          </w:tcPr>
          <w:p w14:paraId="0D9B0112" w14:textId="505D4D5B" w:rsidR="0063505A" w:rsidRPr="0063505A" w:rsidRDefault="0063505A" w:rsidP="0063505A">
            <w:pPr>
              <w:spacing w:line="360" w:lineRule="auto"/>
              <w:jc w:val="center"/>
              <w:rPr>
                <w:rFonts w:cs="Arial"/>
                <w:sz w:val="20"/>
              </w:rPr>
            </w:pPr>
          </w:p>
        </w:tc>
      </w:tr>
      <w:tr w:rsidR="0063505A" w:rsidRPr="0063505A" w14:paraId="135C50AB" w14:textId="77777777" w:rsidTr="004948F7">
        <w:trPr>
          <w:trHeight w:val="450"/>
          <w:jc w:val="center"/>
        </w:trPr>
        <w:tc>
          <w:tcPr>
            <w:tcW w:w="1600" w:type="dxa"/>
          </w:tcPr>
          <w:p w14:paraId="799FDA2D" w14:textId="77777777" w:rsidR="0063505A" w:rsidRPr="0063505A" w:rsidRDefault="0063505A" w:rsidP="0063505A">
            <w:pPr>
              <w:spacing w:line="360" w:lineRule="auto"/>
              <w:jc w:val="center"/>
              <w:rPr>
                <w:rFonts w:cs="Arial"/>
                <w:b/>
                <w:sz w:val="20"/>
              </w:rPr>
            </w:pPr>
            <w:r w:rsidRPr="0063505A">
              <w:rPr>
                <w:rFonts w:cs="Arial"/>
                <w:b/>
                <w:sz w:val="20"/>
              </w:rPr>
              <w:t>Senado</w:t>
            </w:r>
          </w:p>
        </w:tc>
        <w:tc>
          <w:tcPr>
            <w:tcW w:w="952" w:type="dxa"/>
          </w:tcPr>
          <w:p w14:paraId="0481F25A" w14:textId="119ED479" w:rsidR="0063505A" w:rsidRPr="0063505A" w:rsidRDefault="0063505A" w:rsidP="0063505A">
            <w:pPr>
              <w:tabs>
                <w:tab w:val="left" w:pos="368"/>
                <w:tab w:val="center" w:pos="515"/>
              </w:tabs>
              <w:spacing w:line="360" w:lineRule="auto"/>
              <w:rPr>
                <w:rFonts w:cs="Arial"/>
                <w:color w:val="FF0000"/>
                <w:sz w:val="20"/>
              </w:rPr>
            </w:pPr>
            <w:r w:rsidRPr="0063505A">
              <w:rPr>
                <w:rFonts w:cs="Arial"/>
                <w:color w:val="FF0000"/>
                <w:sz w:val="20"/>
              </w:rPr>
              <w:tab/>
            </w:r>
            <w:r w:rsidRPr="0063505A">
              <w:rPr>
                <w:rFonts w:cs="Arial"/>
                <w:color w:val="FF0000"/>
                <w:sz w:val="20"/>
              </w:rPr>
              <w:tab/>
              <w:t>2</w:t>
            </w:r>
          </w:p>
        </w:tc>
        <w:tc>
          <w:tcPr>
            <w:tcW w:w="1134" w:type="dxa"/>
          </w:tcPr>
          <w:p w14:paraId="083B1FDF" w14:textId="77777777" w:rsidR="0063505A" w:rsidRPr="0063505A" w:rsidRDefault="0063505A" w:rsidP="0063505A">
            <w:pPr>
              <w:spacing w:line="360" w:lineRule="auto"/>
              <w:jc w:val="center"/>
              <w:rPr>
                <w:rFonts w:cs="Arial"/>
                <w:color w:val="FF0000"/>
                <w:sz w:val="20"/>
              </w:rPr>
            </w:pPr>
            <w:r w:rsidRPr="0063505A">
              <w:rPr>
                <w:rFonts w:cs="Arial"/>
                <w:color w:val="FF0000"/>
                <w:sz w:val="20"/>
              </w:rPr>
              <w:t>--</w:t>
            </w:r>
          </w:p>
        </w:tc>
        <w:tc>
          <w:tcPr>
            <w:tcW w:w="1276" w:type="dxa"/>
          </w:tcPr>
          <w:p w14:paraId="5F4251D3" w14:textId="7647B2F5" w:rsidR="0063505A" w:rsidRPr="0063505A" w:rsidRDefault="0063505A" w:rsidP="0063505A">
            <w:pPr>
              <w:spacing w:line="360" w:lineRule="auto"/>
              <w:jc w:val="center"/>
              <w:rPr>
                <w:rFonts w:cs="Arial"/>
                <w:color w:val="0070C0"/>
                <w:sz w:val="20"/>
              </w:rPr>
            </w:pPr>
            <w:r w:rsidRPr="0063505A">
              <w:rPr>
                <w:rFonts w:cs="Arial"/>
                <w:color w:val="0070C0"/>
                <w:sz w:val="20"/>
              </w:rPr>
              <w:t>--</w:t>
            </w:r>
          </w:p>
        </w:tc>
        <w:tc>
          <w:tcPr>
            <w:tcW w:w="1275" w:type="dxa"/>
          </w:tcPr>
          <w:p w14:paraId="0E4A051D" w14:textId="77777777" w:rsidR="0063505A" w:rsidRPr="0063505A" w:rsidRDefault="0063505A" w:rsidP="0063505A">
            <w:pPr>
              <w:spacing w:line="360" w:lineRule="auto"/>
              <w:jc w:val="center"/>
              <w:rPr>
                <w:rFonts w:cs="Arial"/>
                <w:color w:val="0070C0"/>
                <w:sz w:val="20"/>
              </w:rPr>
            </w:pPr>
            <w:r w:rsidRPr="0063505A">
              <w:rPr>
                <w:rFonts w:cs="Arial"/>
                <w:color w:val="0070C0"/>
                <w:sz w:val="20"/>
              </w:rPr>
              <w:t>--</w:t>
            </w:r>
          </w:p>
        </w:tc>
        <w:tc>
          <w:tcPr>
            <w:tcW w:w="1418" w:type="dxa"/>
          </w:tcPr>
          <w:p w14:paraId="49BC4029" w14:textId="0D1D556D" w:rsidR="0063505A" w:rsidRPr="0063505A" w:rsidRDefault="0063505A" w:rsidP="0063505A">
            <w:pPr>
              <w:spacing w:line="360" w:lineRule="auto"/>
              <w:jc w:val="center"/>
              <w:rPr>
                <w:rFonts w:cs="Arial"/>
                <w:sz w:val="20"/>
              </w:rPr>
            </w:pPr>
            <w:r w:rsidRPr="0063505A">
              <w:rPr>
                <w:rFonts w:cs="Arial"/>
                <w:sz w:val="20"/>
              </w:rPr>
              <w:t>100%</w:t>
            </w:r>
          </w:p>
        </w:tc>
        <w:tc>
          <w:tcPr>
            <w:tcW w:w="1563" w:type="dxa"/>
          </w:tcPr>
          <w:p w14:paraId="48B2EDDF" w14:textId="1549E4AD" w:rsidR="0063505A" w:rsidRPr="0063505A" w:rsidRDefault="0063505A" w:rsidP="0063505A">
            <w:pPr>
              <w:spacing w:line="360" w:lineRule="auto"/>
              <w:jc w:val="center"/>
              <w:rPr>
                <w:rFonts w:cs="Arial"/>
                <w:sz w:val="20"/>
              </w:rPr>
            </w:pPr>
            <w:r>
              <w:rPr>
                <w:rFonts w:cs="Arial"/>
                <w:sz w:val="20"/>
              </w:rPr>
              <w:t>0%</w:t>
            </w:r>
          </w:p>
        </w:tc>
      </w:tr>
      <w:tr w:rsidR="0063505A" w:rsidRPr="0063505A" w14:paraId="27B74D7E" w14:textId="77777777" w:rsidTr="004948F7">
        <w:trPr>
          <w:trHeight w:val="430"/>
          <w:jc w:val="center"/>
        </w:trPr>
        <w:tc>
          <w:tcPr>
            <w:tcW w:w="1600" w:type="dxa"/>
          </w:tcPr>
          <w:p w14:paraId="575BA735" w14:textId="77777777" w:rsidR="0063505A" w:rsidRPr="0063505A" w:rsidRDefault="0063505A" w:rsidP="0063505A">
            <w:pPr>
              <w:spacing w:line="360" w:lineRule="auto"/>
              <w:jc w:val="center"/>
              <w:rPr>
                <w:rFonts w:cs="Arial"/>
                <w:b/>
                <w:sz w:val="20"/>
              </w:rPr>
            </w:pPr>
          </w:p>
        </w:tc>
        <w:tc>
          <w:tcPr>
            <w:tcW w:w="2086" w:type="dxa"/>
            <w:gridSpan w:val="2"/>
          </w:tcPr>
          <w:p w14:paraId="64BBC8F6" w14:textId="75DCE977" w:rsidR="0063505A" w:rsidRPr="0063505A" w:rsidRDefault="0063505A" w:rsidP="0063505A">
            <w:pPr>
              <w:spacing w:line="360" w:lineRule="auto"/>
              <w:jc w:val="right"/>
              <w:rPr>
                <w:rFonts w:cs="Arial"/>
                <w:color w:val="FF0000"/>
                <w:sz w:val="20"/>
              </w:rPr>
            </w:pPr>
            <w:r w:rsidRPr="0063505A">
              <w:rPr>
                <w:rFonts w:cs="Arial"/>
                <w:color w:val="FF0000"/>
                <w:sz w:val="20"/>
              </w:rPr>
              <w:t>100%</w:t>
            </w:r>
          </w:p>
        </w:tc>
        <w:tc>
          <w:tcPr>
            <w:tcW w:w="2551" w:type="dxa"/>
            <w:gridSpan w:val="2"/>
          </w:tcPr>
          <w:p w14:paraId="547F4B36" w14:textId="4A54491D" w:rsidR="0063505A" w:rsidRPr="0063505A" w:rsidRDefault="0063505A" w:rsidP="0063505A">
            <w:pPr>
              <w:spacing w:line="360" w:lineRule="auto"/>
              <w:jc w:val="right"/>
              <w:rPr>
                <w:rFonts w:cs="Arial"/>
                <w:color w:val="0070C0"/>
                <w:sz w:val="20"/>
              </w:rPr>
            </w:pPr>
            <w:r w:rsidRPr="0063505A">
              <w:rPr>
                <w:rFonts w:cs="Arial"/>
                <w:color w:val="0070C0"/>
                <w:sz w:val="20"/>
              </w:rPr>
              <w:t>0%</w:t>
            </w:r>
          </w:p>
        </w:tc>
        <w:tc>
          <w:tcPr>
            <w:tcW w:w="1418" w:type="dxa"/>
          </w:tcPr>
          <w:p w14:paraId="327538D9" w14:textId="77777777" w:rsidR="0063505A" w:rsidRPr="0063505A" w:rsidRDefault="0063505A" w:rsidP="0063505A">
            <w:pPr>
              <w:spacing w:line="360" w:lineRule="auto"/>
              <w:jc w:val="center"/>
              <w:rPr>
                <w:rFonts w:cs="Arial"/>
                <w:sz w:val="20"/>
              </w:rPr>
            </w:pPr>
          </w:p>
        </w:tc>
        <w:tc>
          <w:tcPr>
            <w:tcW w:w="1563" w:type="dxa"/>
          </w:tcPr>
          <w:p w14:paraId="5612BBB1" w14:textId="77777777" w:rsidR="0063505A" w:rsidRPr="0063505A" w:rsidRDefault="0063505A" w:rsidP="0063505A">
            <w:pPr>
              <w:spacing w:line="360" w:lineRule="auto"/>
              <w:jc w:val="center"/>
              <w:rPr>
                <w:rFonts w:cs="Arial"/>
                <w:sz w:val="20"/>
              </w:rPr>
            </w:pPr>
          </w:p>
        </w:tc>
      </w:tr>
    </w:tbl>
    <w:p w14:paraId="578F5CA1" w14:textId="77777777" w:rsidR="00672848" w:rsidRDefault="00672848" w:rsidP="00672848">
      <w:pPr>
        <w:spacing w:line="360" w:lineRule="auto"/>
        <w:rPr>
          <w:rFonts w:ascii="Arial" w:hAnsi="Arial" w:cs="Arial"/>
        </w:rPr>
      </w:pPr>
      <w:r>
        <w:rPr>
          <w:rFonts w:ascii="Arial" w:hAnsi="Arial" w:cs="Arial"/>
          <w:lang w:val="en-US"/>
        </w:rPr>
        <w:t>(</w:t>
      </w:r>
      <w:r w:rsidRPr="00AB27E6">
        <w:rPr>
          <w:rFonts w:ascii="Arial" w:hAnsi="Arial" w:cs="Arial"/>
          <w:lang w:val="en-US"/>
        </w:rPr>
        <w:t>Civic Impulse, 2017</w:t>
      </w:r>
      <w:r>
        <w:rPr>
          <w:rFonts w:ascii="Arial" w:hAnsi="Arial" w:cs="Arial"/>
          <w:lang w:val="en-US"/>
        </w:rPr>
        <w:t>)</w:t>
      </w:r>
    </w:p>
    <w:p w14:paraId="13D63CE9" w14:textId="77777777" w:rsidR="004948F7" w:rsidRDefault="004948F7" w:rsidP="004948F7">
      <w:pPr>
        <w:spacing w:line="360" w:lineRule="auto"/>
        <w:rPr>
          <w:rFonts w:ascii="Arial" w:hAnsi="Arial" w:cs="Arial"/>
        </w:rPr>
      </w:pPr>
    </w:p>
    <w:p w14:paraId="44AB16E7" w14:textId="77777777" w:rsidR="004948F7" w:rsidRDefault="004948F7" w:rsidP="004948F7">
      <w:pPr>
        <w:spacing w:line="360" w:lineRule="auto"/>
        <w:rPr>
          <w:rFonts w:ascii="Arial" w:hAnsi="Arial" w:cs="Arial"/>
        </w:rPr>
      </w:pPr>
      <w:r>
        <w:rPr>
          <w:rFonts w:ascii="Arial" w:hAnsi="Arial" w:cs="Arial"/>
        </w:rPr>
        <w:t xml:space="preserve">Debido a la  cantidad poblacional del estado de Texas dentro de la Unión, es de los estados con mayor número de congresistas en la Casa de Representantes. Texas es </w:t>
      </w:r>
      <w:r>
        <w:rPr>
          <w:rFonts w:ascii="Arial" w:hAnsi="Arial" w:cs="Arial"/>
        </w:rPr>
        <w:lastRenderedPageBreak/>
        <w:t>además, el estado que mayores reservas petroleras tiene y economía es predominantemente petrolera. Estos hechos influyen en las decisiones de votación de los representantes en el Congreso y en la siguiente gráfica se puede observar cómo el 93.7% de los representantes votó a favor de la ley.</w:t>
      </w:r>
    </w:p>
    <w:p w14:paraId="729A76A7" w14:textId="77777777" w:rsidR="004948F7" w:rsidRDefault="004948F7" w:rsidP="004948F7">
      <w:pPr>
        <w:spacing w:line="360" w:lineRule="auto"/>
        <w:rPr>
          <w:rFonts w:ascii="Arial" w:hAnsi="Arial" w:cs="Arial"/>
        </w:rPr>
      </w:pPr>
      <w:r>
        <w:rPr>
          <w:rFonts w:ascii="Arial" w:hAnsi="Arial" w:cs="Arial"/>
        </w:rPr>
        <w:t>El 65.2% de los representantes era Republicano en la Casa de Representantes, y el 100% de los senadores también lo era. No obstante la mayoría republicana, en el estado de Texas, de los representantes demócratas solamente uno votó en contra de la legislación.</w:t>
      </w:r>
    </w:p>
    <w:p w14:paraId="230C9172" w14:textId="547CDF75" w:rsidR="004948F7" w:rsidRDefault="004948F7" w:rsidP="004948F7">
      <w:pPr>
        <w:spacing w:line="360" w:lineRule="auto"/>
        <w:rPr>
          <w:rFonts w:ascii="Arial" w:hAnsi="Arial" w:cs="Arial"/>
        </w:rPr>
      </w:pPr>
      <w:r>
        <w:rPr>
          <w:rFonts w:ascii="Arial" w:hAnsi="Arial" w:cs="Arial"/>
        </w:rPr>
        <w:t>Las votaciones del estado de Texas son de gran importancia debido a la alta probabilidad de que los votantes tengan intereses directos con la industria petrolera. Estos intereses se ven reflejados en las votaciones de los congresistas, que si bien son mayoría republicana, los miembros de ambos partidos votaron casi al 100% a favor de la ley.</w:t>
      </w:r>
    </w:p>
    <w:p w14:paraId="1FE08D74" w14:textId="003774CE" w:rsidR="00E436DE" w:rsidRDefault="00415BA8" w:rsidP="0047512E">
      <w:pPr>
        <w:spacing w:line="360" w:lineRule="auto"/>
        <w:rPr>
          <w:rFonts w:ascii="Arial" w:hAnsi="Arial" w:cs="Arial"/>
        </w:rPr>
      </w:pPr>
      <w:r>
        <w:rPr>
          <w:rFonts w:ascii="Arial" w:hAnsi="Arial" w:cs="Arial"/>
        </w:rPr>
        <w:t>A pesar de que no se puede realizar un análisis de las actividades de cabildeo realizadas por  sectores o corporaciones interesados en que pase una ley, s</w:t>
      </w:r>
      <w:r w:rsidR="00E436DE" w:rsidRPr="0047512E">
        <w:rPr>
          <w:rFonts w:ascii="Arial" w:hAnsi="Arial" w:cs="Arial"/>
        </w:rPr>
        <w:t xml:space="preserve">e puede inferir </w:t>
      </w:r>
      <w:r>
        <w:rPr>
          <w:rFonts w:ascii="Arial" w:hAnsi="Arial" w:cs="Arial"/>
        </w:rPr>
        <w:t xml:space="preserve">a partir del presente análisis </w:t>
      </w:r>
      <w:r w:rsidR="00E436DE" w:rsidRPr="0047512E">
        <w:rPr>
          <w:rFonts w:ascii="Arial" w:hAnsi="Arial" w:cs="Arial"/>
        </w:rPr>
        <w:t xml:space="preserve">que </w:t>
      </w:r>
      <w:r>
        <w:rPr>
          <w:rFonts w:ascii="Arial" w:hAnsi="Arial" w:cs="Arial"/>
        </w:rPr>
        <w:t>el apoyo otorgado en donaciones a las campañas de los congresistas va acompañado de la representación de los intereses de los grupos que apoyaron a dichos candidatos.</w:t>
      </w:r>
    </w:p>
    <w:p w14:paraId="0E3F3CB2" w14:textId="77777777" w:rsidR="00672848" w:rsidRDefault="00672848" w:rsidP="0047512E">
      <w:pPr>
        <w:spacing w:line="360" w:lineRule="auto"/>
        <w:rPr>
          <w:rFonts w:ascii="Arial" w:hAnsi="Arial" w:cs="Arial"/>
        </w:rPr>
      </w:pPr>
    </w:p>
    <w:p w14:paraId="1086E3A5" w14:textId="7F5809D0" w:rsidR="009F2C78" w:rsidRPr="00B31FDC" w:rsidRDefault="009F2C78" w:rsidP="00B31FDC">
      <w:pPr>
        <w:pStyle w:val="Ttulo2"/>
        <w:spacing w:after="240"/>
        <w:rPr>
          <w:color w:val="000000" w:themeColor="text1"/>
        </w:rPr>
      </w:pPr>
      <w:bookmarkStart w:id="34" w:name="_Toc499918308"/>
      <w:r w:rsidRPr="00B31FDC">
        <w:rPr>
          <w:color w:val="000000" w:themeColor="text1"/>
        </w:rPr>
        <w:t>Análisis</w:t>
      </w:r>
      <w:bookmarkEnd w:id="34"/>
    </w:p>
    <w:p w14:paraId="1654B83F" w14:textId="6A965608" w:rsidR="00FE1DBA" w:rsidRDefault="009F2C78" w:rsidP="009F2C78">
      <w:pPr>
        <w:spacing w:line="360" w:lineRule="auto"/>
        <w:rPr>
          <w:rFonts w:ascii="Arial" w:hAnsi="Arial" w:cs="Arial"/>
        </w:rPr>
      </w:pPr>
      <w:r>
        <w:rPr>
          <w:rFonts w:ascii="Arial" w:hAnsi="Arial" w:cs="Arial"/>
        </w:rPr>
        <w:t>En el capítulo anterior se analizó cómo</w:t>
      </w:r>
      <w:r w:rsidR="00EB0E90">
        <w:rPr>
          <w:rFonts w:ascii="Arial" w:hAnsi="Arial" w:cs="Arial"/>
        </w:rPr>
        <w:t>,</w:t>
      </w:r>
      <w:r>
        <w:rPr>
          <w:rFonts w:ascii="Arial" w:hAnsi="Arial" w:cs="Arial"/>
        </w:rPr>
        <w:t xml:space="preserve"> desde una perspectiva </w:t>
      </w:r>
      <w:r w:rsidR="00EB0E90">
        <w:rPr>
          <w:rFonts w:ascii="Arial" w:hAnsi="Arial" w:cs="Arial"/>
        </w:rPr>
        <w:t>de</w:t>
      </w:r>
      <w:r>
        <w:rPr>
          <w:rFonts w:ascii="Arial" w:hAnsi="Arial" w:cs="Arial"/>
        </w:rPr>
        <w:t xml:space="preserve"> </w:t>
      </w:r>
      <w:r w:rsidR="000D71E5">
        <w:rPr>
          <w:rFonts w:ascii="Arial" w:hAnsi="Arial" w:cs="Arial"/>
        </w:rPr>
        <w:t>la teoría neorrealista</w:t>
      </w:r>
      <w:r w:rsidR="00EB0E90">
        <w:rPr>
          <w:rFonts w:ascii="Arial" w:hAnsi="Arial" w:cs="Arial"/>
        </w:rPr>
        <w:t>,</w:t>
      </w:r>
      <w:r w:rsidR="000D71E5">
        <w:rPr>
          <w:rFonts w:ascii="Arial" w:hAnsi="Arial" w:cs="Arial"/>
        </w:rPr>
        <w:t xml:space="preserve"> la adopción de la Política de Seguridad Energética en EE.UU.</w:t>
      </w:r>
      <w:r w:rsidR="00EB0E90">
        <w:rPr>
          <w:rFonts w:ascii="Arial" w:hAnsi="Arial" w:cs="Arial"/>
        </w:rPr>
        <w:t xml:space="preserve"> responde al interés nacional.</w:t>
      </w:r>
      <w:r w:rsidR="000D71E5">
        <w:rPr>
          <w:rFonts w:ascii="Arial" w:hAnsi="Arial" w:cs="Arial"/>
        </w:rPr>
        <w:t xml:space="preserve"> En este capítulo, se explora la adopción de la legislación que materializa dicha política por medio de las cámaras de representación popular. Se encuentra que</w:t>
      </w:r>
      <w:r w:rsidR="00C9676E">
        <w:rPr>
          <w:rFonts w:ascii="Arial" w:hAnsi="Arial" w:cs="Arial"/>
        </w:rPr>
        <w:t>,</w:t>
      </w:r>
      <w:r w:rsidR="000D71E5">
        <w:rPr>
          <w:rFonts w:ascii="Arial" w:hAnsi="Arial" w:cs="Arial"/>
        </w:rPr>
        <w:t xml:space="preserve"> si bien </w:t>
      </w:r>
      <w:r w:rsidR="00FE1DBA">
        <w:rPr>
          <w:rFonts w:ascii="Arial" w:hAnsi="Arial" w:cs="Arial"/>
        </w:rPr>
        <w:t>los incentivos fiscales que plantea la propuesta de ley en un inicio responden al desarrollo de una industria para el interés nacional, también lo son para intereses de grupos que se verán beneficiados económicamente al pasar dicha legislación.</w:t>
      </w:r>
    </w:p>
    <w:p w14:paraId="6AB95FA4" w14:textId="77777777" w:rsidR="00017795" w:rsidRDefault="00FE1DBA" w:rsidP="009F2C78">
      <w:pPr>
        <w:spacing w:line="360" w:lineRule="auto"/>
        <w:rPr>
          <w:rFonts w:ascii="Arial" w:hAnsi="Arial" w:cs="Arial"/>
        </w:rPr>
      </w:pPr>
      <w:r>
        <w:rPr>
          <w:rFonts w:ascii="Arial" w:hAnsi="Arial" w:cs="Arial"/>
        </w:rPr>
        <w:t>Si bien no se puede saber si hubiera sido votada</w:t>
      </w:r>
      <w:r w:rsidR="004948F7">
        <w:rPr>
          <w:rFonts w:ascii="Arial" w:hAnsi="Arial" w:cs="Arial"/>
        </w:rPr>
        <w:t xml:space="preserve"> a favor o en contra</w:t>
      </w:r>
      <w:r>
        <w:rPr>
          <w:rFonts w:ascii="Arial" w:hAnsi="Arial" w:cs="Arial"/>
        </w:rPr>
        <w:t xml:space="preserve"> una ley que no incluyera importantes incentivos económicos para la industria, o si los grupos de cabildeo en el congreso influyeron a que los incentivos incrementaran o se mantuvieran, queda claro que el apoyo a las campañas políticas de c</w:t>
      </w:r>
      <w:r w:rsidR="00771D81">
        <w:rPr>
          <w:rFonts w:ascii="Arial" w:hAnsi="Arial" w:cs="Arial"/>
        </w:rPr>
        <w:t xml:space="preserve">ongresistas por parte de grupos pertenecientes a la industria petrolera, </w:t>
      </w:r>
      <w:r w:rsidR="004948F7">
        <w:rPr>
          <w:rFonts w:ascii="Arial" w:hAnsi="Arial" w:cs="Arial"/>
        </w:rPr>
        <w:t>tuvieron</w:t>
      </w:r>
      <w:r w:rsidR="00771D81">
        <w:rPr>
          <w:rFonts w:ascii="Arial" w:hAnsi="Arial" w:cs="Arial"/>
        </w:rPr>
        <w:t xml:space="preserve"> injerencia en la aprobación de la misma.</w:t>
      </w:r>
      <w:r w:rsidR="004948F7">
        <w:rPr>
          <w:rFonts w:ascii="Arial" w:hAnsi="Arial" w:cs="Arial"/>
        </w:rPr>
        <w:t xml:space="preserve"> </w:t>
      </w:r>
    </w:p>
    <w:p w14:paraId="532D3BB3" w14:textId="3C1939F4" w:rsidR="00CD1F6D" w:rsidRDefault="00CD1F6D" w:rsidP="00CD1F6D">
      <w:pPr>
        <w:tabs>
          <w:tab w:val="left" w:pos="6714"/>
        </w:tabs>
        <w:spacing w:line="360" w:lineRule="auto"/>
        <w:rPr>
          <w:rFonts w:ascii="Arial" w:hAnsi="Arial" w:cs="Arial"/>
        </w:rPr>
      </w:pPr>
      <w:r>
        <w:rPr>
          <w:rFonts w:ascii="Arial" w:hAnsi="Arial" w:cs="Arial"/>
        </w:rPr>
        <w:lastRenderedPageBreak/>
        <w:t xml:space="preserve">Por otro lado, el Reporte </w:t>
      </w:r>
      <w:proofErr w:type="spellStart"/>
      <w:r>
        <w:rPr>
          <w:rFonts w:ascii="Arial" w:hAnsi="Arial" w:cs="Arial"/>
        </w:rPr>
        <w:t>Cheney</w:t>
      </w:r>
      <w:proofErr w:type="spellEnd"/>
      <w:r>
        <w:rPr>
          <w:rFonts w:ascii="Arial" w:hAnsi="Arial" w:cs="Arial"/>
        </w:rPr>
        <w:t xml:space="preserve"> menciona que la fracturación hidráulica</w:t>
      </w:r>
      <w:r>
        <w:rPr>
          <w:rFonts w:ascii="Arial" w:hAnsi="Arial" w:cs="Arial"/>
          <w:b/>
        </w:rPr>
        <w:t xml:space="preserve"> </w:t>
      </w:r>
      <w:r>
        <w:rPr>
          <w:rFonts w:ascii="Arial" w:hAnsi="Arial" w:cs="Arial"/>
        </w:rPr>
        <w:t>no representa una amenaza para el medio ambiente. En los principios básicos del reporte hace claro que las tecnologías deben de ser amigables con el medio ambiente y si  bien diversos grupos ambientalistas manifestaron su preocupación sobre los efectos negativos de la fracturación hidráulica y se publicaron estudios que probaban la preocupación sobre el uso de esta técnica, sin mencionar que la reserva de Río Verde no solo son tierras federales sino</w:t>
      </w:r>
      <w:r w:rsidR="00EB0E90">
        <w:rPr>
          <w:rFonts w:ascii="Arial" w:hAnsi="Arial" w:cs="Arial"/>
        </w:rPr>
        <w:t xml:space="preserve"> también</w:t>
      </w:r>
      <w:r>
        <w:rPr>
          <w:rFonts w:ascii="Arial" w:hAnsi="Arial" w:cs="Arial"/>
        </w:rPr>
        <w:t xml:space="preserve"> un hábitat en conservación, resulta completamente incoherente la aprobación de una ley </w:t>
      </w:r>
      <w:r w:rsidR="008105BC">
        <w:rPr>
          <w:rFonts w:ascii="Arial" w:hAnsi="Arial" w:cs="Arial"/>
        </w:rPr>
        <w:t>que dice fundamentarse en sus pilares básicos en la conservación del medio ambiente, y promueva prácticas que ya se ha probado son nocivas</w:t>
      </w:r>
      <w:r>
        <w:rPr>
          <w:rFonts w:ascii="Arial" w:hAnsi="Arial" w:cs="Arial"/>
        </w:rPr>
        <w:t xml:space="preserve">. </w:t>
      </w:r>
    </w:p>
    <w:p w14:paraId="67B41114" w14:textId="5A8B3F8F" w:rsidR="00CD1F6D" w:rsidRPr="00CD1F6D" w:rsidRDefault="00CD1F6D" w:rsidP="00CD1F6D">
      <w:pPr>
        <w:spacing w:line="360" w:lineRule="auto"/>
        <w:rPr>
          <w:rFonts w:ascii="Arial" w:hAnsi="Arial" w:cs="Arial"/>
        </w:rPr>
      </w:pPr>
      <w:r>
        <w:rPr>
          <w:rFonts w:ascii="Arial" w:hAnsi="Arial" w:cs="Arial"/>
        </w:rPr>
        <w:t xml:space="preserve">Si bien el interés nacional delineó los objetivos a alcanzar </w:t>
      </w:r>
      <w:r w:rsidR="00EB0E90">
        <w:rPr>
          <w:rFonts w:ascii="Arial" w:hAnsi="Arial" w:cs="Arial"/>
        </w:rPr>
        <w:t xml:space="preserve">para </w:t>
      </w:r>
      <w:r>
        <w:rPr>
          <w:rFonts w:ascii="Arial" w:hAnsi="Arial" w:cs="Arial"/>
        </w:rPr>
        <w:t xml:space="preserve">que se vieran plasmados en la ley de Seguridad Energética de 2005, queda </w:t>
      </w:r>
      <w:r w:rsidR="00EB0E90">
        <w:rPr>
          <w:rFonts w:ascii="Arial" w:hAnsi="Arial" w:cs="Arial"/>
        </w:rPr>
        <w:t>demostrado que no fue sólo</w:t>
      </w:r>
      <w:r>
        <w:rPr>
          <w:rFonts w:ascii="Arial" w:hAnsi="Arial" w:cs="Arial"/>
        </w:rPr>
        <w:t xml:space="preserve"> el interés nacional el que la </w:t>
      </w:r>
      <w:r w:rsidR="00EB0E90">
        <w:rPr>
          <w:rFonts w:ascii="Arial" w:hAnsi="Arial" w:cs="Arial"/>
        </w:rPr>
        <w:t>impulsó,</w:t>
      </w:r>
      <w:r>
        <w:rPr>
          <w:rFonts w:ascii="Arial" w:hAnsi="Arial" w:cs="Arial"/>
        </w:rPr>
        <w:t xml:space="preserve"> </w:t>
      </w:r>
      <w:r w:rsidR="00EB0E90">
        <w:rPr>
          <w:rFonts w:ascii="Arial" w:hAnsi="Arial" w:cs="Arial"/>
        </w:rPr>
        <w:t>sino</w:t>
      </w:r>
      <w:r>
        <w:rPr>
          <w:rFonts w:ascii="Arial" w:hAnsi="Arial" w:cs="Arial"/>
        </w:rPr>
        <w:t xml:space="preserve"> que los incentivos a la industria del </w:t>
      </w:r>
      <w:proofErr w:type="spellStart"/>
      <w:r>
        <w:rPr>
          <w:rFonts w:ascii="Arial" w:hAnsi="Arial" w:cs="Arial"/>
          <w:i/>
        </w:rPr>
        <w:t>shale</w:t>
      </w:r>
      <w:proofErr w:type="spellEnd"/>
      <w:r>
        <w:rPr>
          <w:rFonts w:ascii="Arial" w:hAnsi="Arial" w:cs="Arial"/>
          <w:i/>
        </w:rPr>
        <w:t xml:space="preserve"> </w:t>
      </w:r>
      <w:proofErr w:type="spellStart"/>
      <w:r>
        <w:rPr>
          <w:rFonts w:ascii="Arial" w:hAnsi="Arial" w:cs="Arial"/>
          <w:i/>
        </w:rPr>
        <w:t>oil</w:t>
      </w:r>
      <w:proofErr w:type="spellEnd"/>
      <w:r>
        <w:rPr>
          <w:rFonts w:ascii="Arial" w:hAnsi="Arial" w:cs="Arial"/>
        </w:rPr>
        <w:t xml:space="preserve"> s</w:t>
      </w:r>
      <w:r w:rsidR="00697A8A">
        <w:rPr>
          <w:rFonts w:ascii="Arial" w:hAnsi="Arial" w:cs="Arial"/>
        </w:rPr>
        <w:t>o</w:t>
      </w:r>
      <w:r>
        <w:rPr>
          <w:rFonts w:ascii="Arial" w:hAnsi="Arial" w:cs="Arial"/>
        </w:rPr>
        <w:t>n más bien, incentivos de grupo.</w:t>
      </w:r>
    </w:p>
    <w:p w14:paraId="0CAD1966" w14:textId="77777777" w:rsidR="00CD1F6D" w:rsidRPr="00642B48" w:rsidRDefault="00CD1F6D" w:rsidP="00CD1F6D">
      <w:pPr>
        <w:tabs>
          <w:tab w:val="left" w:pos="6714"/>
        </w:tabs>
        <w:spacing w:line="360" w:lineRule="auto"/>
        <w:rPr>
          <w:rFonts w:ascii="Arial" w:hAnsi="Arial" w:cs="Arial"/>
        </w:rPr>
      </w:pPr>
    </w:p>
    <w:p w14:paraId="0084E4B0" w14:textId="77777777" w:rsidR="00CD1F6D" w:rsidRDefault="00CD1F6D" w:rsidP="009F2C78">
      <w:pPr>
        <w:spacing w:line="360" w:lineRule="auto"/>
        <w:rPr>
          <w:rFonts w:ascii="Arial" w:hAnsi="Arial" w:cs="Arial"/>
        </w:rPr>
      </w:pPr>
    </w:p>
    <w:p w14:paraId="7CD5B690" w14:textId="77777777" w:rsidR="007539E3" w:rsidRPr="009F2C78" w:rsidRDefault="007539E3" w:rsidP="009F2C78">
      <w:pPr>
        <w:spacing w:line="360" w:lineRule="auto"/>
        <w:rPr>
          <w:rFonts w:ascii="Arial" w:hAnsi="Arial" w:cs="Arial"/>
        </w:rPr>
        <w:sectPr w:rsidR="007539E3" w:rsidRPr="009F2C78">
          <w:pgSz w:w="12240" w:h="15840"/>
          <w:pgMar w:top="1417" w:right="1701" w:bottom="1417" w:left="1701" w:header="708" w:footer="708" w:gutter="0"/>
          <w:cols w:space="708"/>
          <w:docGrid w:linePitch="360"/>
        </w:sectPr>
      </w:pPr>
    </w:p>
    <w:tbl>
      <w:tblPr>
        <w:tblpPr w:leftFromText="141" w:rightFromText="141" w:vertAnchor="page" w:horzAnchor="margin" w:tblpXSpec="right" w:tblpY="2641"/>
        <w:tblW w:w="14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60"/>
        <w:gridCol w:w="1417"/>
        <w:gridCol w:w="851"/>
        <w:gridCol w:w="1276"/>
        <w:gridCol w:w="850"/>
        <w:gridCol w:w="1134"/>
        <w:gridCol w:w="955"/>
        <w:gridCol w:w="1030"/>
        <w:gridCol w:w="992"/>
        <w:gridCol w:w="1064"/>
        <w:gridCol w:w="993"/>
        <w:gridCol w:w="1061"/>
        <w:gridCol w:w="1009"/>
      </w:tblGrid>
      <w:tr w:rsidR="003C5F7E" w:rsidRPr="0092349D" w14:paraId="5550845E" w14:textId="77777777" w:rsidTr="00415BA8">
        <w:trPr>
          <w:trHeight w:val="900"/>
        </w:trPr>
        <w:tc>
          <w:tcPr>
            <w:tcW w:w="1560" w:type="dxa"/>
            <w:shd w:val="clear" w:color="auto" w:fill="auto"/>
            <w:vAlign w:val="bottom"/>
            <w:hideMark/>
          </w:tcPr>
          <w:p w14:paraId="082406AB" w14:textId="69D8B469" w:rsidR="003C5F7E" w:rsidRPr="0092349D" w:rsidRDefault="00415BA8" w:rsidP="00415BA8">
            <w:pPr>
              <w:spacing w:after="0" w:line="240" w:lineRule="auto"/>
              <w:rPr>
                <w:rFonts w:ascii="Calibri" w:eastAsia="Times New Roman" w:hAnsi="Calibri" w:cs="Times New Roman"/>
                <w:color w:val="000000"/>
                <w:sz w:val="18"/>
                <w:szCs w:val="18"/>
              </w:rPr>
            </w:pPr>
            <w:r w:rsidRPr="00415BA8">
              <w:rPr>
                <w:rFonts w:ascii="Calibri" w:eastAsia="Times New Roman" w:hAnsi="Calibri" w:cs="Times New Roman"/>
                <w:noProof/>
                <w:color w:val="000000"/>
                <w:sz w:val="18"/>
                <w:szCs w:val="18"/>
              </w:rPr>
              <w:lastRenderedPageBreak/>
              <mc:AlternateContent>
                <mc:Choice Requires="wps">
                  <w:drawing>
                    <wp:anchor distT="0" distB="0" distL="114300" distR="114300" simplePos="0" relativeHeight="251665408" behindDoc="0" locked="0" layoutInCell="1" allowOverlap="1" wp14:anchorId="398E1DF3" wp14:editId="715E1869">
                      <wp:simplePos x="0" y="0"/>
                      <wp:positionH relativeFrom="column">
                        <wp:posOffset>10795</wp:posOffset>
                      </wp:positionH>
                      <wp:positionV relativeFrom="paragraph">
                        <wp:posOffset>-718185</wp:posOffset>
                      </wp:positionV>
                      <wp:extent cx="2374265" cy="1403985"/>
                      <wp:effectExtent l="0" t="0" r="698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B7BC51D" w14:textId="0958CB13" w:rsidR="008029AF" w:rsidRPr="00B31FDC" w:rsidRDefault="008029AF" w:rsidP="00B31FDC">
                                  <w:pPr>
                                    <w:pStyle w:val="Ttulo1"/>
                                    <w:spacing w:before="0"/>
                                    <w:rPr>
                                      <w:color w:val="000000" w:themeColor="text1"/>
                                    </w:rPr>
                                  </w:pPr>
                                  <w:bookmarkStart w:id="35" w:name="_Toc499918309"/>
                                  <w:r w:rsidRPr="00B31FDC">
                                    <w:rPr>
                                      <w:color w:val="000000" w:themeColor="text1"/>
                                    </w:rPr>
                                    <w:t>Anexo 1</w:t>
                                  </w:r>
                                  <w:bookmarkEnd w:id="3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5pt;margin-top:-56.55pt;width:186.95pt;height:1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" stroked="f">
                      <v:textbox style="mso-fit-shape-to-text:t">
                        <w:txbxContent>
                          <w:p w14:paraId="1B7BC51D" w14:textId="0958CB13" w:rsidR="008029AF" w:rsidRPr="00B31FDC" w:rsidRDefault="008029AF" w:rsidP="00B31FDC">
                            <w:pPr>
                              <w:pStyle w:val="Ttulo1"/>
                              <w:spacing w:before="0"/>
                              <w:rPr>
                                <w:color w:val="000000" w:themeColor="text1"/>
                              </w:rPr>
                            </w:pPr>
                            <w:bookmarkStart w:id="36" w:name="_Toc499918309"/>
                            <w:r w:rsidRPr="00B31FDC">
                              <w:rPr>
                                <w:color w:val="000000" w:themeColor="text1"/>
                              </w:rPr>
                              <w:t>Anexo 1</w:t>
                            </w:r>
                            <w:bookmarkEnd w:id="36"/>
                          </w:p>
                        </w:txbxContent>
                      </v:textbox>
                    </v:shape>
                  </w:pict>
                </mc:Fallback>
              </mc:AlternateContent>
            </w:r>
            <w:r w:rsidR="003C5F7E" w:rsidRPr="0092349D">
              <w:rPr>
                <w:rFonts w:ascii="Calibri" w:eastAsia="Times New Roman" w:hAnsi="Calibri" w:cs="Times New Roman"/>
                <w:color w:val="000000"/>
                <w:sz w:val="18"/>
                <w:szCs w:val="18"/>
              </w:rPr>
              <w:t>Empresa relacionada al sector energético</w:t>
            </w:r>
          </w:p>
        </w:tc>
        <w:tc>
          <w:tcPr>
            <w:tcW w:w="1417" w:type="dxa"/>
            <w:shd w:val="clear" w:color="auto" w:fill="auto"/>
            <w:vAlign w:val="bottom"/>
            <w:hideMark/>
          </w:tcPr>
          <w:p w14:paraId="69208EEF"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Contribuciones a demócratas</w:t>
            </w:r>
          </w:p>
        </w:tc>
        <w:tc>
          <w:tcPr>
            <w:tcW w:w="851" w:type="dxa"/>
            <w:shd w:val="clear" w:color="auto" w:fill="auto"/>
            <w:vAlign w:val="bottom"/>
            <w:hideMark/>
          </w:tcPr>
          <w:p w14:paraId="2118453C" w14:textId="77777777" w:rsidR="003C5F7E" w:rsidRPr="0092349D" w:rsidRDefault="003C5F7E" w:rsidP="00415BA8">
            <w:pPr>
              <w:spacing w:after="0" w:line="240" w:lineRule="auto"/>
              <w:rPr>
                <w:rFonts w:ascii="Calibri" w:eastAsia="Times New Roman" w:hAnsi="Calibri" w:cs="Times New Roman"/>
                <w:color w:val="0070C0"/>
                <w:sz w:val="18"/>
                <w:szCs w:val="18"/>
              </w:rPr>
            </w:pPr>
          </w:p>
        </w:tc>
        <w:tc>
          <w:tcPr>
            <w:tcW w:w="1276" w:type="dxa"/>
            <w:shd w:val="clear" w:color="auto" w:fill="auto"/>
            <w:vAlign w:val="bottom"/>
            <w:hideMark/>
          </w:tcPr>
          <w:p w14:paraId="3B24E38B"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Contribuciones a republicanos</w:t>
            </w:r>
          </w:p>
        </w:tc>
        <w:tc>
          <w:tcPr>
            <w:tcW w:w="850" w:type="dxa"/>
            <w:shd w:val="clear" w:color="auto" w:fill="auto"/>
            <w:vAlign w:val="bottom"/>
            <w:hideMark/>
          </w:tcPr>
          <w:p w14:paraId="113A0FAF" w14:textId="77777777" w:rsidR="003C5F7E" w:rsidRPr="0092349D" w:rsidRDefault="003C5F7E" w:rsidP="00415BA8">
            <w:pPr>
              <w:spacing w:after="0" w:line="240" w:lineRule="auto"/>
              <w:rPr>
                <w:rFonts w:ascii="Calibri" w:eastAsia="Times New Roman" w:hAnsi="Calibri" w:cs="Times New Roman"/>
                <w:color w:val="FF0000"/>
                <w:sz w:val="18"/>
                <w:szCs w:val="18"/>
              </w:rPr>
            </w:pPr>
          </w:p>
        </w:tc>
        <w:tc>
          <w:tcPr>
            <w:tcW w:w="1134" w:type="dxa"/>
            <w:shd w:val="clear" w:color="auto" w:fill="auto"/>
            <w:vAlign w:val="bottom"/>
            <w:hideMark/>
          </w:tcPr>
          <w:p w14:paraId="7B786B49"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Demócratas </w:t>
            </w:r>
            <w:proofErr w:type="spellStart"/>
            <w:r w:rsidRPr="0092349D">
              <w:rPr>
                <w:rFonts w:ascii="Calibri" w:eastAsia="Times New Roman" w:hAnsi="Calibri" w:cs="Times New Roman"/>
                <w:color w:val="0070C0"/>
                <w:sz w:val="18"/>
                <w:szCs w:val="18"/>
              </w:rPr>
              <w:t>HoR</w:t>
            </w:r>
            <w:proofErr w:type="spellEnd"/>
          </w:p>
        </w:tc>
        <w:tc>
          <w:tcPr>
            <w:tcW w:w="955" w:type="dxa"/>
            <w:shd w:val="clear" w:color="auto" w:fill="auto"/>
            <w:vAlign w:val="bottom"/>
            <w:hideMark/>
          </w:tcPr>
          <w:p w14:paraId="55B8D0FF"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Porcentaje conforme a </w:t>
            </w:r>
            <w:proofErr w:type="spellStart"/>
            <w:r w:rsidRPr="0092349D">
              <w:rPr>
                <w:rFonts w:ascii="Calibri" w:eastAsia="Times New Roman" w:hAnsi="Calibri" w:cs="Times New Roman"/>
                <w:color w:val="0070C0"/>
                <w:sz w:val="18"/>
                <w:szCs w:val="18"/>
              </w:rPr>
              <w:t>HoR</w:t>
            </w:r>
            <w:proofErr w:type="spellEnd"/>
          </w:p>
        </w:tc>
        <w:tc>
          <w:tcPr>
            <w:tcW w:w="1030" w:type="dxa"/>
            <w:shd w:val="clear" w:color="auto" w:fill="auto"/>
            <w:vAlign w:val="bottom"/>
            <w:hideMark/>
          </w:tcPr>
          <w:p w14:paraId="2E369BAF"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Republicanos </w:t>
            </w:r>
            <w:proofErr w:type="spellStart"/>
            <w:r w:rsidRPr="0092349D">
              <w:rPr>
                <w:rFonts w:ascii="Calibri" w:eastAsia="Times New Roman" w:hAnsi="Calibri" w:cs="Times New Roman"/>
                <w:color w:val="FF0000"/>
                <w:sz w:val="18"/>
                <w:szCs w:val="18"/>
              </w:rPr>
              <w:t>HoR</w:t>
            </w:r>
            <w:proofErr w:type="spellEnd"/>
          </w:p>
        </w:tc>
        <w:tc>
          <w:tcPr>
            <w:tcW w:w="992" w:type="dxa"/>
            <w:shd w:val="clear" w:color="auto" w:fill="auto"/>
            <w:vAlign w:val="bottom"/>
            <w:hideMark/>
          </w:tcPr>
          <w:p w14:paraId="7FFF4244"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Porcentaje conforme a </w:t>
            </w:r>
            <w:proofErr w:type="spellStart"/>
            <w:r w:rsidRPr="0092349D">
              <w:rPr>
                <w:rFonts w:ascii="Calibri" w:eastAsia="Times New Roman" w:hAnsi="Calibri" w:cs="Times New Roman"/>
                <w:color w:val="FF0000"/>
                <w:sz w:val="18"/>
                <w:szCs w:val="18"/>
              </w:rPr>
              <w:t>HoR</w:t>
            </w:r>
            <w:proofErr w:type="spellEnd"/>
          </w:p>
        </w:tc>
        <w:tc>
          <w:tcPr>
            <w:tcW w:w="1064" w:type="dxa"/>
            <w:shd w:val="clear" w:color="auto" w:fill="auto"/>
            <w:vAlign w:val="bottom"/>
            <w:hideMark/>
          </w:tcPr>
          <w:p w14:paraId="7E9E25A8"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Demócratas Senado</w:t>
            </w:r>
          </w:p>
        </w:tc>
        <w:tc>
          <w:tcPr>
            <w:tcW w:w="993" w:type="dxa"/>
            <w:shd w:val="clear" w:color="auto" w:fill="auto"/>
            <w:vAlign w:val="bottom"/>
            <w:hideMark/>
          </w:tcPr>
          <w:p w14:paraId="1417A115"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Porcentaje conforme a Senado</w:t>
            </w:r>
          </w:p>
        </w:tc>
        <w:tc>
          <w:tcPr>
            <w:tcW w:w="1061" w:type="dxa"/>
            <w:shd w:val="clear" w:color="auto" w:fill="auto"/>
            <w:vAlign w:val="bottom"/>
            <w:hideMark/>
          </w:tcPr>
          <w:p w14:paraId="698B70A1"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Republicanos Senado</w:t>
            </w:r>
          </w:p>
        </w:tc>
        <w:tc>
          <w:tcPr>
            <w:tcW w:w="1009" w:type="dxa"/>
            <w:shd w:val="clear" w:color="auto" w:fill="auto"/>
            <w:vAlign w:val="bottom"/>
            <w:hideMark/>
          </w:tcPr>
          <w:p w14:paraId="256CADB3"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Porcentaje conforme a Senado</w:t>
            </w:r>
          </w:p>
        </w:tc>
      </w:tr>
      <w:tr w:rsidR="003C5F7E" w:rsidRPr="0092349D" w14:paraId="2F25D238" w14:textId="77777777" w:rsidTr="00415BA8">
        <w:trPr>
          <w:trHeight w:val="315"/>
        </w:trPr>
        <w:tc>
          <w:tcPr>
            <w:tcW w:w="1560" w:type="dxa"/>
            <w:shd w:val="clear" w:color="auto" w:fill="auto"/>
            <w:vAlign w:val="center"/>
            <w:hideMark/>
          </w:tcPr>
          <w:p w14:paraId="0CF2E9E9"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25" w:history="1">
              <w:proofErr w:type="spellStart"/>
              <w:r w:rsidR="003C5F7E" w:rsidRPr="0092349D">
                <w:rPr>
                  <w:rFonts w:ascii="Calibri" w:eastAsia="Times New Roman" w:hAnsi="Calibri" w:cs="Times New Roman"/>
                  <w:color w:val="0000FF"/>
                  <w:sz w:val="18"/>
                  <w:szCs w:val="18"/>
                  <w:u w:val="single"/>
                </w:rPr>
                <w:t>Peabody</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Energy</w:t>
              </w:r>
              <w:proofErr w:type="spellEnd"/>
            </w:hyperlink>
          </w:p>
        </w:tc>
        <w:tc>
          <w:tcPr>
            <w:tcW w:w="1417" w:type="dxa"/>
            <w:shd w:val="clear" w:color="auto" w:fill="auto"/>
            <w:noWrap/>
            <w:vAlign w:val="bottom"/>
            <w:hideMark/>
          </w:tcPr>
          <w:p w14:paraId="5E04485D"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74,000.00 </w:t>
            </w:r>
          </w:p>
        </w:tc>
        <w:tc>
          <w:tcPr>
            <w:tcW w:w="851" w:type="dxa"/>
            <w:shd w:val="clear" w:color="auto" w:fill="auto"/>
            <w:noWrap/>
            <w:vAlign w:val="bottom"/>
            <w:hideMark/>
          </w:tcPr>
          <w:p w14:paraId="655904E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17%</w:t>
            </w:r>
          </w:p>
        </w:tc>
        <w:tc>
          <w:tcPr>
            <w:tcW w:w="1276" w:type="dxa"/>
            <w:shd w:val="clear" w:color="auto" w:fill="auto"/>
            <w:noWrap/>
            <w:vAlign w:val="bottom"/>
            <w:hideMark/>
          </w:tcPr>
          <w:p w14:paraId="231D1790"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373,450.00 </w:t>
            </w:r>
          </w:p>
        </w:tc>
        <w:tc>
          <w:tcPr>
            <w:tcW w:w="850" w:type="dxa"/>
            <w:shd w:val="clear" w:color="auto" w:fill="auto"/>
            <w:noWrap/>
            <w:vAlign w:val="bottom"/>
            <w:hideMark/>
          </w:tcPr>
          <w:p w14:paraId="2E1DB16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83%</w:t>
            </w:r>
          </w:p>
        </w:tc>
        <w:tc>
          <w:tcPr>
            <w:tcW w:w="1134" w:type="dxa"/>
            <w:shd w:val="clear" w:color="auto" w:fill="auto"/>
            <w:noWrap/>
            <w:vAlign w:val="bottom"/>
            <w:hideMark/>
          </w:tcPr>
          <w:p w14:paraId="442B77D6"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w:t>
            </w:r>
          </w:p>
        </w:tc>
        <w:tc>
          <w:tcPr>
            <w:tcW w:w="955" w:type="dxa"/>
            <w:shd w:val="clear" w:color="auto" w:fill="auto"/>
            <w:noWrap/>
            <w:vAlign w:val="bottom"/>
            <w:hideMark/>
          </w:tcPr>
          <w:p w14:paraId="52A12827"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030" w:type="dxa"/>
            <w:shd w:val="clear" w:color="auto" w:fill="auto"/>
            <w:noWrap/>
            <w:vAlign w:val="bottom"/>
            <w:hideMark/>
          </w:tcPr>
          <w:p w14:paraId="0B8E511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31</w:t>
            </w:r>
          </w:p>
        </w:tc>
        <w:tc>
          <w:tcPr>
            <w:tcW w:w="992" w:type="dxa"/>
            <w:shd w:val="clear" w:color="auto" w:fill="auto"/>
            <w:noWrap/>
            <w:vAlign w:val="bottom"/>
            <w:hideMark/>
          </w:tcPr>
          <w:p w14:paraId="6DC9889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7%</w:t>
            </w:r>
          </w:p>
        </w:tc>
        <w:tc>
          <w:tcPr>
            <w:tcW w:w="1064" w:type="dxa"/>
            <w:shd w:val="clear" w:color="auto" w:fill="auto"/>
            <w:noWrap/>
            <w:vAlign w:val="bottom"/>
            <w:hideMark/>
          </w:tcPr>
          <w:p w14:paraId="6788F8C4"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10</w:t>
            </w:r>
          </w:p>
        </w:tc>
        <w:tc>
          <w:tcPr>
            <w:tcW w:w="993" w:type="dxa"/>
            <w:shd w:val="clear" w:color="auto" w:fill="auto"/>
            <w:noWrap/>
            <w:vAlign w:val="bottom"/>
            <w:hideMark/>
          </w:tcPr>
          <w:p w14:paraId="0CBC6C2B"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10%</w:t>
            </w:r>
          </w:p>
        </w:tc>
        <w:tc>
          <w:tcPr>
            <w:tcW w:w="1061" w:type="dxa"/>
            <w:shd w:val="clear" w:color="auto" w:fill="auto"/>
            <w:noWrap/>
            <w:vAlign w:val="bottom"/>
            <w:hideMark/>
          </w:tcPr>
          <w:p w14:paraId="338E75DA"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14</w:t>
            </w:r>
          </w:p>
        </w:tc>
        <w:tc>
          <w:tcPr>
            <w:tcW w:w="1009" w:type="dxa"/>
            <w:shd w:val="clear" w:color="auto" w:fill="auto"/>
            <w:noWrap/>
            <w:vAlign w:val="bottom"/>
            <w:hideMark/>
          </w:tcPr>
          <w:p w14:paraId="7B4C09ED"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14%</w:t>
            </w:r>
          </w:p>
        </w:tc>
      </w:tr>
      <w:tr w:rsidR="003C5F7E" w:rsidRPr="0092349D" w14:paraId="6BAC3D8A" w14:textId="77777777" w:rsidTr="00415BA8">
        <w:trPr>
          <w:trHeight w:val="315"/>
        </w:trPr>
        <w:tc>
          <w:tcPr>
            <w:tcW w:w="1560" w:type="dxa"/>
            <w:shd w:val="clear" w:color="auto" w:fill="auto"/>
            <w:vAlign w:val="center"/>
            <w:hideMark/>
          </w:tcPr>
          <w:p w14:paraId="58FE7167"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26" w:history="1">
              <w:proofErr w:type="spellStart"/>
              <w:r w:rsidR="003C5F7E" w:rsidRPr="0092349D">
                <w:rPr>
                  <w:rFonts w:ascii="Calibri" w:eastAsia="Times New Roman" w:hAnsi="Calibri" w:cs="Times New Roman"/>
                  <w:color w:val="0000FF"/>
                  <w:sz w:val="18"/>
                  <w:szCs w:val="18"/>
                  <w:u w:val="single"/>
                </w:rPr>
                <w:t>Foundation</w:t>
              </w:r>
              <w:proofErr w:type="spellEnd"/>
              <w:r w:rsidR="003C5F7E" w:rsidRPr="0092349D">
                <w:rPr>
                  <w:rFonts w:ascii="Calibri" w:eastAsia="Times New Roman" w:hAnsi="Calibri" w:cs="Times New Roman"/>
                  <w:color w:val="0000FF"/>
                  <w:sz w:val="18"/>
                  <w:szCs w:val="18"/>
                  <w:u w:val="single"/>
                </w:rPr>
                <w:t xml:space="preserve"> Coal</w:t>
              </w:r>
            </w:hyperlink>
          </w:p>
        </w:tc>
        <w:tc>
          <w:tcPr>
            <w:tcW w:w="1417" w:type="dxa"/>
            <w:shd w:val="clear" w:color="auto" w:fill="auto"/>
            <w:noWrap/>
            <w:vAlign w:val="bottom"/>
            <w:hideMark/>
          </w:tcPr>
          <w:p w14:paraId="34516C10"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851" w:type="dxa"/>
            <w:shd w:val="clear" w:color="auto" w:fill="auto"/>
            <w:noWrap/>
            <w:vAlign w:val="bottom"/>
            <w:hideMark/>
          </w:tcPr>
          <w:p w14:paraId="32AB6E04"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276" w:type="dxa"/>
            <w:shd w:val="clear" w:color="auto" w:fill="auto"/>
            <w:noWrap/>
            <w:vAlign w:val="bottom"/>
            <w:hideMark/>
          </w:tcPr>
          <w:p w14:paraId="75A85EE0"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850" w:type="dxa"/>
            <w:shd w:val="clear" w:color="auto" w:fill="auto"/>
            <w:noWrap/>
            <w:vAlign w:val="bottom"/>
            <w:hideMark/>
          </w:tcPr>
          <w:p w14:paraId="574CA5E5"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134" w:type="dxa"/>
            <w:shd w:val="clear" w:color="auto" w:fill="auto"/>
            <w:noWrap/>
            <w:vAlign w:val="bottom"/>
            <w:hideMark/>
          </w:tcPr>
          <w:p w14:paraId="32851909"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55" w:type="dxa"/>
            <w:shd w:val="clear" w:color="auto" w:fill="auto"/>
            <w:noWrap/>
            <w:vAlign w:val="bottom"/>
            <w:hideMark/>
          </w:tcPr>
          <w:p w14:paraId="371E35C1"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30" w:type="dxa"/>
            <w:shd w:val="clear" w:color="auto" w:fill="auto"/>
            <w:noWrap/>
            <w:vAlign w:val="bottom"/>
            <w:hideMark/>
          </w:tcPr>
          <w:p w14:paraId="1D00EB88"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992" w:type="dxa"/>
            <w:shd w:val="clear" w:color="auto" w:fill="auto"/>
            <w:noWrap/>
            <w:vAlign w:val="bottom"/>
            <w:hideMark/>
          </w:tcPr>
          <w:p w14:paraId="47587FA5"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64" w:type="dxa"/>
            <w:shd w:val="clear" w:color="auto" w:fill="auto"/>
            <w:noWrap/>
            <w:vAlign w:val="bottom"/>
            <w:hideMark/>
          </w:tcPr>
          <w:p w14:paraId="2925C279"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93" w:type="dxa"/>
            <w:shd w:val="clear" w:color="auto" w:fill="auto"/>
            <w:noWrap/>
            <w:vAlign w:val="bottom"/>
            <w:hideMark/>
          </w:tcPr>
          <w:p w14:paraId="28A25428"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61" w:type="dxa"/>
            <w:shd w:val="clear" w:color="auto" w:fill="auto"/>
            <w:noWrap/>
            <w:vAlign w:val="bottom"/>
            <w:hideMark/>
          </w:tcPr>
          <w:p w14:paraId="76833ED8"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09" w:type="dxa"/>
            <w:shd w:val="clear" w:color="auto" w:fill="auto"/>
            <w:noWrap/>
            <w:vAlign w:val="bottom"/>
            <w:hideMark/>
          </w:tcPr>
          <w:p w14:paraId="240EED24"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r>
      <w:tr w:rsidR="003C5F7E" w:rsidRPr="0092349D" w14:paraId="26D56E9E" w14:textId="77777777" w:rsidTr="00415BA8">
        <w:trPr>
          <w:trHeight w:val="915"/>
        </w:trPr>
        <w:tc>
          <w:tcPr>
            <w:tcW w:w="1560" w:type="dxa"/>
            <w:shd w:val="clear" w:color="auto" w:fill="auto"/>
            <w:vAlign w:val="center"/>
            <w:hideMark/>
          </w:tcPr>
          <w:p w14:paraId="49C1D191" w14:textId="77777777" w:rsidR="003C5F7E" w:rsidRPr="0092349D" w:rsidRDefault="008029AF" w:rsidP="00415BA8">
            <w:pPr>
              <w:spacing w:after="0" w:line="240" w:lineRule="auto"/>
              <w:rPr>
                <w:rFonts w:ascii="Calibri" w:eastAsia="Times New Roman" w:hAnsi="Calibri" w:cs="Times New Roman"/>
                <w:color w:val="0000FF"/>
                <w:sz w:val="18"/>
                <w:szCs w:val="18"/>
                <w:u w:val="single"/>
                <w:lang w:val="en-US"/>
              </w:rPr>
            </w:pPr>
            <w:hyperlink r:id="rId27" w:history="1">
              <w:r w:rsidR="003C5F7E" w:rsidRPr="0092349D">
                <w:rPr>
                  <w:rFonts w:ascii="Calibri" w:eastAsia="Times New Roman" w:hAnsi="Calibri" w:cs="Times New Roman"/>
                  <w:color w:val="0000FF"/>
                  <w:sz w:val="18"/>
                  <w:szCs w:val="18"/>
                  <w:u w:val="single"/>
                  <w:lang w:val="en-US"/>
                </w:rPr>
                <w:t>Independent Petroleum Assn of America</w:t>
              </w:r>
            </w:hyperlink>
          </w:p>
        </w:tc>
        <w:tc>
          <w:tcPr>
            <w:tcW w:w="1417" w:type="dxa"/>
            <w:shd w:val="clear" w:color="auto" w:fill="auto"/>
            <w:noWrap/>
            <w:vAlign w:val="bottom"/>
            <w:hideMark/>
          </w:tcPr>
          <w:p w14:paraId="2B917A06"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lang w:val="en-US"/>
              </w:rPr>
              <w:t xml:space="preserve"> </w:t>
            </w:r>
            <w:r w:rsidRPr="0092349D">
              <w:rPr>
                <w:rFonts w:ascii="Calibri" w:eastAsia="Times New Roman" w:hAnsi="Calibri" w:cs="Times New Roman"/>
                <w:color w:val="0070C0"/>
                <w:sz w:val="18"/>
                <w:szCs w:val="18"/>
              </w:rPr>
              <w:t xml:space="preserve">$        20,000.00 </w:t>
            </w:r>
          </w:p>
        </w:tc>
        <w:tc>
          <w:tcPr>
            <w:tcW w:w="851" w:type="dxa"/>
            <w:shd w:val="clear" w:color="auto" w:fill="auto"/>
            <w:noWrap/>
            <w:vAlign w:val="bottom"/>
            <w:hideMark/>
          </w:tcPr>
          <w:p w14:paraId="0703039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w:t>
            </w:r>
          </w:p>
        </w:tc>
        <w:tc>
          <w:tcPr>
            <w:tcW w:w="1276" w:type="dxa"/>
            <w:shd w:val="clear" w:color="auto" w:fill="auto"/>
            <w:noWrap/>
            <w:vAlign w:val="bottom"/>
            <w:hideMark/>
          </w:tcPr>
          <w:p w14:paraId="19AC5473"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391,940.00 </w:t>
            </w:r>
          </w:p>
        </w:tc>
        <w:tc>
          <w:tcPr>
            <w:tcW w:w="850" w:type="dxa"/>
            <w:shd w:val="clear" w:color="auto" w:fill="auto"/>
            <w:noWrap/>
            <w:vAlign w:val="bottom"/>
            <w:hideMark/>
          </w:tcPr>
          <w:p w14:paraId="03308EE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95%</w:t>
            </w:r>
          </w:p>
        </w:tc>
        <w:tc>
          <w:tcPr>
            <w:tcW w:w="1134" w:type="dxa"/>
            <w:shd w:val="clear" w:color="auto" w:fill="auto"/>
            <w:noWrap/>
            <w:vAlign w:val="bottom"/>
            <w:hideMark/>
          </w:tcPr>
          <w:p w14:paraId="78E7069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7</w:t>
            </w:r>
          </w:p>
        </w:tc>
        <w:tc>
          <w:tcPr>
            <w:tcW w:w="955" w:type="dxa"/>
            <w:shd w:val="clear" w:color="auto" w:fill="auto"/>
            <w:noWrap/>
            <w:vAlign w:val="bottom"/>
            <w:hideMark/>
          </w:tcPr>
          <w:p w14:paraId="51F3A99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w:t>
            </w:r>
          </w:p>
        </w:tc>
        <w:tc>
          <w:tcPr>
            <w:tcW w:w="1030" w:type="dxa"/>
            <w:shd w:val="clear" w:color="auto" w:fill="auto"/>
            <w:noWrap/>
            <w:vAlign w:val="bottom"/>
            <w:hideMark/>
          </w:tcPr>
          <w:p w14:paraId="0BBCF5C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53</w:t>
            </w:r>
          </w:p>
        </w:tc>
        <w:tc>
          <w:tcPr>
            <w:tcW w:w="992" w:type="dxa"/>
            <w:shd w:val="clear" w:color="auto" w:fill="auto"/>
            <w:noWrap/>
            <w:vAlign w:val="bottom"/>
            <w:hideMark/>
          </w:tcPr>
          <w:p w14:paraId="6B2D551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12%</w:t>
            </w:r>
          </w:p>
        </w:tc>
        <w:tc>
          <w:tcPr>
            <w:tcW w:w="1064" w:type="dxa"/>
            <w:shd w:val="clear" w:color="auto" w:fill="auto"/>
            <w:noWrap/>
            <w:vAlign w:val="bottom"/>
            <w:hideMark/>
          </w:tcPr>
          <w:p w14:paraId="45263AFB"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993" w:type="dxa"/>
            <w:shd w:val="clear" w:color="auto" w:fill="auto"/>
            <w:noWrap/>
            <w:vAlign w:val="bottom"/>
            <w:hideMark/>
          </w:tcPr>
          <w:p w14:paraId="66B1911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1061" w:type="dxa"/>
            <w:shd w:val="clear" w:color="auto" w:fill="auto"/>
            <w:noWrap/>
            <w:vAlign w:val="bottom"/>
            <w:hideMark/>
          </w:tcPr>
          <w:p w14:paraId="4518EEE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11</w:t>
            </w:r>
          </w:p>
        </w:tc>
        <w:tc>
          <w:tcPr>
            <w:tcW w:w="1009" w:type="dxa"/>
            <w:shd w:val="clear" w:color="auto" w:fill="auto"/>
            <w:noWrap/>
            <w:vAlign w:val="bottom"/>
            <w:hideMark/>
          </w:tcPr>
          <w:p w14:paraId="68913CC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11%</w:t>
            </w:r>
          </w:p>
        </w:tc>
      </w:tr>
      <w:tr w:rsidR="003C5F7E" w:rsidRPr="0092349D" w14:paraId="70FD7EB6" w14:textId="77777777" w:rsidTr="00415BA8">
        <w:trPr>
          <w:trHeight w:val="315"/>
        </w:trPr>
        <w:tc>
          <w:tcPr>
            <w:tcW w:w="1560" w:type="dxa"/>
            <w:shd w:val="clear" w:color="auto" w:fill="auto"/>
            <w:vAlign w:val="center"/>
            <w:hideMark/>
          </w:tcPr>
          <w:p w14:paraId="65017272"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28" w:history="1">
              <w:r w:rsidR="003C5F7E" w:rsidRPr="0092349D">
                <w:rPr>
                  <w:rFonts w:ascii="Calibri" w:eastAsia="Times New Roman" w:hAnsi="Calibri" w:cs="Times New Roman"/>
                  <w:color w:val="0000FF"/>
                  <w:sz w:val="18"/>
                  <w:szCs w:val="18"/>
                  <w:u w:val="single"/>
                </w:rPr>
                <w:t>Koch Industries</w:t>
              </w:r>
            </w:hyperlink>
          </w:p>
        </w:tc>
        <w:tc>
          <w:tcPr>
            <w:tcW w:w="1417" w:type="dxa"/>
            <w:shd w:val="clear" w:color="auto" w:fill="auto"/>
            <w:noWrap/>
            <w:vAlign w:val="bottom"/>
            <w:hideMark/>
          </w:tcPr>
          <w:p w14:paraId="03907175"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236,000.00 </w:t>
            </w:r>
          </w:p>
        </w:tc>
        <w:tc>
          <w:tcPr>
            <w:tcW w:w="851" w:type="dxa"/>
            <w:shd w:val="clear" w:color="auto" w:fill="auto"/>
            <w:noWrap/>
            <w:vAlign w:val="bottom"/>
            <w:hideMark/>
          </w:tcPr>
          <w:p w14:paraId="575D5A8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19%</w:t>
            </w:r>
          </w:p>
        </w:tc>
        <w:tc>
          <w:tcPr>
            <w:tcW w:w="1276" w:type="dxa"/>
            <w:shd w:val="clear" w:color="auto" w:fill="auto"/>
            <w:noWrap/>
            <w:vAlign w:val="bottom"/>
            <w:hideMark/>
          </w:tcPr>
          <w:p w14:paraId="33663898"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1,011,800.00 </w:t>
            </w:r>
          </w:p>
        </w:tc>
        <w:tc>
          <w:tcPr>
            <w:tcW w:w="850" w:type="dxa"/>
            <w:shd w:val="clear" w:color="auto" w:fill="auto"/>
            <w:noWrap/>
            <w:vAlign w:val="bottom"/>
            <w:hideMark/>
          </w:tcPr>
          <w:p w14:paraId="7395F35C"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81%</w:t>
            </w:r>
          </w:p>
        </w:tc>
        <w:tc>
          <w:tcPr>
            <w:tcW w:w="1134" w:type="dxa"/>
            <w:shd w:val="clear" w:color="auto" w:fill="auto"/>
            <w:noWrap/>
            <w:vAlign w:val="bottom"/>
            <w:hideMark/>
          </w:tcPr>
          <w:p w14:paraId="5AA60FF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33</w:t>
            </w:r>
          </w:p>
        </w:tc>
        <w:tc>
          <w:tcPr>
            <w:tcW w:w="955" w:type="dxa"/>
            <w:shd w:val="clear" w:color="auto" w:fill="auto"/>
            <w:noWrap/>
            <w:vAlign w:val="bottom"/>
            <w:hideMark/>
          </w:tcPr>
          <w:p w14:paraId="2FBEBD1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8%</w:t>
            </w:r>
          </w:p>
        </w:tc>
        <w:tc>
          <w:tcPr>
            <w:tcW w:w="1030" w:type="dxa"/>
            <w:shd w:val="clear" w:color="auto" w:fill="auto"/>
            <w:noWrap/>
            <w:vAlign w:val="bottom"/>
            <w:hideMark/>
          </w:tcPr>
          <w:p w14:paraId="4369C13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113</w:t>
            </w:r>
          </w:p>
        </w:tc>
        <w:tc>
          <w:tcPr>
            <w:tcW w:w="992" w:type="dxa"/>
            <w:shd w:val="clear" w:color="auto" w:fill="auto"/>
            <w:noWrap/>
            <w:vAlign w:val="bottom"/>
            <w:hideMark/>
          </w:tcPr>
          <w:p w14:paraId="4B2690AE"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26%</w:t>
            </w:r>
          </w:p>
        </w:tc>
        <w:tc>
          <w:tcPr>
            <w:tcW w:w="1064" w:type="dxa"/>
            <w:shd w:val="clear" w:color="auto" w:fill="auto"/>
            <w:noWrap/>
            <w:vAlign w:val="bottom"/>
            <w:hideMark/>
          </w:tcPr>
          <w:p w14:paraId="21894F69"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11</w:t>
            </w:r>
          </w:p>
        </w:tc>
        <w:tc>
          <w:tcPr>
            <w:tcW w:w="993" w:type="dxa"/>
            <w:shd w:val="clear" w:color="auto" w:fill="auto"/>
            <w:noWrap/>
            <w:vAlign w:val="bottom"/>
            <w:hideMark/>
          </w:tcPr>
          <w:p w14:paraId="2BB82DB6"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11%</w:t>
            </w:r>
          </w:p>
        </w:tc>
        <w:tc>
          <w:tcPr>
            <w:tcW w:w="1061" w:type="dxa"/>
            <w:shd w:val="clear" w:color="auto" w:fill="auto"/>
            <w:noWrap/>
            <w:vAlign w:val="bottom"/>
            <w:hideMark/>
          </w:tcPr>
          <w:p w14:paraId="53BE6C4B"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22</w:t>
            </w:r>
          </w:p>
        </w:tc>
        <w:tc>
          <w:tcPr>
            <w:tcW w:w="1009" w:type="dxa"/>
            <w:shd w:val="clear" w:color="auto" w:fill="auto"/>
            <w:noWrap/>
            <w:vAlign w:val="bottom"/>
            <w:hideMark/>
          </w:tcPr>
          <w:p w14:paraId="4B4D568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22%</w:t>
            </w:r>
          </w:p>
        </w:tc>
      </w:tr>
      <w:tr w:rsidR="003C5F7E" w:rsidRPr="0092349D" w14:paraId="1128546D" w14:textId="77777777" w:rsidTr="00415BA8">
        <w:trPr>
          <w:trHeight w:val="315"/>
        </w:trPr>
        <w:tc>
          <w:tcPr>
            <w:tcW w:w="1560" w:type="dxa"/>
            <w:shd w:val="clear" w:color="auto" w:fill="auto"/>
            <w:vAlign w:val="center"/>
            <w:hideMark/>
          </w:tcPr>
          <w:p w14:paraId="47F30E1E"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29" w:history="1">
              <w:proofErr w:type="spellStart"/>
              <w:r w:rsidR="003C5F7E" w:rsidRPr="0092349D">
                <w:rPr>
                  <w:rFonts w:ascii="Calibri" w:eastAsia="Times New Roman" w:hAnsi="Calibri" w:cs="Times New Roman"/>
                  <w:color w:val="0000FF"/>
                  <w:sz w:val="18"/>
                  <w:szCs w:val="18"/>
                  <w:u w:val="single"/>
                </w:rPr>
                <w:t>EnergySolutions</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Inc</w:t>
              </w:r>
              <w:proofErr w:type="spellEnd"/>
            </w:hyperlink>
          </w:p>
        </w:tc>
        <w:tc>
          <w:tcPr>
            <w:tcW w:w="1417" w:type="dxa"/>
            <w:shd w:val="clear" w:color="auto" w:fill="auto"/>
            <w:noWrap/>
            <w:vAlign w:val="bottom"/>
            <w:hideMark/>
          </w:tcPr>
          <w:p w14:paraId="5271746E"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27,046.00 </w:t>
            </w:r>
          </w:p>
        </w:tc>
        <w:tc>
          <w:tcPr>
            <w:tcW w:w="851" w:type="dxa"/>
            <w:shd w:val="clear" w:color="auto" w:fill="auto"/>
            <w:noWrap/>
            <w:vAlign w:val="bottom"/>
            <w:hideMark/>
          </w:tcPr>
          <w:p w14:paraId="658C908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12%</w:t>
            </w:r>
          </w:p>
        </w:tc>
        <w:tc>
          <w:tcPr>
            <w:tcW w:w="1276" w:type="dxa"/>
            <w:shd w:val="clear" w:color="auto" w:fill="auto"/>
            <w:noWrap/>
            <w:vAlign w:val="bottom"/>
            <w:hideMark/>
          </w:tcPr>
          <w:p w14:paraId="5C9077F5"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205,950.00 </w:t>
            </w:r>
          </w:p>
        </w:tc>
        <w:tc>
          <w:tcPr>
            <w:tcW w:w="850" w:type="dxa"/>
            <w:shd w:val="clear" w:color="auto" w:fill="auto"/>
            <w:noWrap/>
            <w:vAlign w:val="bottom"/>
            <w:hideMark/>
          </w:tcPr>
          <w:p w14:paraId="2D56DCB4"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88%</w:t>
            </w:r>
          </w:p>
        </w:tc>
        <w:tc>
          <w:tcPr>
            <w:tcW w:w="1134" w:type="dxa"/>
            <w:shd w:val="clear" w:color="auto" w:fill="auto"/>
            <w:noWrap/>
            <w:vAlign w:val="bottom"/>
            <w:hideMark/>
          </w:tcPr>
          <w:p w14:paraId="785DB20A"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w:t>
            </w:r>
          </w:p>
        </w:tc>
        <w:tc>
          <w:tcPr>
            <w:tcW w:w="955" w:type="dxa"/>
            <w:shd w:val="clear" w:color="auto" w:fill="auto"/>
            <w:noWrap/>
            <w:vAlign w:val="bottom"/>
            <w:hideMark/>
          </w:tcPr>
          <w:p w14:paraId="3D8422DE"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030" w:type="dxa"/>
            <w:shd w:val="clear" w:color="auto" w:fill="auto"/>
            <w:noWrap/>
            <w:vAlign w:val="bottom"/>
            <w:hideMark/>
          </w:tcPr>
          <w:p w14:paraId="113A749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992" w:type="dxa"/>
            <w:shd w:val="clear" w:color="auto" w:fill="auto"/>
            <w:noWrap/>
            <w:vAlign w:val="bottom"/>
            <w:hideMark/>
          </w:tcPr>
          <w:p w14:paraId="0A97ABC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c>
          <w:tcPr>
            <w:tcW w:w="1064" w:type="dxa"/>
            <w:shd w:val="clear" w:color="auto" w:fill="auto"/>
            <w:noWrap/>
            <w:vAlign w:val="bottom"/>
            <w:hideMark/>
          </w:tcPr>
          <w:p w14:paraId="77A6EDB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w:t>
            </w:r>
          </w:p>
        </w:tc>
        <w:tc>
          <w:tcPr>
            <w:tcW w:w="993" w:type="dxa"/>
            <w:shd w:val="clear" w:color="auto" w:fill="auto"/>
            <w:noWrap/>
            <w:vAlign w:val="bottom"/>
            <w:hideMark/>
          </w:tcPr>
          <w:p w14:paraId="59F9F37F"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w:t>
            </w:r>
          </w:p>
        </w:tc>
        <w:tc>
          <w:tcPr>
            <w:tcW w:w="1061" w:type="dxa"/>
            <w:shd w:val="clear" w:color="auto" w:fill="auto"/>
            <w:noWrap/>
            <w:vAlign w:val="bottom"/>
            <w:hideMark/>
          </w:tcPr>
          <w:p w14:paraId="64FF388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w:t>
            </w:r>
          </w:p>
        </w:tc>
        <w:tc>
          <w:tcPr>
            <w:tcW w:w="1009" w:type="dxa"/>
            <w:shd w:val="clear" w:color="auto" w:fill="auto"/>
            <w:noWrap/>
            <w:vAlign w:val="bottom"/>
            <w:hideMark/>
          </w:tcPr>
          <w:p w14:paraId="2E29B59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w:t>
            </w:r>
          </w:p>
        </w:tc>
      </w:tr>
      <w:tr w:rsidR="003C5F7E" w:rsidRPr="0092349D" w14:paraId="66F88BA7" w14:textId="77777777" w:rsidTr="00415BA8">
        <w:trPr>
          <w:trHeight w:val="315"/>
        </w:trPr>
        <w:tc>
          <w:tcPr>
            <w:tcW w:w="1560" w:type="dxa"/>
            <w:shd w:val="clear" w:color="auto" w:fill="auto"/>
            <w:vAlign w:val="center"/>
            <w:hideMark/>
          </w:tcPr>
          <w:p w14:paraId="533B82A8" w14:textId="77777777" w:rsidR="003C5F7E" w:rsidRPr="0092349D" w:rsidRDefault="003C5F7E" w:rsidP="00415BA8">
            <w:pPr>
              <w:spacing w:after="0" w:line="240" w:lineRule="auto"/>
              <w:rPr>
                <w:rFonts w:ascii="Open Sans" w:eastAsia="Times New Roman" w:hAnsi="Open Sans" w:cs="Open Sans"/>
                <w:color w:val="555555"/>
                <w:sz w:val="18"/>
                <w:szCs w:val="18"/>
              </w:rPr>
            </w:pPr>
            <w:proofErr w:type="spellStart"/>
            <w:r w:rsidRPr="0092349D">
              <w:rPr>
                <w:rFonts w:ascii="Open Sans" w:eastAsia="Times New Roman" w:hAnsi="Open Sans" w:cs="Open Sans"/>
                <w:color w:val="555555"/>
                <w:sz w:val="18"/>
                <w:szCs w:val="18"/>
              </w:rPr>
              <w:t>Ceramatec</w:t>
            </w:r>
            <w:proofErr w:type="spellEnd"/>
            <w:r w:rsidRPr="0092349D">
              <w:rPr>
                <w:rFonts w:ascii="Open Sans" w:eastAsia="Times New Roman" w:hAnsi="Open Sans" w:cs="Open Sans"/>
                <w:color w:val="555555"/>
                <w:sz w:val="18"/>
                <w:szCs w:val="18"/>
              </w:rPr>
              <w:t xml:space="preserve"> </w:t>
            </w:r>
            <w:proofErr w:type="spellStart"/>
            <w:r w:rsidRPr="0092349D">
              <w:rPr>
                <w:rFonts w:ascii="Open Sans" w:eastAsia="Times New Roman" w:hAnsi="Open Sans" w:cs="Open Sans"/>
                <w:color w:val="555555"/>
                <w:sz w:val="18"/>
                <w:szCs w:val="18"/>
              </w:rPr>
              <w:t>Inc</w:t>
            </w:r>
            <w:proofErr w:type="spellEnd"/>
          </w:p>
        </w:tc>
        <w:tc>
          <w:tcPr>
            <w:tcW w:w="1417" w:type="dxa"/>
            <w:shd w:val="clear" w:color="auto" w:fill="auto"/>
            <w:noWrap/>
            <w:vAlign w:val="bottom"/>
            <w:hideMark/>
          </w:tcPr>
          <w:p w14:paraId="2D10558D"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851" w:type="dxa"/>
            <w:shd w:val="clear" w:color="auto" w:fill="auto"/>
            <w:noWrap/>
            <w:vAlign w:val="bottom"/>
            <w:hideMark/>
          </w:tcPr>
          <w:p w14:paraId="66AED8FD"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276" w:type="dxa"/>
            <w:shd w:val="clear" w:color="auto" w:fill="auto"/>
            <w:noWrap/>
            <w:vAlign w:val="bottom"/>
            <w:hideMark/>
          </w:tcPr>
          <w:p w14:paraId="5CC748C9"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850" w:type="dxa"/>
            <w:shd w:val="clear" w:color="auto" w:fill="auto"/>
            <w:noWrap/>
            <w:vAlign w:val="bottom"/>
            <w:hideMark/>
          </w:tcPr>
          <w:p w14:paraId="64402FEB"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134" w:type="dxa"/>
            <w:shd w:val="clear" w:color="auto" w:fill="auto"/>
            <w:noWrap/>
            <w:vAlign w:val="bottom"/>
            <w:hideMark/>
          </w:tcPr>
          <w:p w14:paraId="0D7B2F9A"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55" w:type="dxa"/>
            <w:shd w:val="clear" w:color="auto" w:fill="auto"/>
            <w:noWrap/>
            <w:vAlign w:val="bottom"/>
            <w:hideMark/>
          </w:tcPr>
          <w:p w14:paraId="49DDE9A2"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30" w:type="dxa"/>
            <w:shd w:val="clear" w:color="auto" w:fill="auto"/>
            <w:noWrap/>
            <w:vAlign w:val="bottom"/>
            <w:hideMark/>
          </w:tcPr>
          <w:p w14:paraId="6158B8A7"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992" w:type="dxa"/>
            <w:shd w:val="clear" w:color="auto" w:fill="auto"/>
            <w:noWrap/>
            <w:vAlign w:val="bottom"/>
            <w:hideMark/>
          </w:tcPr>
          <w:p w14:paraId="23B0BF7A"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64" w:type="dxa"/>
            <w:shd w:val="clear" w:color="auto" w:fill="auto"/>
            <w:noWrap/>
            <w:vAlign w:val="bottom"/>
            <w:hideMark/>
          </w:tcPr>
          <w:p w14:paraId="4EAE78DF"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93" w:type="dxa"/>
            <w:shd w:val="clear" w:color="auto" w:fill="auto"/>
            <w:noWrap/>
            <w:vAlign w:val="bottom"/>
            <w:hideMark/>
          </w:tcPr>
          <w:p w14:paraId="165FDCC7"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61" w:type="dxa"/>
            <w:shd w:val="clear" w:color="auto" w:fill="auto"/>
            <w:noWrap/>
            <w:vAlign w:val="bottom"/>
            <w:hideMark/>
          </w:tcPr>
          <w:p w14:paraId="76A588FE"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09" w:type="dxa"/>
            <w:shd w:val="clear" w:color="auto" w:fill="auto"/>
            <w:noWrap/>
            <w:vAlign w:val="bottom"/>
            <w:hideMark/>
          </w:tcPr>
          <w:p w14:paraId="47857C26"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r>
      <w:tr w:rsidR="003C5F7E" w:rsidRPr="0092349D" w14:paraId="436F98F8" w14:textId="77777777" w:rsidTr="00415BA8">
        <w:trPr>
          <w:trHeight w:val="315"/>
        </w:trPr>
        <w:tc>
          <w:tcPr>
            <w:tcW w:w="1560" w:type="dxa"/>
            <w:shd w:val="clear" w:color="auto" w:fill="auto"/>
            <w:vAlign w:val="center"/>
            <w:hideMark/>
          </w:tcPr>
          <w:p w14:paraId="68127B4E"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0" w:history="1">
              <w:r w:rsidR="003C5F7E" w:rsidRPr="0092349D">
                <w:rPr>
                  <w:rFonts w:ascii="Calibri" w:eastAsia="Times New Roman" w:hAnsi="Calibri" w:cs="Times New Roman"/>
                  <w:color w:val="0000FF"/>
                  <w:sz w:val="18"/>
                  <w:szCs w:val="18"/>
                  <w:u w:val="single"/>
                </w:rPr>
                <w:t>MWH Global</w:t>
              </w:r>
            </w:hyperlink>
          </w:p>
        </w:tc>
        <w:tc>
          <w:tcPr>
            <w:tcW w:w="1417" w:type="dxa"/>
            <w:shd w:val="clear" w:color="auto" w:fill="auto"/>
            <w:noWrap/>
            <w:vAlign w:val="bottom"/>
            <w:hideMark/>
          </w:tcPr>
          <w:p w14:paraId="28113FEC"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127,600.00 </w:t>
            </w:r>
          </w:p>
        </w:tc>
        <w:tc>
          <w:tcPr>
            <w:tcW w:w="851" w:type="dxa"/>
            <w:shd w:val="clear" w:color="auto" w:fill="auto"/>
            <w:noWrap/>
            <w:vAlign w:val="bottom"/>
            <w:hideMark/>
          </w:tcPr>
          <w:p w14:paraId="38CDF962"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44%</w:t>
            </w:r>
          </w:p>
        </w:tc>
        <w:tc>
          <w:tcPr>
            <w:tcW w:w="1276" w:type="dxa"/>
            <w:shd w:val="clear" w:color="auto" w:fill="auto"/>
            <w:noWrap/>
            <w:vAlign w:val="bottom"/>
            <w:hideMark/>
          </w:tcPr>
          <w:p w14:paraId="50E4E45D"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165,000.00 </w:t>
            </w:r>
          </w:p>
        </w:tc>
        <w:tc>
          <w:tcPr>
            <w:tcW w:w="850" w:type="dxa"/>
            <w:shd w:val="clear" w:color="auto" w:fill="auto"/>
            <w:noWrap/>
            <w:vAlign w:val="bottom"/>
            <w:hideMark/>
          </w:tcPr>
          <w:p w14:paraId="7819B3BA"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56%</w:t>
            </w:r>
          </w:p>
        </w:tc>
        <w:tc>
          <w:tcPr>
            <w:tcW w:w="1134" w:type="dxa"/>
            <w:shd w:val="clear" w:color="auto" w:fill="auto"/>
            <w:noWrap/>
            <w:vAlign w:val="bottom"/>
            <w:hideMark/>
          </w:tcPr>
          <w:p w14:paraId="0D10CEA6"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21</w:t>
            </w:r>
          </w:p>
        </w:tc>
        <w:tc>
          <w:tcPr>
            <w:tcW w:w="955" w:type="dxa"/>
            <w:shd w:val="clear" w:color="auto" w:fill="auto"/>
            <w:noWrap/>
            <w:vAlign w:val="bottom"/>
            <w:hideMark/>
          </w:tcPr>
          <w:p w14:paraId="58D4755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w:t>
            </w:r>
          </w:p>
        </w:tc>
        <w:tc>
          <w:tcPr>
            <w:tcW w:w="1030" w:type="dxa"/>
            <w:shd w:val="clear" w:color="auto" w:fill="auto"/>
            <w:noWrap/>
            <w:vAlign w:val="bottom"/>
            <w:hideMark/>
          </w:tcPr>
          <w:p w14:paraId="69A59B6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55</w:t>
            </w:r>
          </w:p>
        </w:tc>
        <w:tc>
          <w:tcPr>
            <w:tcW w:w="992" w:type="dxa"/>
            <w:shd w:val="clear" w:color="auto" w:fill="auto"/>
            <w:noWrap/>
            <w:vAlign w:val="bottom"/>
            <w:hideMark/>
          </w:tcPr>
          <w:p w14:paraId="1147F61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13%</w:t>
            </w:r>
          </w:p>
        </w:tc>
        <w:tc>
          <w:tcPr>
            <w:tcW w:w="1064" w:type="dxa"/>
            <w:shd w:val="clear" w:color="auto" w:fill="auto"/>
            <w:noWrap/>
            <w:vAlign w:val="bottom"/>
            <w:hideMark/>
          </w:tcPr>
          <w:p w14:paraId="10B7CBBC"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13</w:t>
            </w:r>
          </w:p>
        </w:tc>
        <w:tc>
          <w:tcPr>
            <w:tcW w:w="993" w:type="dxa"/>
            <w:shd w:val="clear" w:color="auto" w:fill="auto"/>
            <w:noWrap/>
            <w:vAlign w:val="bottom"/>
            <w:hideMark/>
          </w:tcPr>
          <w:p w14:paraId="760FB1C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13%</w:t>
            </w:r>
          </w:p>
        </w:tc>
        <w:tc>
          <w:tcPr>
            <w:tcW w:w="1061" w:type="dxa"/>
            <w:shd w:val="clear" w:color="auto" w:fill="auto"/>
            <w:noWrap/>
            <w:vAlign w:val="bottom"/>
            <w:hideMark/>
          </w:tcPr>
          <w:p w14:paraId="532502C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1009" w:type="dxa"/>
            <w:shd w:val="clear" w:color="auto" w:fill="auto"/>
            <w:noWrap/>
            <w:vAlign w:val="bottom"/>
            <w:hideMark/>
          </w:tcPr>
          <w:p w14:paraId="4DE7749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r>
      <w:tr w:rsidR="003C5F7E" w:rsidRPr="0092349D" w14:paraId="0D23403A" w14:textId="77777777" w:rsidTr="00415BA8">
        <w:trPr>
          <w:trHeight w:val="315"/>
        </w:trPr>
        <w:tc>
          <w:tcPr>
            <w:tcW w:w="1560" w:type="dxa"/>
            <w:shd w:val="clear" w:color="auto" w:fill="auto"/>
            <w:vAlign w:val="center"/>
            <w:hideMark/>
          </w:tcPr>
          <w:p w14:paraId="2B4C4813"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1" w:history="1">
              <w:proofErr w:type="spellStart"/>
              <w:r w:rsidR="003C5F7E" w:rsidRPr="0092349D">
                <w:rPr>
                  <w:rFonts w:ascii="Calibri" w:eastAsia="Times New Roman" w:hAnsi="Calibri" w:cs="Times New Roman"/>
                  <w:color w:val="0000FF"/>
                  <w:sz w:val="18"/>
                  <w:szCs w:val="18"/>
                  <w:u w:val="single"/>
                </w:rPr>
                <w:t>TransMontaigne</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Inc</w:t>
              </w:r>
              <w:proofErr w:type="spellEnd"/>
            </w:hyperlink>
          </w:p>
        </w:tc>
        <w:tc>
          <w:tcPr>
            <w:tcW w:w="1417" w:type="dxa"/>
            <w:shd w:val="clear" w:color="auto" w:fill="auto"/>
            <w:noWrap/>
            <w:vAlign w:val="bottom"/>
            <w:hideMark/>
          </w:tcPr>
          <w:p w14:paraId="2875BC8C"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   </w:t>
            </w:r>
          </w:p>
        </w:tc>
        <w:tc>
          <w:tcPr>
            <w:tcW w:w="851" w:type="dxa"/>
            <w:shd w:val="clear" w:color="auto" w:fill="auto"/>
            <w:noWrap/>
            <w:vAlign w:val="bottom"/>
            <w:hideMark/>
          </w:tcPr>
          <w:p w14:paraId="47CF10D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276" w:type="dxa"/>
            <w:shd w:val="clear" w:color="auto" w:fill="auto"/>
            <w:noWrap/>
            <w:vAlign w:val="bottom"/>
            <w:hideMark/>
          </w:tcPr>
          <w:p w14:paraId="6DC4E01D"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52,950.00 </w:t>
            </w:r>
          </w:p>
        </w:tc>
        <w:tc>
          <w:tcPr>
            <w:tcW w:w="850" w:type="dxa"/>
            <w:shd w:val="clear" w:color="auto" w:fill="auto"/>
            <w:noWrap/>
            <w:vAlign w:val="bottom"/>
            <w:hideMark/>
          </w:tcPr>
          <w:p w14:paraId="34D6AF9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100%</w:t>
            </w:r>
          </w:p>
        </w:tc>
        <w:tc>
          <w:tcPr>
            <w:tcW w:w="1134" w:type="dxa"/>
            <w:shd w:val="clear" w:color="auto" w:fill="auto"/>
            <w:noWrap/>
            <w:vAlign w:val="bottom"/>
            <w:hideMark/>
          </w:tcPr>
          <w:p w14:paraId="2B1B4C3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955" w:type="dxa"/>
            <w:shd w:val="clear" w:color="auto" w:fill="auto"/>
            <w:noWrap/>
            <w:vAlign w:val="bottom"/>
            <w:hideMark/>
          </w:tcPr>
          <w:p w14:paraId="51468B7A"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30" w:type="dxa"/>
            <w:shd w:val="clear" w:color="auto" w:fill="auto"/>
            <w:noWrap/>
            <w:vAlign w:val="bottom"/>
            <w:hideMark/>
          </w:tcPr>
          <w:p w14:paraId="1A61B073"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c>
          <w:tcPr>
            <w:tcW w:w="992" w:type="dxa"/>
            <w:shd w:val="clear" w:color="auto" w:fill="auto"/>
            <w:noWrap/>
            <w:vAlign w:val="bottom"/>
            <w:hideMark/>
          </w:tcPr>
          <w:p w14:paraId="30BAD92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c>
          <w:tcPr>
            <w:tcW w:w="1064" w:type="dxa"/>
            <w:shd w:val="clear" w:color="auto" w:fill="auto"/>
            <w:noWrap/>
            <w:vAlign w:val="bottom"/>
            <w:hideMark/>
          </w:tcPr>
          <w:p w14:paraId="0B2ABCC4"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6</w:t>
            </w:r>
          </w:p>
        </w:tc>
        <w:tc>
          <w:tcPr>
            <w:tcW w:w="993" w:type="dxa"/>
            <w:shd w:val="clear" w:color="auto" w:fill="auto"/>
            <w:noWrap/>
            <w:vAlign w:val="bottom"/>
            <w:hideMark/>
          </w:tcPr>
          <w:p w14:paraId="019852C5"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6%</w:t>
            </w:r>
          </w:p>
        </w:tc>
        <w:tc>
          <w:tcPr>
            <w:tcW w:w="1061" w:type="dxa"/>
            <w:shd w:val="clear" w:color="auto" w:fill="auto"/>
            <w:noWrap/>
            <w:vAlign w:val="bottom"/>
            <w:hideMark/>
          </w:tcPr>
          <w:p w14:paraId="4BABFF7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7</w:t>
            </w:r>
          </w:p>
        </w:tc>
        <w:tc>
          <w:tcPr>
            <w:tcW w:w="1009" w:type="dxa"/>
            <w:shd w:val="clear" w:color="auto" w:fill="auto"/>
            <w:noWrap/>
            <w:vAlign w:val="bottom"/>
            <w:hideMark/>
          </w:tcPr>
          <w:p w14:paraId="207394E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7%</w:t>
            </w:r>
          </w:p>
        </w:tc>
      </w:tr>
      <w:tr w:rsidR="003C5F7E" w:rsidRPr="0092349D" w14:paraId="3AA9D758" w14:textId="77777777" w:rsidTr="00415BA8">
        <w:trPr>
          <w:trHeight w:val="315"/>
        </w:trPr>
        <w:tc>
          <w:tcPr>
            <w:tcW w:w="1560" w:type="dxa"/>
            <w:shd w:val="clear" w:color="auto" w:fill="auto"/>
            <w:vAlign w:val="center"/>
            <w:hideMark/>
          </w:tcPr>
          <w:p w14:paraId="1C63A54C"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2" w:history="1">
              <w:proofErr w:type="spellStart"/>
              <w:r w:rsidR="003C5F7E" w:rsidRPr="0092349D">
                <w:rPr>
                  <w:rFonts w:ascii="Calibri" w:eastAsia="Times New Roman" w:hAnsi="Calibri" w:cs="Times New Roman"/>
                  <w:color w:val="0000FF"/>
                  <w:sz w:val="18"/>
                  <w:szCs w:val="18"/>
                  <w:u w:val="single"/>
                </w:rPr>
                <w:t>Xcel</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Energy</w:t>
              </w:r>
              <w:proofErr w:type="spellEnd"/>
            </w:hyperlink>
          </w:p>
        </w:tc>
        <w:tc>
          <w:tcPr>
            <w:tcW w:w="1417" w:type="dxa"/>
            <w:shd w:val="clear" w:color="auto" w:fill="auto"/>
            <w:noWrap/>
            <w:vAlign w:val="bottom"/>
            <w:hideMark/>
          </w:tcPr>
          <w:p w14:paraId="35C91F3D"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69,400.00 </w:t>
            </w:r>
          </w:p>
        </w:tc>
        <w:tc>
          <w:tcPr>
            <w:tcW w:w="851" w:type="dxa"/>
            <w:shd w:val="clear" w:color="auto" w:fill="auto"/>
            <w:noWrap/>
            <w:vAlign w:val="bottom"/>
            <w:hideMark/>
          </w:tcPr>
          <w:p w14:paraId="7FC03DB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32%</w:t>
            </w:r>
          </w:p>
        </w:tc>
        <w:tc>
          <w:tcPr>
            <w:tcW w:w="1276" w:type="dxa"/>
            <w:shd w:val="clear" w:color="auto" w:fill="auto"/>
            <w:noWrap/>
            <w:vAlign w:val="bottom"/>
            <w:hideMark/>
          </w:tcPr>
          <w:p w14:paraId="0D0BF45E"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147,924.00 </w:t>
            </w:r>
          </w:p>
        </w:tc>
        <w:tc>
          <w:tcPr>
            <w:tcW w:w="850" w:type="dxa"/>
            <w:shd w:val="clear" w:color="auto" w:fill="auto"/>
            <w:noWrap/>
            <w:vAlign w:val="bottom"/>
            <w:hideMark/>
          </w:tcPr>
          <w:p w14:paraId="1EAA62D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68%</w:t>
            </w:r>
          </w:p>
        </w:tc>
        <w:tc>
          <w:tcPr>
            <w:tcW w:w="1134" w:type="dxa"/>
            <w:shd w:val="clear" w:color="auto" w:fill="auto"/>
            <w:noWrap/>
            <w:vAlign w:val="bottom"/>
            <w:hideMark/>
          </w:tcPr>
          <w:p w14:paraId="099E776C"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19</w:t>
            </w:r>
          </w:p>
        </w:tc>
        <w:tc>
          <w:tcPr>
            <w:tcW w:w="955" w:type="dxa"/>
            <w:shd w:val="clear" w:color="auto" w:fill="auto"/>
            <w:noWrap/>
            <w:vAlign w:val="bottom"/>
            <w:hideMark/>
          </w:tcPr>
          <w:p w14:paraId="1F582F3F"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w:t>
            </w:r>
          </w:p>
        </w:tc>
        <w:tc>
          <w:tcPr>
            <w:tcW w:w="1030" w:type="dxa"/>
            <w:shd w:val="clear" w:color="auto" w:fill="auto"/>
            <w:noWrap/>
            <w:vAlign w:val="bottom"/>
            <w:hideMark/>
          </w:tcPr>
          <w:p w14:paraId="1519428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40</w:t>
            </w:r>
          </w:p>
        </w:tc>
        <w:tc>
          <w:tcPr>
            <w:tcW w:w="992" w:type="dxa"/>
            <w:shd w:val="clear" w:color="auto" w:fill="auto"/>
            <w:noWrap/>
            <w:vAlign w:val="bottom"/>
            <w:hideMark/>
          </w:tcPr>
          <w:p w14:paraId="051A093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1064" w:type="dxa"/>
            <w:shd w:val="clear" w:color="auto" w:fill="auto"/>
            <w:noWrap/>
            <w:vAlign w:val="bottom"/>
            <w:hideMark/>
          </w:tcPr>
          <w:p w14:paraId="52DF4F9A"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15</w:t>
            </w:r>
          </w:p>
        </w:tc>
        <w:tc>
          <w:tcPr>
            <w:tcW w:w="993" w:type="dxa"/>
            <w:shd w:val="clear" w:color="auto" w:fill="auto"/>
            <w:noWrap/>
            <w:vAlign w:val="bottom"/>
            <w:hideMark/>
          </w:tcPr>
          <w:p w14:paraId="5BFDA6A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15%</w:t>
            </w:r>
          </w:p>
        </w:tc>
        <w:tc>
          <w:tcPr>
            <w:tcW w:w="1061" w:type="dxa"/>
            <w:shd w:val="clear" w:color="auto" w:fill="auto"/>
            <w:noWrap/>
            <w:vAlign w:val="bottom"/>
            <w:hideMark/>
          </w:tcPr>
          <w:p w14:paraId="2CEE469B"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18</w:t>
            </w:r>
          </w:p>
        </w:tc>
        <w:tc>
          <w:tcPr>
            <w:tcW w:w="1009" w:type="dxa"/>
            <w:shd w:val="clear" w:color="auto" w:fill="auto"/>
            <w:noWrap/>
            <w:vAlign w:val="bottom"/>
            <w:hideMark/>
          </w:tcPr>
          <w:p w14:paraId="4C17732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18%</w:t>
            </w:r>
          </w:p>
        </w:tc>
      </w:tr>
      <w:tr w:rsidR="003C5F7E" w:rsidRPr="0092349D" w14:paraId="781F037C" w14:textId="77777777" w:rsidTr="00415BA8">
        <w:trPr>
          <w:trHeight w:val="315"/>
        </w:trPr>
        <w:tc>
          <w:tcPr>
            <w:tcW w:w="1560" w:type="dxa"/>
            <w:shd w:val="clear" w:color="auto" w:fill="auto"/>
            <w:vAlign w:val="center"/>
            <w:hideMark/>
          </w:tcPr>
          <w:p w14:paraId="20B71094" w14:textId="77777777" w:rsidR="003C5F7E" w:rsidRPr="0092349D" w:rsidRDefault="003C5F7E" w:rsidP="00415BA8">
            <w:pPr>
              <w:spacing w:after="0" w:line="240" w:lineRule="auto"/>
              <w:rPr>
                <w:rFonts w:ascii="Open Sans" w:eastAsia="Times New Roman" w:hAnsi="Open Sans" w:cs="Open Sans"/>
                <w:color w:val="000000"/>
                <w:sz w:val="18"/>
                <w:szCs w:val="18"/>
              </w:rPr>
            </w:pPr>
            <w:proofErr w:type="spellStart"/>
            <w:r w:rsidRPr="0092349D">
              <w:rPr>
                <w:rFonts w:ascii="Open Sans" w:eastAsia="Times New Roman" w:hAnsi="Open Sans" w:cs="Open Sans"/>
                <w:color w:val="000000"/>
                <w:sz w:val="18"/>
                <w:szCs w:val="18"/>
              </w:rPr>
              <w:t>Bradco</w:t>
            </w:r>
            <w:proofErr w:type="spellEnd"/>
            <w:r w:rsidRPr="0092349D">
              <w:rPr>
                <w:rFonts w:ascii="Open Sans" w:eastAsia="Times New Roman" w:hAnsi="Open Sans" w:cs="Open Sans"/>
                <w:color w:val="000000"/>
                <w:sz w:val="18"/>
                <w:szCs w:val="18"/>
              </w:rPr>
              <w:t xml:space="preserve"> </w:t>
            </w:r>
            <w:proofErr w:type="spellStart"/>
            <w:r w:rsidRPr="0092349D">
              <w:rPr>
                <w:rFonts w:ascii="Open Sans" w:eastAsia="Times New Roman" w:hAnsi="Open Sans" w:cs="Open Sans"/>
                <w:color w:val="000000"/>
                <w:sz w:val="18"/>
                <w:szCs w:val="18"/>
              </w:rPr>
              <w:t>Inc</w:t>
            </w:r>
            <w:proofErr w:type="spellEnd"/>
          </w:p>
        </w:tc>
        <w:tc>
          <w:tcPr>
            <w:tcW w:w="1417" w:type="dxa"/>
            <w:shd w:val="clear" w:color="auto" w:fill="auto"/>
            <w:noWrap/>
            <w:vAlign w:val="bottom"/>
            <w:hideMark/>
          </w:tcPr>
          <w:p w14:paraId="2A03CDCA"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851" w:type="dxa"/>
            <w:shd w:val="clear" w:color="auto" w:fill="auto"/>
            <w:noWrap/>
            <w:vAlign w:val="bottom"/>
            <w:hideMark/>
          </w:tcPr>
          <w:p w14:paraId="6EFA97EB"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276" w:type="dxa"/>
            <w:shd w:val="clear" w:color="auto" w:fill="auto"/>
            <w:noWrap/>
            <w:vAlign w:val="bottom"/>
            <w:hideMark/>
          </w:tcPr>
          <w:p w14:paraId="1EA314E6"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850" w:type="dxa"/>
            <w:shd w:val="clear" w:color="auto" w:fill="auto"/>
            <w:noWrap/>
            <w:vAlign w:val="bottom"/>
            <w:hideMark/>
          </w:tcPr>
          <w:p w14:paraId="71657F36"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134" w:type="dxa"/>
            <w:shd w:val="clear" w:color="auto" w:fill="auto"/>
            <w:noWrap/>
            <w:vAlign w:val="bottom"/>
            <w:hideMark/>
          </w:tcPr>
          <w:p w14:paraId="5DCE3BA4"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55" w:type="dxa"/>
            <w:shd w:val="clear" w:color="auto" w:fill="auto"/>
            <w:noWrap/>
            <w:vAlign w:val="bottom"/>
            <w:hideMark/>
          </w:tcPr>
          <w:p w14:paraId="4BD2FAB0"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30" w:type="dxa"/>
            <w:shd w:val="clear" w:color="auto" w:fill="auto"/>
            <w:noWrap/>
            <w:vAlign w:val="bottom"/>
            <w:hideMark/>
          </w:tcPr>
          <w:p w14:paraId="77E8124B"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992" w:type="dxa"/>
            <w:shd w:val="clear" w:color="auto" w:fill="auto"/>
            <w:noWrap/>
            <w:vAlign w:val="bottom"/>
            <w:hideMark/>
          </w:tcPr>
          <w:p w14:paraId="1D12B7B7"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64" w:type="dxa"/>
            <w:shd w:val="clear" w:color="auto" w:fill="auto"/>
            <w:noWrap/>
            <w:vAlign w:val="bottom"/>
            <w:hideMark/>
          </w:tcPr>
          <w:p w14:paraId="721EB3AE"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93" w:type="dxa"/>
            <w:shd w:val="clear" w:color="auto" w:fill="auto"/>
            <w:noWrap/>
            <w:vAlign w:val="bottom"/>
            <w:hideMark/>
          </w:tcPr>
          <w:p w14:paraId="1EE01000"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61" w:type="dxa"/>
            <w:shd w:val="clear" w:color="auto" w:fill="auto"/>
            <w:noWrap/>
            <w:vAlign w:val="bottom"/>
            <w:hideMark/>
          </w:tcPr>
          <w:p w14:paraId="14D29829"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09" w:type="dxa"/>
            <w:shd w:val="clear" w:color="auto" w:fill="auto"/>
            <w:noWrap/>
            <w:vAlign w:val="bottom"/>
            <w:hideMark/>
          </w:tcPr>
          <w:p w14:paraId="6E240D4C"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r>
      <w:tr w:rsidR="003C5F7E" w:rsidRPr="0092349D" w14:paraId="085F7AED" w14:textId="77777777" w:rsidTr="00415BA8">
        <w:trPr>
          <w:trHeight w:val="315"/>
        </w:trPr>
        <w:tc>
          <w:tcPr>
            <w:tcW w:w="1560" w:type="dxa"/>
            <w:shd w:val="clear" w:color="auto" w:fill="auto"/>
            <w:vAlign w:val="center"/>
            <w:hideMark/>
          </w:tcPr>
          <w:p w14:paraId="58D59505"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3" w:history="1">
              <w:r w:rsidR="003C5F7E" w:rsidRPr="0092349D">
                <w:rPr>
                  <w:rFonts w:ascii="Calibri" w:eastAsia="Times New Roman" w:hAnsi="Calibri" w:cs="Times New Roman"/>
                  <w:color w:val="0000FF"/>
                  <w:sz w:val="18"/>
                  <w:szCs w:val="18"/>
                  <w:u w:val="single"/>
                </w:rPr>
                <w:t xml:space="preserve">Phoenix </w:t>
              </w:r>
              <w:proofErr w:type="spellStart"/>
              <w:r w:rsidR="003C5F7E" w:rsidRPr="0092349D">
                <w:rPr>
                  <w:rFonts w:ascii="Calibri" w:eastAsia="Times New Roman" w:hAnsi="Calibri" w:cs="Times New Roman"/>
                  <w:color w:val="0000FF"/>
                  <w:sz w:val="18"/>
                  <w:szCs w:val="18"/>
                  <w:u w:val="single"/>
                </w:rPr>
                <w:t>Oil</w:t>
              </w:r>
              <w:proofErr w:type="spellEnd"/>
              <w:r w:rsidR="003C5F7E" w:rsidRPr="0092349D">
                <w:rPr>
                  <w:rFonts w:ascii="Calibri" w:eastAsia="Times New Roman" w:hAnsi="Calibri" w:cs="Times New Roman"/>
                  <w:color w:val="0000FF"/>
                  <w:sz w:val="18"/>
                  <w:szCs w:val="18"/>
                  <w:u w:val="single"/>
                </w:rPr>
                <w:t xml:space="preserve"> &amp; Gas</w:t>
              </w:r>
            </w:hyperlink>
          </w:p>
        </w:tc>
        <w:tc>
          <w:tcPr>
            <w:tcW w:w="1417" w:type="dxa"/>
            <w:shd w:val="clear" w:color="auto" w:fill="auto"/>
            <w:noWrap/>
            <w:vAlign w:val="bottom"/>
            <w:hideMark/>
          </w:tcPr>
          <w:p w14:paraId="14C2CD17"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19,600.00 </w:t>
            </w:r>
          </w:p>
        </w:tc>
        <w:tc>
          <w:tcPr>
            <w:tcW w:w="851" w:type="dxa"/>
            <w:shd w:val="clear" w:color="auto" w:fill="auto"/>
            <w:noWrap/>
            <w:vAlign w:val="bottom"/>
            <w:hideMark/>
          </w:tcPr>
          <w:p w14:paraId="1042B0E4"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94%</w:t>
            </w:r>
          </w:p>
        </w:tc>
        <w:tc>
          <w:tcPr>
            <w:tcW w:w="1276" w:type="dxa"/>
            <w:shd w:val="clear" w:color="auto" w:fill="auto"/>
            <w:noWrap/>
            <w:vAlign w:val="bottom"/>
            <w:hideMark/>
          </w:tcPr>
          <w:p w14:paraId="6988E3E2"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1,250.00 </w:t>
            </w:r>
          </w:p>
        </w:tc>
        <w:tc>
          <w:tcPr>
            <w:tcW w:w="850" w:type="dxa"/>
            <w:shd w:val="clear" w:color="auto" w:fill="auto"/>
            <w:noWrap/>
            <w:vAlign w:val="bottom"/>
            <w:hideMark/>
          </w:tcPr>
          <w:p w14:paraId="439B32C3"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w:t>
            </w:r>
          </w:p>
        </w:tc>
        <w:tc>
          <w:tcPr>
            <w:tcW w:w="1134" w:type="dxa"/>
            <w:shd w:val="clear" w:color="auto" w:fill="auto"/>
            <w:noWrap/>
            <w:vAlign w:val="bottom"/>
            <w:hideMark/>
          </w:tcPr>
          <w:p w14:paraId="33F73EA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955" w:type="dxa"/>
            <w:shd w:val="clear" w:color="auto" w:fill="auto"/>
            <w:noWrap/>
            <w:vAlign w:val="bottom"/>
            <w:hideMark/>
          </w:tcPr>
          <w:p w14:paraId="2F2A6D86"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30" w:type="dxa"/>
            <w:shd w:val="clear" w:color="auto" w:fill="auto"/>
            <w:noWrap/>
            <w:vAlign w:val="bottom"/>
            <w:hideMark/>
          </w:tcPr>
          <w:p w14:paraId="09B868A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c>
          <w:tcPr>
            <w:tcW w:w="992" w:type="dxa"/>
            <w:shd w:val="clear" w:color="auto" w:fill="auto"/>
            <w:noWrap/>
            <w:vAlign w:val="bottom"/>
            <w:hideMark/>
          </w:tcPr>
          <w:p w14:paraId="0293804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c>
          <w:tcPr>
            <w:tcW w:w="1064" w:type="dxa"/>
            <w:shd w:val="clear" w:color="auto" w:fill="auto"/>
            <w:noWrap/>
            <w:vAlign w:val="bottom"/>
            <w:hideMark/>
          </w:tcPr>
          <w:p w14:paraId="6FACBA58"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993" w:type="dxa"/>
            <w:shd w:val="clear" w:color="auto" w:fill="auto"/>
            <w:noWrap/>
            <w:vAlign w:val="bottom"/>
            <w:hideMark/>
          </w:tcPr>
          <w:p w14:paraId="5075B5A9"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1061" w:type="dxa"/>
            <w:shd w:val="clear" w:color="auto" w:fill="auto"/>
            <w:noWrap/>
            <w:vAlign w:val="bottom"/>
            <w:hideMark/>
          </w:tcPr>
          <w:p w14:paraId="4EC6F055"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c>
          <w:tcPr>
            <w:tcW w:w="1009" w:type="dxa"/>
            <w:shd w:val="clear" w:color="auto" w:fill="auto"/>
            <w:noWrap/>
            <w:vAlign w:val="bottom"/>
            <w:hideMark/>
          </w:tcPr>
          <w:p w14:paraId="40FEC1D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r>
      <w:tr w:rsidR="003C5F7E" w:rsidRPr="0092349D" w14:paraId="46614CA0" w14:textId="77777777" w:rsidTr="00415BA8">
        <w:trPr>
          <w:trHeight w:val="315"/>
        </w:trPr>
        <w:tc>
          <w:tcPr>
            <w:tcW w:w="1560" w:type="dxa"/>
            <w:shd w:val="clear" w:color="auto" w:fill="auto"/>
            <w:vAlign w:val="center"/>
            <w:hideMark/>
          </w:tcPr>
          <w:p w14:paraId="51FB8873"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4" w:history="1">
              <w:proofErr w:type="spellStart"/>
              <w:r w:rsidR="003C5F7E" w:rsidRPr="0092349D">
                <w:rPr>
                  <w:rFonts w:ascii="Calibri" w:eastAsia="Times New Roman" w:hAnsi="Calibri" w:cs="Times New Roman"/>
                  <w:color w:val="0000FF"/>
                  <w:sz w:val="18"/>
                  <w:szCs w:val="18"/>
                  <w:u w:val="single"/>
                </w:rPr>
                <w:t>Oxbow</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Corp</w:t>
              </w:r>
              <w:proofErr w:type="spellEnd"/>
            </w:hyperlink>
          </w:p>
        </w:tc>
        <w:tc>
          <w:tcPr>
            <w:tcW w:w="1417" w:type="dxa"/>
            <w:shd w:val="clear" w:color="auto" w:fill="auto"/>
            <w:noWrap/>
            <w:vAlign w:val="bottom"/>
            <w:hideMark/>
          </w:tcPr>
          <w:p w14:paraId="39AE8004"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26,600.00 </w:t>
            </w:r>
          </w:p>
        </w:tc>
        <w:tc>
          <w:tcPr>
            <w:tcW w:w="851" w:type="dxa"/>
            <w:shd w:val="clear" w:color="auto" w:fill="auto"/>
            <w:noWrap/>
            <w:vAlign w:val="bottom"/>
            <w:hideMark/>
          </w:tcPr>
          <w:p w14:paraId="7671E3EE"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55%</w:t>
            </w:r>
          </w:p>
        </w:tc>
        <w:tc>
          <w:tcPr>
            <w:tcW w:w="1276" w:type="dxa"/>
            <w:shd w:val="clear" w:color="auto" w:fill="auto"/>
            <w:noWrap/>
            <w:vAlign w:val="bottom"/>
            <w:hideMark/>
          </w:tcPr>
          <w:p w14:paraId="0A42106F"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22,000.00 </w:t>
            </w:r>
          </w:p>
        </w:tc>
        <w:tc>
          <w:tcPr>
            <w:tcW w:w="850" w:type="dxa"/>
            <w:shd w:val="clear" w:color="auto" w:fill="auto"/>
            <w:noWrap/>
            <w:vAlign w:val="bottom"/>
            <w:hideMark/>
          </w:tcPr>
          <w:p w14:paraId="237D264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45%</w:t>
            </w:r>
          </w:p>
        </w:tc>
        <w:tc>
          <w:tcPr>
            <w:tcW w:w="1134" w:type="dxa"/>
            <w:shd w:val="clear" w:color="auto" w:fill="auto"/>
            <w:noWrap/>
            <w:vAlign w:val="bottom"/>
            <w:hideMark/>
          </w:tcPr>
          <w:p w14:paraId="13313A5F"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w:t>
            </w:r>
          </w:p>
        </w:tc>
        <w:tc>
          <w:tcPr>
            <w:tcW w:w="955" w:type="dxa"/>
            <w:shd w:val="clear" w:color="auto" w:fill="auto"/>
            <w:noWrap/>
            <w:vAlign w:val="bottom"/>
            <w:hideMark/>
          </w:tcPr>
          <w:p w14:paraId="62990F2C"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30" w:type="dxa"/>
            <w:shd w:val="clear" w:color="auto" w:fill="auto"/>
            <w:noWrap/>
            <w:vAlign w:val="bottom"/>
            <w:hideMark/>
          </w:tcPr>
          <w:p w14:paraId="24E801D3"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c>
          <w:tcPr>
            <w:tcW w:w="992" w:type="dxa"/>
            <w:shd w:val="clear" w:color="auto" w:fill="auto"/>
            <w:noWrap/>
            <w:vAlign w:val="bottom"/>
            <w:hideMark/>
          </w:tcPr>
          <w:p w14:paraId="739AB24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0%</w:t>
            </w:r>
          </w:p>
        </w:tc>
        <w:tc>
          <w:tcPr>
            <w:tcW w:w="1064" w:type="dxa"/>
            <w:shd w:val="clear" w:color="auto" w:fill="auto"/>
            <w:noWrap/>
            <w:vAlign w:val="bottom"/>
            <w:hideMark/>
          </w:tcPr>
          <w:p w14:paraId="10B6113B"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993" w:type="dxa"/>
            <w:shd w:val="clear" w:color="auto" w:fill="auto"/>
            <w:noWrap/>
            <w:vAlign w:val="bottom"/>
            <w:hideMark/>
          </w:tcPr>
          <w:p w14:paraId="33BFCA3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061" w:type="dxa"/>
            <w:shd w:val="clear" w:color="auto" w:fill="auto"/>
            <w:noWrap/>
            <w:vAlign w:val="bottom"/>
            <w:hideMark/>
          </w:tcPr>
          <w:p w14:paraId="5FBC97C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w:t>
            </w:r>
          </w:p>
        </w:tc>
        <w:tc>
          <w:tcPr>
            <w:tcW w:w="1009" w:type="dxa"/>
            <w:shd w:val="clear" w:color="auto" w:fill="auto"/>
            <w:noWrap/>
            <w:vAlign w:val="bottom"/>
            <w:hideMark/>
          </w:tcPr>
          <w:p w14:paraId="6116E523"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w:t>
            </w:r>
          </w:p>
        </w:tc>
      </w:tr>
      <w:tr w:rsidR="003C5F7E" w:rsidRPr="0092349D" w14:paraId="6C415D9E" w14:textId="77777777" w:rsidTr="00415BA8">
        <w:trPr>
          <w:trHeight w:val="315"/>
        </w:trPr>
        <w:tc>
          <w:tcPr>
            <w:tcW w:w="1560" w:type="dxa"/>
            <w:shd w:val="clear" w:color="auto" w:fill="auto"/>
            <w:vAlign w:val="center"/>
            <w:hideMark/>
          </w:tcPr>
          <w:p w14:paraId="1DC578F5"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5" w:history="1">
              <w:proofErr w:type="spellStart"/>
              <w:r w:rsidR="003C5F7E" w:rsidRPr="0092349D">
                <w:rPr>
                  <w:rFonts w:ascii="Calibri" w:eastAsia="Times New Roman" w:hAnsi="Calibri" w:cs="Times New Roman"/>
                  <w:color w:val="0000FF"/>
                  <w:sz w:val="18"/>
                  <w:szCs w:val="18"/>
                  <w:u w:val="single"/>
                </w:rPr>
                <w:t>Anadarko</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Petroleum</w:t>
              </w:r>
              <w:proofErr w:type="spellEnd"/>
            </w:hyperlink>
          </w:p>
        </w:tc>
        <w:tc>
          <w:tcPr>
            <w:tcW w:w="1417" w:type="dxa"/>
            <w:shd w:val="clear" w:color="auto" w:fill="auto"/>
            <w:noWrap/>
            <w:vAlign w:val="bottom"/>
            <w:hideMark/>
          </w:tcPr>
          <w:p w14:paraId="3BBE18E2"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40,950.00 </w:t>
            </w:r>
          </w:p>
        </w:tc>
        <w:tc>
          <w:tcPr>
            <w:tcW w:w="851" w:type="dxa"/>
            <w:shd w:val="clear" w:color="auto" w:fill="auto"/>
            <w:noWrap/>
            <w:vAlign w:val="bottom"/>
            <w:hideMark/>
          </w:tcPr>
          <w:p w14:paraId="06CD73B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12%</w:t>
            </w:r>
          </w:p>
        </w:tc>
        <w:tc>
          <w:tcPr>
            <w:tcW w:w="1276" w:type="dxa"/>
            <w:shd w:val="clear" w:color="auto" w:fill="auto"/>
            <w:noWrap/>
            <w:vAlign w:val="bottom"/>
            <w:hideMark/>
          </w:tcPr>
          <w:p w14:paraId="12DBFBC2"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311,950.00 </w:t>
            </w:r>
          </w:p>
        </w:tc>
        <w:tc>
          <w:tcPr>
            <w:tcW w:w="850" w:type="dxa"/>
            <w:shd w:val="clear" w:color="auto" w:fill="auto"/>
            <w:noWrap/>
            <w:vAlign w:val="bottom"/>
            <w:hideMark/>
          </w:tcPr>
          <w:p w14:paraId="1C560CA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88%</w:t>
            </w:r>
          </w:p>
        </w:tc>
        <w:tc>
          <w:tcPr>
            <w:tcW w:w="1134" w:type="dxa"/>
            <w:shd w:val="clear" w:color="auto" w:fill="auto"/>
            <w:noWrap/>
            <w:vAlign w:val="bottom"/>
            <w:hideMark/>
          </w:tcPr>
          <w:p w14:paraId="2C2F5D72"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12</w:t>
            </w:r>
          </w:p>
        </w:tc>
        <w:tc>
          <w:tcPr>
            <w:tcW w:w="955" w:type="dxa"/>
            <w:shd w:val="clear" w:color="auto" w:fill="auto"/>
            <w:noWrap/>
            <w:vAlign w:val="bottom"/>
            <w:hideMark/>
          </w:tcPr>
          <w:p w14:paraId="3020B9E7"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1030" w:type="dxa"/>
            <w:shd w:val="clear" w:color="auto" w:fill="auto"/>
            <w:noWrap/>
            <w:vAlign w:val="bottom"/>
            <w:hideMark/>
          </w:tcPr>
          <w:p w14:paraId="7288A47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41</w:t>
            </w:r>
          </w:p>
        </w:tc>
        <w:tc>
          <w:tcPr>
            <w:tcW w:w="992" w:type="dxa"/>
            <w:shd w:val="clear" w:color="auto" w:fill="auto"/>
            <w:noWrap/>
            <w:vAlign w:val="bottom"/>
            <w:hideMark/>
          </w:tcPr>
          <w:p w14:paraId="7F194E8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1064" w:type="dxa"/>
            <w:shd w:val="clear" w:color="auto" w:fill="auto"/>
            <w:noWrap/>
            <w:vAlign w:val="bottom"/>
            <w:hideMark/>
          </w:tcPr>
          <w:p w14:paraId="08E58169"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3</w:t>
            </w:r>
          </w:p>
        </w:tc>
        <w:tc>
          <w:tcPr>
            <w:tcW w:w="993" w:type="dxa"/>
            <w:shd w:val="clear" w:color="auto" w:fill="auto"/>
            <w:noWrap/>
            <w:vAlign w:val="bottom"/>
            <w:hideMark/>
          </w:tcPr>
          <w:p w14:paraId="67A244D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1061" w:type="dxa"/>
            <w:shd w:val="clear" w:color="auto" w:fill="auto"/>
            <w:noWrap/>
            <w:vAlign w:val="bottom"/>
            <w:hideMark/>
          </w:tcPr>
          <w:p w14:paraId="57374EE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17</w:t>
            </w:r>
          </w:p>
        </w:tc>
        <w:tc>
          <w:tcPr>
            <w:tcW w:w="1009" w:type="dxa"/>
            <w:shd w:val="clear" w:color="auto" w:fill="auto"/>
            <w:noWrap/>
            <w:vAlign w:val="bottom"/>
            <w:hideMark/>
          </w:tcPr>
          <w:p w14:paraId="7FDA1415"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17%</w:t>
            </w:r>
          </w:p>
        </w:tc>
      </w:tr>
      <w:tr w:rsidR="003C5F7E" w:rsidRPr="0092349D" w14:paraId="4999A7DA" w14:textId="77777777" w:rsidTr="00415BA8">
        <w:trPr>
          <w:trHeight w:val="315"/>
        </w:trPr>
        <w:tc>
          <w:tcPr>
            <w:tcW w:w="1560" w:type="dxa"/>
            <w:shd w:val="clear" w:color="auto" w:fill="auto"/>
            <w:vAlign w:val="center"/>
            <w:hideMark/>
          </w:tcPr>
          <w:p w14:paraId="22B15722"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6" w:history="1">
              <w:proofErr w:type="spellStart"/>
              <w:r w:rsidR="003C5F7E" w:rsidRPr="0092349D">
                <w:rPr>
                  <w:rFonts w:ascii="Calibri" w:eastAsia="Times New Roman" w:hAnsi="Calibri" w:cs="Times New Roman"/>
                  <w:color w:val="0000FF"/>
                  <w:sz w:val="18"/>
                  <w:szCs w:val="18"/>
                  <w:u w:val="single"/>
                </w:rPr>
                <w:t>Arch</w:t>
              </w:r>
              <w:proofErr w:type="spellEnd"/>
              <w:r w:rsidR="003C5F7E" w:rsidRPr="0092349D">
                <w:rPr>
                  <w:rFonts w:ascii="Calibri" w:eastAsia="Times New Roman" w:hAnsi="Calibri" w:cs="Times New Roman"/>
                  <w:color w:val="0000FF"/>
                  <w:sz w:val="18"/>
                  <w:szCs w:val="18"/>
                  <w:u w:val="single"/>
                </w:rPr>
                <w:t xml:space="preserve"> Coal</w:t>
              </w:r>
            </w:hyperlink>
          </w:p>
        </w:tc>
        <w:tc>
          <w:tcPr>
            <w:tcW w:w="1417" w:type="dxa"/>
            <w:shd w:val="clear" w:color="auto" w:fill="auto"/>
            <w:noWrap/>
            <w:vAlign w:val="bottom"/>
            <w:hideMark/>
          </w:tcPr>
          <w:p w14:paraId="08687A03"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32,500.00 </w:t>
            </w:r>
          </w:p>
        </w:tc>
        <w:tc>
          <w:tcPr>
            <w:tcW w:w="851" w:type="dxa"/>
            <w:shd w:val="clear" w:color="auto" w:fill="auto"/>
            <w:noWrap/>
            <w:vAlign w:val="bottom"/>
            <w:hideMark/>
          </w:tcPr>
          <w:p w14:paraId="2B1D8395"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20%</w:t>
            </w:r>
          </w:p>
        </w:tc>
        <w:tc>
          <w:tcPr>
            <w:tcW w:w="1276" w:type="dxa"/>
            <w:shd w:val="clear" w:color="auto" w:fill="auto"/>
            <w:noWrap/>
            <w:vAlign w:val="bottom"/>
            <w:hideMark/>
          </w:tcPr>
          <w:p w14:paraId="264DB157"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130,200.00 </w:t>
            </w:r>
          </w:p>
        </w:tc>
        <w:tc>
          <w:tcPr>
            <w:tcW w:w="850" w:type="dxa"/>
            <w:shd w:val="clear" w:color="auto" w:fill="auto"/>
            <w:noWrap/>
            <w:vAlign w:val="bottom"/>
            <w:hideMark/>
          </w:tcPr>
          <w:p w14:paraId="0D9911A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80%</w:t>
            </w:r>
          </w:p>
        </w:tc>
        <w:tc>
          <w:tcPr>
            <w:tcW w:w="1134" w:type="dxa"/>
            <w:shd w:val="clear" w:color="auto" w:fill="auto"/>
            <w:noWrap/>
            <w:vAlign w:val="bottom"/>
            <w:hideMark/>
          </w:tcPr>
          <w:p w14:paraId="4446EC3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6</w:t>
            </w:r>
          </w:p>
        </w:tc>
        <w:tc>
          <w:tcPr>
            <w:tcW w:w="955" w:type="dxa"/>
            <w:shd w:val="clear" w:color="auto" w:fill="auto"/>
            <w:noWrap/>
            <w:vAlign w:val="bottom"/>
            <w:hideMark/>
          </w:tcPr>
          <w:p w14:paraId="6FE1BF5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030" w:type="dxa"/>
            <w:shd w:val="clear" w:color="auto" w:fill="auto"/>
            <w:noWrap/>
            <w:vAlign w:val="bottom"/>
            <w:hideMark/>
          </w:tcPr>
          <w:p w14:paraId="42757A7D"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37</w:t>
            </w:r>
          </w:p>
        </w:tc>
        <w:tc>
          <w:tcPr>
            <w:tcW w:w="992" w:type="dxa"/>
            <w:shd w:val="clear" w:color="auto" w:fill="auto"/>
            <w:noWrap/>
            <w:vAlign w:val="bottom"/>
            <w:hideMark/>
          </w:tcPr>
          <w:p w14:paraId="2FE8F53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1064" w:type="dxa"/>
            <w:shd w:val="clear" w:color="auto" w:fill="auto"/>
            <w:noWrap/>
            <w:vAlign w:val="bottom"/>
            <w:hideMark/>
          </w:tcPr>
          <w:p w14:paraId="1712FBDF"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5</w:t>
            </w:r>
          </w:p>
        </w:tc>
        <w:tc>
          <w:tcPr>
            <w:tcW w:w="993" w:type="dxa"/>
            <w:shd w:val="clear" w:color="auto" w:fill="auto"/>
            <w:noWrap/>
            <w:vAlign w:val="bottom"/>
            <w:hideMark/>
          </w:tcPr>
          <w:p w14:paraId="4E554DC9"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w:t>
            </w:r>
          </w:p>
        </w:tc>
        <w:tc>
          <w:tcPr>
            <w:tcW w:w="1061" w:type="dxa"/>
            <w:shd w:val="clear" w:color="auto" w:fill="auto"/>
            <w:noWrap/>
            <w:vAlign w:val="bottom"/>
            <w:hideMark/>
          </w:tcPr>
          <w:p w14:paraId="3996059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10</w:t>
            </w:r>
          </w:p>
        </w:tc>
        <w:tc>
          <w:tcPr>
            <w:tcW w:w="1009" w:type="dxa"/>
            <w:shd w:val="clear" w:color="auto" w:fill="auto"/>
            <w:noWrap/>
            <w:vAlign w:val="bottom"/>
            <w:hideMark/>
          </w:tcPr>
          <w:p w14:paraId="4B605495"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10%</w:t>
            </w:r>
          </w:p>
        </w:tc>
      </w:tr>
      <w:tr w:rsidR="003C5F7E" w:rsidRPr="0092349D" w14:paraId="49A16012" w14:textId="77777777" w:rsidTr="00415BA8">
        <w:trPr>
          <w:trHeight w:val="315"/>
        </w:trPr>
        <w:tc>
          <w:tcPr>
            <w:tcW w:w="1560" w:type="dxa"/>
            <w:shd w:val="clear" w:color="auto" w:fill="auto"/>
            <w:vAlign w:val="center"/>
            <w:hideMark/>
          </w:tcPr>
          <w:p w14:paraId="26C93A3A"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7" w:history="1">
              <w:proofErr w:type="spellStart"/>
              <w:r w:rsidR="003C5F7E" w:rsidRPr="0092349D">
                <w:rPr>
                  <w:rFonts w:ascii="Calibri" w:eastAsia="Times New Roman" w:hAnsi="Calibri" w:cs="Times New Roman"/>
                  <w:color w:val="0000FF"/>
                  <w:sz w:val="18"/>
                  <w:szCs w:val="18"/>
                  <w:u w:val="single"/>
                </w:rPr>
                <w:t>Exelon</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Corp</w:t>
              </w:r>
              <w:proofErr w:type="spellEnd"/>
            </w:hyperlink>
          </w:p>
        </w:tc>
        <w:tc>
          <w:tcPr>
            <w:tcW w:w="1417" w:type="dxa"/>
            <w:shd w:val="clear" w:color="auto" w:fill="auto"/>
            <w:noWrap/>
            <w:vAlign w:val="bottom"/>
            <w:hideMark/>
          </w:tcPr>
          <w:p w14:paraId="10CB895B"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398,244.00 </w:t>
            </w:r>
          </w:p>
        </w:tc>
        <w:tc>
          <w:tcPr>
            <w:tcW w:w="851" w:type="dxa"/>
            <w:shd w:val="clear" w:color="auto" w:fill="auto"/>
            <w:noWrap/>
            <w:vAlign w:val="bottom"/>
            <w:hideMark/>
          </w:tcPr>
          <w:p w14:paraId="6B612A1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46%</w:t>
            </w:r>
          </w:p>
        </w:tc>
        <w:tc>
          <w:tcPr>
            <w:tcW w:w="1276" w:type="dxa"/>
            <w:shd w:val="clear" w:color="auto" w:fill="auto"/>
            <w:noWrap/>
            <w:vAlign w:val="bottom"/>
            <w:hideMark/>
          </w:tcPr>
          <w:p w14:paraId="0997CF5B"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468,333.00 </w:t>
            </w:r>
          </w:p>
        </w:tc>
        <w:tc>
          <w:tcPr>
            <w:tcW w:w="850" w:type="dxa"/>
            <w:shd w:val="clear" w:color="auto" w:fill="auto"/>
            <w:noWrap/>
            <w:vAlign w:val="bottom"/>
            <w:hideMark/>
          </w:tcPr>
          <w:p w14:paraId="1FFA8F3B"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54%</w:t>
            </w:r>
          </w:p>
        </w:tc>
        <w:tc>
          <w:tcPr>
            <w:tcW w:w="1134" w:type="dxa"/>
            <w:shd w:val="clear" w:color="auto" w:fill="auto"/>
            <w:noWrap/>
            <w:vAlign w:val="bottom"/>
            <w:hideMark/>
          </w:tcPr>
          <w:p w14:paraId="6A55949C"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43</w:t>
            </w:r>
          </w:p>
        </w:tc>
        <w:tc>
          <w:tcPr>
            <w:tcW w:w="955" w:type="dxa"/>
            <w:shd w:val="clear" w:color="auto" w:fill="auto"/>
            <w:noWrap/>
            <w:vAlign w:val="bottom"/>
            <w:hideMark/>
          </w:tcPr>
          <w:p w14:paraId="70331E2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10%</w:t>
            </w:r>
          </w:p>
        </w:tc>
        <w:tc>
          <w:tcPr>
            <w:tcW w:w="1030" w:type="dxa"/>
            <w:shd w:val="clear" w:color="auto" w:fill="auto"/>
            <w:noWrap/>
            <w:vAlign w:val="bottom"/>
            <w:hideMark/>
          </w:tcPr>
          <w:p w14:paraId="7417C2A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53</w:t>
            </w:r>
          </w:p>
        </w:tc>
        <w:tc>
          <w:tcPr>
            <w:tcW w:w="992" w:type="dxa"/>
            <w:shd w:val="clear" w:color="auto" w:fill="auto"/>
            <w:noWrap/>
            <w:vAlign w:val="bottom"/>
            <w:hideMark/>
          </w:tcPr>
          <w:p w14:paraId="4E94A69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12%</w:t>
            </w:r>
          </w:p>
        </w:tc>
        <w:tc>
          <w:tcPr>
            <w:tcW w:w="1064" w:type="dxa"/>
            <w:shd w:val="clear" w:color="auto" w:fill="auto"/>
            <w:noWrap/>
            <w:vAlign w:val="bottom"/>
            <w:hideMark/>
          </w:tcPr>
          <w:p w14:paraId="37C7C1CD"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16</w:t>
            </w:r>
          </w:p>
        </w:tc>
        <w:tc>
          <w:tcPr>
            <w:tcW w:w="993" w:type="dxa"/>
            <w:shd w:val="clear" w:color="auto" w:fill="auto"/>
            <w:noWrap/>
            <w:vAlign w:val="bottom"/>
            <w:hideMark/>
          </w:tcPr>
          <w:p w14:paraId="0562B23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16%</w:t>
            </w:r>
          </w:p>
        </w:tc>
        <w:tc>
          <w:tcPr>
            <w:tcW w:w="1061" w:type="dxa"/>
            <w:shd w:val="clear" w:color="auto" w:fill="auto"/>
            <w:noWrap/>
            <w:vAlign w:val="bottom"/>
            <w:hideMark/>
          </w:tcPr>
          <w:p w14:paraId="365C7CB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18</w:t>
            </w:r>
          </w:p>
        </w:tc>
        <w:tc>
          <w:tcPr>
            <w:tcW w:w="1009" w:type="dxa"/>
            <w:shd w:val="clear" w:color="auto" w:fill="auto"/>
            <w:noWrap/>
            <w:vAlign w:val="bottom"/>
            <w:hideMark/>
          </w:tcPr>
          <w:p w14:paraId="1528646D"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18%</w:t>
            </w:r>
          </w:p>
        </w:tc>
      </w:tr>
      <w:tr w:rsidR="003C5F7E" w:rsidRPr="0092349D" w14:paraId="0D388CC6" w14:textId="77777777" w:rsidTr="00415BA8">
        <w:trPr>
          <w:trHeight w:val="315"/>
        </w:trPr>
        <w:tc>
          <w:tcPr>
            <w:tcW w:w="1560" w:type="dxa"/>
            <w:shd w:val="clear" w:color="auto" w:fill="auto"/>
            <w:vAlign w:val="center"/>
            <w:hideMark/>
          </w:tcPr>
          <w:p w14:paraId="4EEF6E67"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8" w:history="1">
              <w:proofErr w:type="spellStart"/>
              <w:r w:rsidR="003C5F7E" w:rsidRPr="0092349D">
                <w:rPr>
                  <w:rFonts w:ascii="Calibri" w:eastAsia="Times New Roman" w:hAnsi="Calibri" w:cs="Times New Roman"/>
                  <w:color w:val="0000FF"/>
                  <w:sz w:val="18"/>
                  <w:szCs w:val="18"/>
                  <w:u w:val="single"/>
                </w:rPr>
                <w:t>Foundation</w:t>
              </w:r>
              <w:proofErr w:type="spellEnd"/>
              <w:r w:rsidR="003C5F7E" w:rsidRPr="0092349D">
                <w:rPr>
                  <w:rFonts w:ascii="Calibri" w:eastAsia="Times New Roman" w:hAnsi="Calibri" w:cs="Times New Roman"/>
                  <w:color w:val="0000FF"/>
                  <w:sz w:val="18"/>
                  <w:szCs w:val="18"/>
                  <w:u w:val="single"/>
                </w:rPr>
                <w:t xml:space="preserve"> Coal</w:t>
              </w:r>
            </w:hyperlink>
          </w:p>
        </w:tc>
        <w:tc>
          <w:tcPr>
            <w:tcW w:w="1417" w:type="dxa"/>
            <w:shd w:val="clear" w:color="auto" w:fill="auto"/>
            <w:noWrap/>
            <w:vAlign w:val="bottom"/>
            <w:hideMark/>
          </w:tcPr>
          <w:p w14:paraId="526B336B"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851" w:type="dxa"/>
            <w:shd w:val="clear" w:color="auto" w:fill="auto"/>
            <w:noWrap/>
            <w:vAlign w:val="bottom"/>
            <w:hideMark/>
          </w:tcPr>
          <w:p w14:paraId="75A06D14"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276" w:type="dxa"/>
            <w:shd w:val="clear" w:color="auto" w:fill="auto"/>
            <w:noWrap/>
            <w:vAlign w:val="bottom"/>
            <w:hideMark/>
          </w:tcPr>
          <w:p w14:paraId="268596F9"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850" w:type="dxa"/>
            <w:shd w:val="clear" w:color="auto" w:fill="auto"/>
            <w:noWrap/>
            <w:vAlign w:val="bottom"/>
            <w:hideMark/>
          </w:tcPr>
          <w:p w14:paraId="6DFD87ED"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134" w:type="dxa"/>
            <w:shd w:val="clear" w:color="auto" w:fill="auto"/>
            <w:noWrap/>
            <w:vAlign w:val="bottom"/>
            <w:hideMark/>
          </w:tcPr>
          <w:p w14:paraId="32547527"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55" w:type="dxa"/>
            <w:shd w:val="clear" w:color="auto" w:fill="auto"/>
            <w:noWrap/>
            <w:vAlign w:val="bottom"/>
            <w:hideMark/>
          </w:tcPr>
          <w:p w14:paraId="6D1F1BED"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30" w:type="dxa"/>
            <w:shd w:val="clear" w:color="auto" w:fill="auto"/>
            <w:noWrap/>
            <w:vAlign w:val="bottom"/>
            <w:hideMark/>
          </w:tcPr>
          <w:p w14:paraId="5D7F4D3B"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992" w:type="dxa"/>
            <w:shd w:val="clear" w:color="auto" w:fill="auto"/>
            <w:noWrap/>
            <w:vAlign w:val="bottom"/>
            <w:hideMark/>
          </w:tcPr>
          <w:p w14:paraId="77C2AD44"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64" w:type="dxa"/>
            <w:shd w:val="clear" w:color="auto" w:fill="auto"/>
            <w:noWrap/>
            <w:vAlign w:val="bottom"/>
            <w:hideMark/>
          </w:tcPr>
          <w:p w14:paraId="027E0BEF"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993" w:type="dxa"/>
            <w:shd w:val="clear" w:color="auto" w:fill="auto"/>
            <w:noWrap/>
            <w:vAlign w:val="bottom"/>
            <w:hideMark/>
          </w:tcPr>
          <w:p w14:paraId="389C779D"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No disponible </w:t>
            </w:r>
          </w:p>
        </w:tc>
        <w:tc>
          <w:tcPr>
            <w:tcW w:w="1061" w:type="dxa"/>
            <w:shd w:val="clear" w:color="auto" w:fill="auto"/>
            <w:noWrap/>
            <w:vAlign w:val="bottom"/>
            <w:hideMark/>
          </w:tcPr>
          <w:p w14:paraId="65A586D2"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c>
          <w:tcPr>
            <w:tcW w:w="1009" w:type="dxa"/>
            <w:shd w:val="clear" w:color="auto" w:fill="auto"/>
            <w:noWrap/>
            <w:vAlign w:val="bottom"/>
            <w:hideMark/>
          </w:tcPr>
          <w:p w14:paraId="1A320D65"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No disponible </w:t>
            </w:r>
          </w:p>
        </w:tc>
      </w:tr>
      <w:tr w:rsidR="003C5F7E" w:rsidRPr="0092349D" w14:paraId="444E75D7" w14:textId="77777777" w:rsidTr="00415BA8">
        <w:trPr>
          <w:trHeight w:val="315"/>
        </w:trPr>
        <w:tc>
          <w:tcPr>
            <w:tcW w:w="1560" w:type="dxa"/>
            <w:shd w:val="clear" w:color="auto" w:fill="auto"/>
            <w:vAlign w:val="center"/>
            <w:hideMark/>
          </w:tcPr>
          <w:p w14:paraId="4D7D3A6E"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39" w:history="1">
              <w:proofErr w:type="spellStart"/>
              <w:r w:rsidR="003C5F7E" w:rsidRPr="0092349D">
                <w:rPr>
                  <w:rFonts w:ascii="Calibri" w:eastAsia="Times New Roman" w:hAnsi="Calibri" w:cs="Times New Roman"/>
                  <w:color w:val="0000FF"/>
                  <w:sz w:val="18"/>
                  <w:szCs w:val="18"/>
                  <w:u w:val="single"/>
                </w:rPr>
                <w:t>National</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Mining</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Assn</w:t>
              </w:r>
              <w:proofErr w:type="spellEnd"/>
            </w:hyperlink>
          </w:p>
        </w:tc>
        <w:tc>
          <w:tcPr>
            <w:tcW w:w="1417" w:type="dxa"/>
            <w:shd w:val="clear" w:color="auto" w:fill="auto"/>
            <w:noWrap/>
            <w:vAlign w:val="bottom"/>
            <w:hideMark/>
          </w:tcPr>
          <w:p w14:paraId="58377822"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116,500.00 </w:t>
            </w:r>
          </w:p>
        </w:tc>
        <w:tc>
          <w:tcPr>
            <w:tcW w:w="851" w:type="dxa"/>
            <w:shd w:val="clear" w:color="auto" w:fill="auto"/>
            <w:noWrap/>
            <w:vAlign w:val="bottom"/>
            <w:hideMark/>
          </w:tcPr>
          <w:p w14:paraId="630898F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19%</w:t>
            </w:r>
          </w:p>
        </w:tc>
        <w:tc>
          <w:tcPr>
            <w:tcW w:w="1276" w:type="dxa"/>
            <w:shd w:val="clear" w:color="auto" w:fill="auto"/>
            <w:noWrap/>
            <w:vAlign w:val="bottom"/>
            <w:hideMark/>
          </w:tcPr>
          <w:p w14:paraId="5BE091FE"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510,998.00 </w:t>
            </w:r>
          </w:p>
        </w:tc>
        <w:tc>
          <w:tcPr>
            <w:tcW w:w="850" w:type="dxa"/>
            <w:shd w:val="clear" w:color="auto" w:fill="auto"/>
            <w:noWrap/>
            <w:vAlign w:val="bottom"/>
            <w:hideMark/>
          </w:tcPr>
          <w:p w14:paraId="514DB6CE"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81%</w:t>
            </w:r>
          </w:p>
        </w:tc>
        <w:tc>
          <w:tcPr>
            <w:tcW w:w="1134" w:type="dxa"/>
            <w:shd w:val="clear" w:color="auto" w:fill="auto"/>
            <w:noWrap/>
            <w:vAlign w:val="bottom"/>
            <w:hideMark/>
          </w:tcPr>
          <w:p w14:paraId="2D6AEE8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37</w:t>
            </w:r>
          </w:p>
        </w:tc>
        <w:tc>
          <w:tcPr>
            <w:tcW w:w="955" w:type="dxa"/>
            <w:shd w:val="clear" w:color="auto" w:fill="auto"/>
            <w:noWrap/>
            <w:vAlign w:val="bottom"/>
            <w:hideMark/>
          </w:tcPr>
          <w:p w14:paraId="7A4C9364"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9%</w:t>
            </w:r>
          </w:p>
        </w:tc>
        <w:tc>
          <w:tcPr>
            <w:tcW w:w="1030" w:type="dxa"/>
            <w:shd w:val="clear" w:color="auto" w:fill="auto"/>
            <w:noWrap/>
            <w:vAlign w:val="bottom"/>
            <w:hideMark/>
          </w:tcPr>
          <w:p w14:paraId="66BF5CE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124</w:t>
            </w:r>
          </w:p>
        </w:tc>
        <w:tc>
          <w:tcPr>
            <w:tcW w:w="992" w:type="dxa"/>
            <w:shd w:val="clear" w:color="auto" w:fill="auto"/>
            <w:noWrap/>
            <w:vAlign w:val="bottom"/>
            <w:hideMark/>
          </w:tcPr>
          <w:p w14:paraId="565D358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29%</w:t>
            </w:r>
          </w:p>
        </w:tc>
        <w:tc>
          <w:tcPr>
            <w:tcW w:w="1064" w:type="dxa"/>
            <w:shd w:val="clear" w:color="auto" w:fill="auto"/>
            <w:noWrap/>
            <w:vAlign w:val="bottom"/>
            <w:hideMark/>
          </w:tcPr>
          <w:p w14:paraId="50DB9426"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7</w:t>
            </w:r>
          </w:p>
        </w:tc>
        <w:tc>
          <w:tcPr>
            <w:tcW w:w="993" w:type="dxa"/>
            <w:shd w:val="clear" w:color="auto" w:fill="auto"/>
            <w:noWrap/>
            <w:vAlign w:val="bottom"/>
            <w:hideMark/>
          </w:tcPr>
          <w:p w14:paraId="12CF454F"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7%</w:t>
            </w:r>
          </w:p>
        </w:tc>
        <w:tc>
          <w:tcPr>
            <w:tcW w:w="1061" w:type="dxa"/>
            <w:shd w:val="clear" w:color="auto" w:fill="auto"/>
            <w:noWrap/>
            <w:vAlign w:val="bottom"/>
            <w:hideMark/>
          </w:tcPr>
          <w:p w14:paraId="34A2907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15</w:t>
            </w:r>
          </w:p>
        </w:tc>
        <w:tc>
          <w:tcPr>
            <w:tcW w:w="1009" w:type="dxa"/>
            <w:shd w:val="clear" w:color="auto" w:fill="auto"/>
            <w:noWrap/>
            <w:vAlign w:val="bottom"/>
            <w:hideMark/>
          </w:tcPr>
          <w:p w14:paraId="5B8CD183"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15%</w:t>
            </w:r>
          </w:p>
        </w:tc>
      </w:tr>
      <w:tr w:rsidR="003C5F7E" w:rsidRPr="0092349D" w14:paraId="17426016" w14:textId="77777777" w:rsidTr="00415BA8">
        <w:trPr>
          <w:trHeight w:val="315"/>
        </w:trPr>
        <w:tc>
          <w:tcPr>
            <w:tcW w:w="1560" w:type="dxa"/>
            <w:shd w:val="clear" w:color="auto" w:fill="auto"/>
            <w:vAlign w:val="center"/>
            <w:hideMark/>
          </w:tcPr>
          <w:p w14:paraId="110B9E7D"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40" w:history="1">
              <w:proofErr w:type="spellStart"/>
              <w:r w:rsidR="003C5F7E" w:rsidRPr="0092349D">
                <w:rPr>
                  <w:rFonts w:ascii="Calibri" w:eastAsia="Times New Roman" w:hAnsi="Calibri" w:cs="Times New Roman"/>
                  <w:color w:val="0000FF"/>
                  <w:sz w:val="18"/>
                  <w:szCs w:val="18"/>
                  <w:u w:val="single"/>
                </w:rPr>
                <w:t>Peabody</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Energy</w:t>
              </w:r>
              <w:proofErr w:type="spellEnd"/>
            </w:hyperlink>
          </w:p>
        </w:tc>
        <w:tc>
          <w:tcPr>
            <w:tcW w:w="1417" w:type="dxa"/>
            <w:shd w:val="clear" w:color="auto" w:fill="auto"/>
            <w:noWrap/>
            <w:vAlign w:val="bottom"/>
            <w:hideMark/>
          </w:tcPr>
          <w:p w14:paraId="05CBCBAC"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4,500.00 </w:t>
            </w:r>
          </w:p>
        </w:tc>
        <w:tc>
          <w:tcPr>
            <w:tcW w:w="851" w:type="dxa"/>
            <w:shd w:val="clear" w:color="auto" w:fill="auto"/>
            <w:noWrap/>
            <w:vAlign w:val="bottom"/>
            <w:hideMark/>
          </w:tcPr>
          <w:p w14:paraId="76514A0A"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20%</w:t>
            </w:r>
          </w:p>
        </w:tc>
        <w:tc>
          <w:tcPr>
            <w:tcW w:w="1276" w:type="dxa"/>
            <w:shd w:val="clear" w:color="auto" w:fill="auto"/>
            <w:noWrap/>
            <w:vAlign w:val="bottom"/>
            <w:hideMark/>
          </w:tcPr>
          <w:p w14:paraId="2792698E"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18,000.00 </w:t>
            </w:r>
          </w:p>
        </w:tc>
        <w:tc>
          <w:tcPr>
            <w:tcW w:w="850" w:type="dxa"/>
            <w:shd w:val="clear" w:color="auto" w:fill="auto"/>
            <w:noWrap/>
            <w:vAlign w:val="bottom"/>
            <w:hideMark/>
          </w:tcPr>
          <w:p w14:paraId="36E8333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80%</w:t>
            </w:r>
          </w:p>
        </w:tc>
        <w:tc>
          <w:tcPr>
            <w:tcW w:w="1134" w:type="dxa"/>
            <w:shd w:val="clear" w:color="auto" w:fill="auto"/>
            <w:noWrap/>
            <w:vAlign w:val="bottom"/>
            <w:hideMark/>
          </w:tcPr>
          <w:p w14:paraId="0502B661"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955" w:type="dxa"/>
            <w:shd w:val="clear" w:color="auto" w:fill="auto"/>
            <w:noWrap/>
            <w:vAlign w:val="bottom"/>
            <w:hideMark/>
          </w:tcPr>
          <w:p w14:paraId="541B6D72"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30" w:type="dxa"/>
            <w:shd w:val="clear" w:color="auto" w:fill="auto"/>
            <w:noWrap/>
            <w:vAlign w:val="bottom"/>
            <w:hideMark/>
          </w:tcPr>
          <w:p w14:paraId="3B428FD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4</w:t>
            </w:r>
          </w:p>
        </w:tc>
        <w:tc>
          <w:tcPr>
            <w:tcW w:w="992" w:type="dxa"/>
            <w:shd w:val="clear" w:color="auto" w:fill="auto"/>
            <w:noWrap/>
            <w:vAlign w:val="bottom"/>
            <w:hideMark/>
          </w:tcPr>
          <w:p w14:paraId="03944A3A"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w:t>
            </w:r>
          </w:p>
        </w:tc>
        <w:tc>
          <w:tcPr>
            <w:tcW w:w="1064" w:type="dxa"/>
            <w:shd w:val="clear" w:color="auto" w:fill="auto"/>
            <w:noWrap/>
            <w:vAlign w:val="bottom"/>
            <w:hideMark/>
          </w:tcPr>
          <w:p w14:paraId="6AF04BDD"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3</w:t>
            </w:r>
          </w:p>
        </w:tc>
        <w:tc>
          <w:tcPr>
            <w:tcW w:w="993" w:type="dxa"/>
            <w:shd w:val="clear" w:color="auto" w:fill="auto"/>
            <w:noWrap/>
            <w:vAlign w:val="bottom"/>
            <w:hideMark/>
          </w:tcPr>
          <w:p w14:paraId="1F9B515A"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1061" w:type="dxa"/>
            <w:shd w:val="clear" w:color="auto" w:fill="auto"/>
            <w:noWrap/>
            <w:vAlign w:val="bottom"/>
            <w:hideMark/>
          </w:tcPr>
          <w:p w14:paraId="248CAB1C"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3</w:t>
            </w:r>
          </w:p>
        </w:tc>
        <w:tc>
          <w:tcPr>
            <w:tcW w:w="1009" w:type="dxa"/>
            <w:shd w:val="clear" w:color="auto" w:fill="auto"/>
            <w:noWrap/>
            <w:vAlign w:val="bottom"/>
            <w:hideMark/>
          </w:tcPr>
          <w:p w14:paraId="438D1A9A"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3%</w:t>
            </w:r>
          </w:p>
        </w:tc>
      </w:tr>
      <w:tr w:rsidR="003C5F7E" w:rsidRPr="0092349D" w14:paraId="1C1BA245" w14:textId="77777777" w:rsidTr="00415BA8">
        <w:trPr>
          <w:trHeight w:val="315"/>
        </w:trPr>
        <w:tc>
          <w:tcPr>
            <w:tcW w:w="1560" w:type="dxa"/>
            <w:shd w:val="clear" w:color="auto" w:fill="auto"/>
            <w:vAlign w:val="center"/>
            <w:hideMark/>
          </w:tcPr>
          <w:p w14:paraId="686CF32C"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41" w:history="1">
              <w:r w:rsidR="003C5F7E" w:rsidRPr="0092349D">
                <w:rPr>
                  <w:rFonts w:ascii="Calibri" w:eastAsia="Times New Roman" w:hAnsi="Calibri" w:cs="Times New Roman"/>
                  <w:color w:val="0000FF"/>
                  <w:sz w:val="18"/>
                  <w:szCs w:val="18"/>
                  <w:u w:val="single"/>
                </w:rPr>
                <w:t>BP</w:t>
              </w:r>
            </w:hyperlink>
          </w:p>
        </w:tc>
        <w:tc>
          <w:tcPr>
            <w:tcW w:w="1417" w:type="dxa"/>
            <w:shd w:val="clear" w:color="auto" w:fill="auto"/>
            <w:noWrap/>
            <w:vAlign w:val="bottom"/>
            <w:hideMark/>
          </w:tcPr>
          <w:p w14:paraId="36B9CE41"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65,486.00 </w:t>
            </w:r>
          </w:p>
        </w:tc>
        <w:tc>
          <w:tcPr>
            <w:tcW w:w="851" w:type="dxa"/>
            <w:shd w:val="clear" w:color="auto" w:fill="auto"/>
            <w:noWrap/>
            <w:vAlign w:val="bottom"/>
            <w:hideMark/>
          </w:tcPr>
          <w:p w14:paraId="112A6357"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50%</w:t>
            </w:r>
          </w:p>
        </w:tc>
        <w:tc>
          <w:tcPr>
            <w:tcW w:w="1276" w:type="dxa"/>
            <w:shd w:val="clear" w:color="auto" w:fill="auto"/>
            <w:noWrap/>
            <w:vAlign w:val="bottom"/>
            <w:hideMark/>
          </w:tcPr>
          <w:p w14:paraId="2231BE46"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65,075.00 </w:t>
            </w:r>
          </w:p>
        </w:tc>
        <w:tc>
          <w:tcPr>
            <w:tcW w:w="850" w:type="dxa"/>
            <w:shd w:val="clear" w:color="auto" w:fill="auto"/>
            <w:noWrap/>
            <w:vAlign w:val="bottom"/>
            <w:hideMark/>
          </w:tcPr>
          <w:p w14:paraId="695D49B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50%</w:t>
            </w:r>
          </w:p>
        </w:tc>
        <w:tc>
          <w:tcPr>
            <w:tcW w:w="1134" w:type="dxa"/>
            <w:shd w:val="clear" w:color="auto" w:fill="auto"/>
            <w:noWrap/>
            <w:vAlign w:val="bottom"/>
            <w:hideMark/>
          </w:tcPr>
          <w:p w14:paraId="3AE1B37E"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28</w:t>
            </w:r>
          </w:p>
        </w:tc>
        <w:tc>
          <w:tcPr>
            <w:tcW w:w="955" w:type="dxa"/>
            <w:shd w:val="clear" w:color="auto" w:fill="auto"/>
            <w:noWrap/>
            <w:vAlign w:val="bottom"/>
            <w:hideMark/>
          </w:tcPr>
          <w:p w14:paraId="7FAFC395"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6%</w:t>
            </w:r>
          </w:p>
        </w:tc>
        <w:tc>
          <w:tcPr>
            <w:tcW w:w="1030" w:type="dxa"/>
            <w:shd w:val="clear" w:color="auto" w:fill="auto"/>
            <w:noWrap/>
            <w:vAlign w:val="bottom"/>
            <w:hideMark/>
          </w:tcPr>
          <w:p w14:paraId="14EF3107"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21</w:t>
            </w:r>
          </w:p>
        </w:tc>
        <w:tc>
          <w:tcPr>
            <w:tcW w:w="992" w:type="dxa"/>
            <w:shd w:val="clear" w:color="auto" w:fill="auto"/>
            <w:noWrap/>
            <w:vAlign w:val="bottom"/>
            <w:hideMark/>
          </w:tcPr>
          <w:p w14:paraId="3738A3CC"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w:t>
            </w:r>
          </w:p>
        </w:tc>
        <w:tc>
          <w:tcPr>
            <w:tcW w:w="1064" w:type="dxa"/>
            <w:shd w:val="clear" w:color="auto" w:fill="auto"/>
            <w:noWrap/>
            <w:vAlign w:val="bottom"/>
            <w:hideMark/>
          </w:tcPr>
          <w:p w14:paraId="12F0A32D"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14</w:t>
            </w:r>
          </w:p>
        </w:tc>
        <w:tc>
          <w:tcPr>
            <w:tcW w:w="993" w:type="dxa"/>
            <w:shd w:val="clear" w:color="auto" w:fill="auto"/>
            <w:noWrap/>
            <w:vAlign w:val="bottom"/>
            <w:hideMark/>
          </w:tcPr>
          <w:p w14:paraId="34B0B59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14%</w:t>
            </w:r>
          </w:p>
        </w:tc>
        <w:tc>
          <w:tcPr>
            <w:tcW w:w="1061" w:type="dxa"/>
            <w:shd w:val="clear" w:color="auto" w:fill="auto"/>
            <w:noWrap/>
            <w:vAlign w:val="bottom"/>
            <w:hideMark/>
          </w:tcPr>
          <w:p w14:paraId="7A322256"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12</w:t>
            </w:r>
          </w:p>
        </w:tc>
        <w:tc>
          <w:tcPr>
            <w:tcW w:w="1009" w:type="dxa"/>
            <w:shd w:val="clear" w:color="auto" w:fill="auto"/>
            <w:noWrap/>
            <w:vAlign w:val="bottom"/>
            <w:hideMark/>
          </w:tcPr>
          <w:p w14:paraId="705C32F4"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12%</w:t>
            </w:r>
          </w:p>
        </w:tc>
      </w:tr>
      <w:tr w:rsidR="003C5F7E" w:rsidRPr="0092349D" w14:paraId="4BBFE464" w14:textId="77777777" w:rsidTr="00415BA8">
        <w:trPr>
          <w:trHeight w:val="315"/>
        </w:trPr>
        <w:tc>
          <w:tcPr>
            <w:tcW w:w="1560" w:type="dxa"/>
            <w:shd w:val="clear" w:color="auto" w:fill="auto"/>
            <w:vAlign w:val="center"/>
            <w:hideMark/>
          </w:tcPr>
          <w:p w14:paraId="6B2CECA2"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42" w:history="1">
              <w:proofErr w:type="spellStart"/>
              <w:r w:rsidR="003C5F7E" w:rsidRPr="0092349D">
                <w:rPr>
                  <w:rFonts w:ascii="Calibri" w:eastAsia="Times New Roman" w:hAnsi="Calibri" w:cs="Times New Roman"/>
                  <w:color w:val="0000FF"/>
                  <w:sz w:val="18"/>
                  <w:szCs w:val="18"/>
                  <w:u w:val="single"/>
                </w:rPr>
                <w:t>Marathon</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Oil</w:t>
              </w:r>
              <w:proofErr w:type="spellEnd"/>
            </w:hyperlink>
          </w:p>
        </w:tc>
        <w:tc>
          <w:tcPr>
            <w:tcW w:w="1417" w:type="dxa"/>
            <w:shd w:val="clear" w:color="auto" w:fill="auto"/>
            <w:noWrap/>
            <w:vAlign w:val="bottom"/>
            <w:hideMark/>
          </w:tcPr>
          <w:p w14:paraId="357EEC34"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10,025.00 </w:t>
            </w:r>
          </w:p>
        </w:tc>
        <w:tc>
          <w:tcPr>
            <w:tcW w:w="851" w:type="dxa"/>
            <w:shd w:val="clear" w:color="auto" w:fill="auto"/>
            <w:noWrap/>
            <w:vAlign w:val="bottom"/>
            <w:hideMark/>
          </w:tcPr>
          <w:p w14:paraId="6138495A"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31%</w:t>
            </w:r>
          </w:p>
        </w:tc>
        <w:tc>
          <w:tcPr>
            <w:tcW w:w="1276" w:type="dxa"/>
            <w:shd w:val="clear" w:color="auto" w:fill="auto"/>
            <w:noWrap/>
            <w:vAlign w:val="bottom"/>
            <w:hideMark/>
          </w:tcPr>
          <w:p w14:paraId="4762DFF4"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22,200.00 </w:t>
            </w:r>
          </w:p>
        </w:tc>
        <w:tc>
          <w:tcPr>
            <w:tcW w:w="850" w:type="dxa"/>
            <w:shd w:val="clear" w:color="auto" w:fill="auto"/>
            <w:noWrap/>
            <w:vAlign w:val="bottom"/>
            <w:hideMark/>
          </w:tcPr>
          <w:p w14:paraId="373680D0"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69%</w:t>
            </w:r>
          </w:p>
        </w:tc>
        <w:tc>
          <w:tcPr>
            <w:tcW w:w="1134" w:type="dxa"/>
            <w:shd w:val="clear" w:color="auto" w:fill="auto"/>
            <w:noWrap/>
            <w:vAlign w:val="bottom"/>
            <w:hideMark/>
          </w:tcPr>
          <w:p w14:paraId="40F877F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955" w:type="dxa"/>
            <w:shd w:val="clear" w:color="auto" w:fill="auto"/>
            <w:noWrap/>
            <w:vAlign w:val="bottom"/>
            <w:hideMark/>
          </w:tcPr>
          <w:p w14:paraId="1720093E"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030" w:type="dxa"/>
            <w:shd w:val="clear" w:color="auto" w:fill="auto"/>
            <w:noWrap/>
            <w:vAlign w:val="bottom"/>
            <w:hideMark/>
          </w:tcPr>
          <w:p w14:paraId="430F4B5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w:t>
            </w:r>
          </w:p>
        </w:tc>
        <w:tc>
          <w:tcPr>
            <w:tcW w:w="992" w:type="dxa"/>
            <w:shd w:val="clear" w:color="auto" w:fill="auto"/>
            <w:noWrap/>
            <w:vAlign w:val="bottom"/>
            <w:hideMark/>
          </w:tcPr>
          <w:p w14:paraId="3CC93A5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c>
          <w:tcPr>
            <w:tcW w:w="1064" w:type="dxa"/>
            <w:shd w:val="clear" w:color="auto" w:fill="auto"/>
            <w:noWrap/>
            <w:vAlign w:val="bottom"/>
            <w:hideMark/>
          </w:tcPr>
          <w:p w14:paraId="0ECF11BE"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2</w:t>
            </w:r>
          </w:p>
        </w:tc>
        <w:tc>
          <w:tcPr>
            <w:tcW w:w="993" w:type="dxa"/>
            <w:shd w:val="clear" w:color="auto" w:fill="auto"/>
            <w:noWrap/>
            <w:vAlign w:val="bottom"/>
            <w:hideMark/>
          </w:tcPr>
          <w:p w14:paraId="38E8511C"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2%</w:t>
            </w:r>
          </w:p>
        </w:tc>
        <w:tc>
          <w:tcPr>
            <w:tcW w:w="1061" w:type="dxa"/>
            <w:shd w:val="clear" w:color="auto" w:fill="auto"/>
            <w:noWrap/>
            <w:vAlign w:val="bottom"/>
            <w:hideMark/>
          </w:tcPr>
          <w:p w14:paraId="437C63A8"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c>
          <w:tcPr>
            <w:tcW w:w="1009" w:type="dxa"/>
            <w:shd w:val="clear" w:color="auto" w:fill="auto"/>
            <w:noWrap/>
            <w:vAlign w:val="bottom"/>
            <w:hideMark/>
          </w:tcPr>
          <w:p w14:paraId="1607FE9F"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r>
      <w:tr w:rsidR="003C5F7E" w:rsidRPr="0092349D" w14:paraId="0A70C56B" w14:textId="77777777" w:rsidTr="00415BA8">
        <w:trPr>
          <w:trHeight w:val="315"/>
        </w:trPr>
        <w:tc>
          <w:tcPr>
            <w:tcW w:w="1560" w:type="dxa"/>
            <w:shd w:val="clear" w:color="auto" w:fill="auto"/>
            <w:vAlign w:val="center"/>
            <w:hideMark/>
          </w:tcPr>
          <w:p w14:paraId="1BA9A6DF"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43" w:history="1">
              <w:proofErr w:type="spellStart"/>
              <w:r w:rsidR="003C5F7E" w:rsidRPr="0092349D">
                <w:rPr>
                  <w:rFonts w:ascii="Calibri" w:eastAsia="Times New Roman" w:hAnsi="Calibri" w:cs="Times New Roman"/>
                  <w:color w:val="0000FF"/>
                  <w:sz w:val="18"/>
                  <w:szCs w:val="18"/>
                  <w:u w:val="single"/>
                </w:rPr>
                <w:t>EnergySolutions</w:t>
              </w:r>
              <w:proofErr w:type="spellEnd"/>
              <w:r w:rsidR="003C5F7E" w:rsidRPr="0092349D">
                <w:rPr>
                  <w:rFonts w:ascii="Calibri" w:eastAsia="Times New Roman" w:hAnsi="Calibri" w:cs="Times New Roman"/>
                  <w:color w:val="0000FF"/>
                  <w:sz w:val="18"/>
                  <w:szCs w:val="18"/>
                  <w:u w:val="single"/>
                </w:rPr>
                <w:t xml:space="preserve"> </w:t>
              </w:r>
              <w:proofErr w:type="spellStart"/>
              <w:r w:rsidR="003C5F7E" w:rsidRPr="0092349D">
                <w:rPr>
                  <w:rFonts w:ascii="Calibri" w:eastAsia="Times New Roman" w:hAnsi="Calibri" w:cs="Times New Roman"/>
                  <w:color w:val="0000FF"/>
                  <w:sz w:val="18"/>
                  <w:szCs w:val="18"/>
                  <w:u w:val="single"/>
                </w:rPr>
                <w:t>Inc</w:t>
              </w:r>
              <w:proofErr w:type="spellEnd"/>
            </w:hyperlink>
          </w:p>
        </w:tc>
        <w:tc>
          <w:tcPr>
            <w:tcW w:w="1417" w:type="dxa"/>
            <w:shd w:val="clear" w:color="auto" w:fill="auto"/>
            <w:noWrap/>
            <w:vAlign w:val="bottom"/>
            <w:hideMark/>
          </w:tcPr>
          <w:p w14:paraId="56738AFB"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27,046.00 </w:t>
            </w:r>
          </w:p>
        </w:tc>
        <w:tc>
          <w:tcPr>
            <w:tcW w:w="851" w:type="dxa"/>
            <w:shd w:val="clear" w:color="auto" w:fill="auto"/>
            <w:noWrap/>
            <w:vAlign w:val="bottom"/>
            <w:hideMark/>
          </w:tcPr>
          <w:p w14:paraId="29A7B473"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12%</w:t>
            </w:r>
          </w:p>
        </w:tc>
        <w:tc>
          <w:tcPr>
            <w:tcW w:w="1276" w:type="dxa"/>
            <w:shd w:val="clear" w:color="auto" w:fill="auto"/>
            <w:noWrap/>
            <w:vAlign w:val="bottom"/>
            <w:hideMark/>
          </w:tcPr>
          <w:p w14:paraId="21C25D85"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205,950.00 </w:t>
            </w:r>
          </w:p>
        </w:tc>
        <w:tc>
          <w:tcPr>
            <w:tcW w:w="850" w:type="dxa"/>
            <w:shd w:val="clear" w:color="auto" w:fill="auto"/>
            <w:noWrap/>
            <w:vAlign w:val="bottom"/>
            <w:hideMark/>
          </w:tcPr>
          <w:p w14:paraId="388A849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88%</w:t>
            </w:r>
          </w:p>
        </w:tc>
        <w:tc>
          <w:tcPr>
            <w:tcW w:w="1134" w:type="dxa"/>
            <w:shd w:val="clear" w:color="auto" w:fill="auto"/>
            <w:noWrap/>
            <w:vAlign w:val="bottom"/>
            <w:hideMark/>
          </w:tcPr>
          <w:p w14:paraId="350C92EE"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5</w:t>
            </w:r>
          </w:p>
        </w:tc>
        <w:tc>
          <w:tcPr>
            <w:tcW w:w="955" w:type="dxa"/>
            <w:shd w:val="clear" w:color="auto" w:fill="auto"/>
            <w:noWrap/>
            <w:vAlign w:val="bottom"/>
            <w:hideMark/>
          </w:tcPr>
          <w:p w14:paraId="3E6D8FA6"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030" w:type="dxa"/>
            <w:shd w:val="clear" w:color="auto" w:fill="auto"/>
            <w:noWrap/>
            <w:vAlign w:val="bottom"/>
            <w:hideMark/>
          </w:tcPr>
          <w:p w14:paraId="0C2CAF52"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992" w:type="dxa"/>
            <w:shd w:val="clear" w:color="auto" w:fill="auto"/>
            <w:noWrap/>
            <w:vAlign w:val="bottom"/>
            <w:hideMark/>
          </w:tcPr>
          <w:p w14:paraId="294E925D"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c>
          <w:tcPr>
            <w:tcW w:w="1064" w:type="dxa"/>
            <w:shd w:val="clear" w:color="auto" w:fill="auto"/>
            <w:noWrap/>
            <w:vAlign w:val="bottom"/>
            <w:hideMark/>
          </w:tcPr>
          <w:p w14:paraId="4651CEC1"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4</w:t>
            </w:r>
          </w:p>
        </w:tc>
        <w:tc>
          <w:tcPr>
            <w:tcW w:w="993" w:type="dxa"/>
            <w:shd w:val="clear" w:color="auto" w:fill="auto"/>
            <w:noWrap/>
            <w:vAlign w:val="bottom"/>
            <w:hideMark/>
          </w:tcPr>
          <w:p w14:paraId="4B759B34"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4%</w:t>
            </w:r>
          </w:p>
        </w:tc>
        <w:tc>
          <w:tcPr>
            <w:tcW w:w="1061" w:type="dxa"/>
            <w:shd w:val="clear" w:color="auto" w:fill="auto"/>
            <w:noWrap/>
            <w:vAlign w:val="bottom"/>
            <w:hideMark/>
          </w:tcPr>
          <w:p w14:paraId="79CFF29A"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w:t>
            </w:r>
          </w:p>
        </w:tc>
        <w:tc>
          <w:tcPr>
            <w:tcW w:w="1009" w:type="dxa"/>
            <w:shd w:val="clear" w:color="auto" w:fill="auto"/>
            <w:noWrap/>
            <w:vAlign w:val="bottom"/>
            <w:hideMark/>
          </w:tcPr>
          <w:p w14:paraId="399B008C"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6%</w:t>
            </w:r>
          </w:p>
        </w:tc>
      </w:tr>
      <w:tr w:rsidR="003C5F7E" w:rsidRPr="0092349D" w14:paraId="6647FF15" w14:textId="77777777" w:rsidTr="00415BA8">
        <w:trPr>
          <w:trHeight w:val="315"/>
        </w:trPr>
        <w:tc>
          <w:tcPr>
            <w:tcW w:w="1560" w:type="dxa"/>
            <w:shd w:val="clear" w:color="auto" w:fill="auto"/>
            <w:vAlign w:val="center"/>
            <w:hideMark/>
          </w:tcPr>
          <w:p w14:paraId="23524315"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44" w:history="1">
              <w:r w:rsidR="003C5F7E" w:rsidRPr="0092349D">
                <w:rPr>
                  <w:rFonts w:ascii="Calibri" w:eastAsia="Times New Roman" w:hAnsi="Calibri" w:cs="Times New Roman"/>
                  <w:color w:val="0000FF"/>
                  <w:sz w:val="18"/>
                  <w:szCs w:val="18"/>
                  <w:u w:val="single"/>
                </w:rPr>
                <w:t xml:space="preserve">Sinclair </w:t>
              </w:r>
              <w:proofErr w:type="spellStart"/>
              <w:r w:rsidR="003C5F7E" w:rsidRPr="0092349D">
                <w:rPr>
                  <w:rFonts w:ascii="Calibri" w:eastAsia="Times New Roman" w:hAnsi="Calibri" w:cs="Times New Roman"/>
                  <w:color w:val="0000FF"/>
                  <w:sz w:val="18"/>
                  <w:szCs w:val="18"/>
                  <w:u w:val="single"/>
                </w:rPr>
                <w:t>Oil</w:t>
              </w:r>
              <w:proofErr w:type="spellEnd"/>
            </w:hyperlink>
          </w:p>
        </w:tc>
        <w:tc>
          <w:tcPr>
            <w:tcW w:w="1417" w:type="dxa"/>
            <w:shd w:val="clear" w:color="auto" w:fill="auto"/>
            <w:noWrap/>
            <w:vAlign w:val="bottom"/>
            <w:hideMark/>
          </w:tcPr>
          <w:p w14:paraId="25E452B9"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2,000.00 </w:t>
            </w:r>
          </w:p>
        </w:tc>
        <w:tc>
          <w:tcPr>
            <w:tcW w:w="851" w:type="dxa"/>
            <w:shd w:val="clear" w:color="auto" w:fill="auto"/>
            <w:noWrap/>
            <w:vAlign w:val="bottom"/>
            <w:hideMark/>
          </w:tcPr>
          <w:p w14:paraId="434651BB"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3%</w:t>
            </w:r>
          </w:p>
        </w:tc>
        <w:tc>
          <w:tcPr>
            <w:tcW w:w="1276" w:type="dxa"/>
            <w:shd w:val="clear" w:color="auto" w:fill="auto"/>
            <w:noWrap/>
            <w:vAlign w:val="bottom"/>
            <w:hideMark/>
          </w:tcPr>
          <w:p w14:paraId="7BBA5A8E"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58,000.00 </w:t>
            </w:r>
          </w:p>
        </w:tc>
        <w:tc>
          <w:tcPr>
            <w:tcW w:w="850" w:type="dxa"/>
            <w:shd w:val="clear" w:color="auto" w:fill="auto"/>
            <w:noWrap/>
            <w:vAlign w:val="bottom"/>
            <w:hideMark/>
          </w:tcPr>
          <w:p w14:paraId="373101CE"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97%</w:t>
            </w:r>
          </w:p>
        </w:tc>
        <w:tc>
          <w:tcPr>
            <w:tcW w:w="1134" w:type="dxa"/>
            <w:shd w:val="clear" w:color="auto" w:fill="auto"/>
            <w:noWrap/>
            <w:vAlign w:val="bottom"/>
            <w:hideMark/>
          </w:tcPr>
          <w:p w14:paraId="6E1F1E5D"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955" w:type="dxa"/>
            <w:shd w:val="clear" w:color="auto" w:fill="auto"/>
            <w:noWrap/>
            <w:vAlign w:val="bottom"/>
            <w:hideMark/>
          </w:tcPr>
          <w:p w14:paraId="3ADCD085"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30" w:type="dxa"/>
            <w:shd w:val="clear" w:color="auto" w:fill="auto"/>
            <w:noWrap/>
            <w:vAlign w:val="bottom"/>
            <w:hideMark/>
          </w:tcPr>
          <w:p w14:paraId="4438462C"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5</w:t>
            </w:r>
          </w:p>
        </w:tc>
        <w:tc>
          <w:tcPr>
            <w:tcW w:w="992" w:type="dxa"/>
            <w:shd w:val="clear" w:color="auto" w:fill="auto"/>
            <w:noWrap/>
            <w:vAlign w:val="bottom"/>
            <w:hideMark/>
          </w:tcPr>
          <w:p w14:paraId="3DE8E73E"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w:t>
            </w:r>
          </w:p>
        </w:tc>
        <w:tc>
          <w:tcPr>
            <w:tcW w:w="1064" w:type="dxa"/>
            <w:shd w:val="clear" w:color="auto" w:fill="auto"/>
            <w:noWrap/>
            <w:vAlign w:val="bottom"/>
            <w:hideMark/>
          </w:tcPr>
          <w:p w14:paraId="2AFC0686"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0</w:t>
            </w:r>
          </w:p>
        </w:tc>
        <w:tc>
          <w:tcPr>
            <w:tcW w:w="993" w:type="dxa"/>
            <w:shd w:val="clear" w:color="auto" w:fill="auto"/>
            <w:noWrap/>
            <w:vAlign w:val="bottom"/>
            <w:hideMark/>
          </w:tcPr>
          <w:p w14:paraId="219303B8"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61" w:type="dxa"/>
            <w:shd w:val="clear" w:color="auto" w:fill="auto"/>
            <w:noWrap/>
            <w:vAlign w:val="bottom"/>
            <w:hideMark/>
          </w:tcPr>
          <w:p w14:paraId="200276CC"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w:t>
            </w:r>
          </w:p>
        </w:tc>
        <w:tc>
          <w:tcPr>
            <w:tcW w:w="1009" w:type="dxa"/>
            <w:shd w:val="clear" w:color="auto" w:fill="auto"/>
            <w:noWrap/>
            <w:vAlign w:val="bottom"/>
            <w:hideMark/>
          </w:tcPr>
          <w:p w14:paraId="1994387E"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8%</w:t>
            </w:r>
          </w:p>
        </w:tc>
      </w:tr>
      <w:tr w:rsidR="003C5F7E" w:rsidRPr="0092349D" w14:paraId="7B0B88F8" w14:textId="77777777" w:rsidTr="00415BA8">
        <w:trPr>
          <w:trHeight w:val="315"/>
        </w:trPr>
        <w:tc>
          <w:tcPr>
            <w:tcW w:w="1560" w:type="dxa"/>
            <w:shd w:val="clear" w:color="auto" w:fill="auto"/>
            <w:vAlign w:val="center"/>
            <w:hideMark/>
          </w:tcPr>
          <w:p w14:paraId="7311A324" w14:textId="77777777" w:rsidR="003C5F7E" w:rsidRPr="0092349D" w:rsidRDefault="008029AF" w:rsidP="00415BA8">
            <w:pPr>
              <w:spacing w:after="0" w:line="240" w:lineRule="auto"/>
              <w:rPr>
                <w:rFonts w:ascii="Calibri" w:eastAsia="Times New Roman" w:hAnsi="Calibri" w:cs="Times New Roman"/>
                <w:color w:val="0000FF"/>
                <w:sz w:val="18"/>
                <w:szCs w:val="18"/>
                <w:u w:val="single"/>
              </w:rPr>
            </w:pPr>
            <w:hyperlink r:id="rId45" w:history="1">
              <w:r w:rsidR="003C5F7E" w:rsidRPr="0092349D">
                <w:rPr>
                  <w:rFonts w:ascii="Calibri" w:eastAsia="Times New Roman" w:hAnsi="Calibri" w:cs="Times New Roman"/>
                  <w:color w:val="0000FF"/>
                  <w:sz w:val="18"/>
                  <w:szCs w:val="18"/>
                  <w:u w:val="single"/>
                </w:rPr>
                <w:t xml:space="preserve">Murray </w:t>
              </w:r>
              <w:proofErr w:type="spellStart"/>
              <w:r w:rsidR="003C5F7E" w:rsidRPr="0092349D">
                <w:rPr>
                  <w:rFonts w:ascii="Calibri" w:eastAsia="Times New Roman" w:hAnsi="Calibri" w:cs="Times New Roman"/>
                  <w:color w:val="0000FF"/>
                  <w:sz w:val="18"/>
                  <w:szCs w:val="18"/>
                  <w:u w:val="single"/>
                </w:rPr>
                <w:t>Energy</w:t>
              </w:r>
              <w:proofErr w:type="spellEnd"/>
            </w:hyperlink>
          </w:p>
        </w:tc>
        <w:tc>
          <w:tcPr>
            <w:tcW w:w="1417" w:type="dxa"/>
            <w:shd w:val="clear" w:color="auto" w:fill="auto"/>
            <w:noWrap/>
            <w:vAlign w:val="bottom"/>
            <w:hideMark/>
          </w:tcPr>
          <w:p w14:paraId="06AC861B" w14:textId="77777777" w:rsidR="003C5F7E" w:rsidRPr="0092349D" w:rsidRDefault="003C5F7E" w:rsidP="00415BA8">
            <w:pPr>
              <w:spacing w:after="0" w:line="240" w:lineRule="auto"/>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 xml:space="preserve"> $          2,000.00 </w:t>
            </w:r>
          </w:p>
        </w:tc>
        <w:tc>
          <w:tcPr>
            <w:tcW w:w="851" w:type="dxa"/>
            <w:shd w:val="clear" w:color="auto" w:fill="auto"/>
            <w:noWrap/>
            <w:vAlign w:val="bottom"/>
            <w:hideMark/>
          </w:tcPr>
          <w:p w14:paraId="23A16E2F"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1%</w:t>
            </w:r>
          </w:p>
        </w:tc>
        <w:tc>
          <w:tcPr>
            <w:tcW w:w="1276" w:type="dxa"/>
            <w:shd w:val="clear" w:color="auto" w:fill="auto"/>
            <w:noWrap/>
            <w:vAlign w:val="bottom"/>
            <w:hideMark/>
          </w:tcPr>
          <w:p w14:paraId="030CD9A5" w14:textId="77777777" w:rsidR="003C5F7E" w:rsidRPr="0092349D" w:rsidRDefault="003C5F7E" w:rsidP="00415BA8">
            <w:pPr>
              <w:spacing w:after="0" w:line="240" w:lineRule="auto"/>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 xml:space="preserve"> $     173,873.00 </w:t>
            </w:r>
          </w:p>
        </w:tc>
        <w:tc>
          <w:tcPr>
            <w:tcW w:w="850" w:type="dxa"/>
            <w:shd w:val="clear" w:color="auto" w:fill="auto"/>
            <w:noWrap/>
            <w:vAlign w:val="bottom"/>
            <w:hideMark/>
          </w:tcPr>
          <w:p w14:paraId="1F0636E1"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99%</w:t>
            </w:r>
          </w:p>
        </w:tc>
        <w:tc>
          <w:tcPr>
            <w:tcW w:w="1134" w:type="dxa"/>
            <w:shd w:val="clear" w:color="auto" w:fill="auto"/>
            <w:noWrap/>
            <w:vAlign w:val="bottom"/>
            <w:hideMark/>
          </w:tcPr>
          <w:p w14:paraId="4C742876"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955" w:type="dxa"/>
            <w:shd w:val="clear" w:color="auto" w:fill="auto"/>
            <w:noWrap/>
            <w:vAlign w:val="bottom"/>
            <w:hideMark/>
          </w:tcPr>
          <w:p w14:paraId="1F4115BB"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30" w:type="dxa"/>
            <w:shd w:val="clear" w:color="auto" w:fill="auto"/>
            <w:noWrap/>
            <w:vAlign w:val="bottom"/>
            <w:hideMark/>
          </w:tcPr>
          <w:p w14:paraId="1EEB58C3"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10</w:t>
            </w:r>
          </w:p>
        </w:tc>
        <w:tc>
          <w:tcPr>
            <w:tcW w:w="992" w:type="dxa"/>
            <w:shd w:val="clear" w:color="auto" w:fill="auto"/>
            <w:noWrap/>
            <w:vAlign w:val="bottom"/>
            <w:hideMark/>
          </w:tcPr>
          <w:p w14:paraId="45B902A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2%</w:t>
            </w:r>
          </w:p>
        </w:tc>
        <w:tc>
          <w:tcPr>
            <w:tcW w:w="1064" w:type="dxa"/>
            <w:shd w:val="clear" w:color="auto" w:fill="auto"/>
            <w:noWrap/>
            <w:vAlign w:val="bottom"/>
            <w:hideMark/>
          </w:tcPr>
          <w:p w14:paraId="65A7F4B8" w14:textId="77777777" w:rsidR="003C5F7E" w:rsidRPr="0092349D" w:rsidRDefault="003C5F7E" w:rsidP="00415BA8">
            <w:pPr>
              <w:spacing w:after="0" w:line="240" w:lineRule="auto"/>
              <w:jc w:val="right"/>
              <w:rPr>
                <w:rFonts w:ascii="Calibri" w:eastAsia="Times New Roman" w:hAnsi="Calibri" w:cs="Times New Roman"/>
                <w:color w:val="000000"/>
                <w:sz w:val="18"/>
                <w:szCs w:val="18"/>
              </w:rPr>
            </w:pPr>
            <w:r w:rsidRPr="0092349D">
              <w:rPr>
                <w:rFonts w:ascii="Calibri" w:eastAsia="Times New Roman" w:hAnsi="Calibri" w:cs="Times New Roman"/>
                <w:color w:val="000000"/>
                <w:sz w:val="18"/>
                <w:szCs w:val="18"/>
              </w:rPr>
              <w:t>0</w:t>
            </w:r>
          </w:p>
        </w:tc>
        <w:tc>
          <w:tcPr>
            <w:tcW w:w="993" w:type="dxa"/>
            <w:shd w:val="clear" w:color="auto" w:fill="auto"/>
            <w:noWrap/>
            <w:vAlign w:val="bottom"/>
            <w:hideMark/>
          </w:tcPr>
          <w:p w14:paraId="77642330" w14:textId="77777777" w:rsidR="003C5F7E" w:rsidRPr="0092349D" w:rsidRDefault="003C5F7E" w:rsidP="00415BA8">
            <w:pPr>
              <w:spacing w:after="0" w:line="240" w:lineRule="auto"/>
              <w:jc w:val="right"/>
              <w:rPr>
                <w:rFonts w:ascii="Calibri" w:eastAsia="Times New Roman" w:hAnsi="Calibri" w:cs="Times New Roman"/>
                <w:color w:val="0070C0"/>
                <w:sz w:val="18"/>
                <w:szCs w:val="18"/>
              </w:rPr>
            </w:pPr>
            <w:r w:rsidRPr="0092349D">
              <w:rPr>
                <w:rFonts w:ascii="Calibri" w:eastAsia="Times New Roman" w:hAnsi="Calibri" w:cs="Times New Roman"/>
                <w:color w:val="0070C0"/>
                <w:sz w:val="18"/>
                <w:szCs w:val="18"/>
              </w:rPr>
              <w:t>0%</w:t>
            </w:r>
          </w:p>
        </w:tc>
        <w:tc>
          <w:tcPr>
            <w:tcW w:w="1061" w:type="dxa"/>
            <w:shd w:val="clear" w:color="auto" w:fill="auto"/>
            <w:noWrap/>
            <w:vAlign w:val="bottom"/>
            <w:hideMark/>
          </w:tcPr>
          <w:p w14:paraId="57A6DB4D"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c>
          <w:tcPr>
            <w:tcW w:w="1009" w:type="dxa"/>
            <w:shd w:val="clear" w:color="auto" w:fill="auto"/>
            <w:noWrap/>
            <w:vAlign w:val="bottom"/>
            <w:hideMark/>
          </w:tcPr>
          <w:p w14:paraId="37380459" w14:textId="77777777" w:rsidR="003C5F7E" w:rsidRPr="0092349D" w:rsidRDefault="003C5F7E" w:rsidP="00415BA8">
            <w:pPr>
              <w:spacing w:after="0" w:line="240" w:lineRule="auto"/>
              <w:jc w:val="right"/>
              <w:rPr>
                <w:rFonts w:ascii="Calibri" w:eastAsia="Times New Roman" w:hAnsi="Calibri" w:cs="Times New Roman"/>
                <w:color w:val="FF0000"/>
                <w:sz w:val="18"/>
                <w:szCs w:val="18"/>
              </w:rPr>
            </w:pPr>
            <w:r w:rsidRPr="0092349D">
              <w:rPr>
                <w:rFonts w:ascii="Calibri" w:eastAsia="Times New Roman" w:hAnsi="Calibri" w:cs="Times New Roman"/>
                <w:color w:val="FF0000"/>
                <w:sz w:val="18"/>
                <w:szCs w:val="18"/>
              </w:rPr>
              <w:t>9%</w:t>
            </w:r>
          </w:p>
        </w:tc>
      </w:tr>
      <w:tr w:rsidR="003C5F7E" w:rsidRPr="0092349D" w14:paraId="347DF2FA" w14:textId="77777777" w:rsidTr="00415BA8">
        <w:trPr>
          <w:trHeight w:val="300"/>
        </w:trPr>
        <w:tc>
          <w:tcPr>
            <w:tcW w:w="1560" w:type="dxa"/>
            <w:shd w:val="clear" w:color="auto" w:fill="auto"/>
            <w:noWrap/>
            <w:vAlign w:val="bottom"/>
            <w:hideMark/>
          </w:tcPr>
          <w:p w14:paraId="04928C9B" w14:textId="77777777" w:rsidR="003C5F7E" w:rsidRPr="0092349D" w:rsidRDefault="003C5F7E" w:rsidP="00415BA8">
            <w:pPr>
              <w:spacing w:after="0" w:line="240" w:lineRule="auto"/>
              <w:rPr>
                <w:rFonts w:ascii="Calibri" w:eastAsia="Times New Roman" w:hAnsi="Calibri" w:cs="Times New Roman"/>
                <w:b/>
                <w:bCs/>
                <w:color w:val="000000"/>
                <w:sz w:val="18"/>
                <w:szCs w:val="18"/>
              </w:rPr>
            </w:pPr>
            <w:r w:rsidRPr="0092349D">
              <w:rPr>
                <w:rFonts w:ascii="Calibri" w:eastAsia="Times New Roman" w:hAnsi="Calibri" w:cs="Times New Roman"/>
                <w:b/>
                <w:bCs/>
                <w:color w:val="000000"/>
                <w:sz w:val="18"/>
                <w:szCs w:val="18"/>
              </w:rPr>
              <w:t>Total</w:t>
            </w:r>
          </w:p>
        </w:tc>
        <w:tc>
          <w:tcPr>
            <w:tcW w:w="1417" w:type="dxa"/>
            <w:shd w:val="clear" w:color="auto" w:fill="auto"/>
            <w:noWrap/>
            <w:vAlign w:val="bottom"/>
            <w:hideMark/>
          </w:tcPr>
          <w:p w14:paraId="0528C930" w14:textId="77777777" w:rsidR="003C5F7E" w:rsidRPr="0092349D" w:rsidRDefault="003C5F7E" w:rsidP="00415BA8">
            <w:pPr>
              <w:spacing w:after="0" w:line="240" w:lineRule="auto"/>
              <w:rPr>
                <w:rFonts w:ascii="Calibri" w:eastAsia="Times New Roman" w:hAnsi="Calibri" w:cs="Times New Roman"/>
                <w:b/>
                <w:bCs/>
                <w:color w:val="0070C0"/>
                <w:sz w:val="18"/>
                <w:szCs w:val="18"/>
              </w:rPr>
            </w:pPr>
            <w:r w:rsidRPr="0092349D">
              <w:rPr>
                <w:rFonts w:ascii="Calibri" w:eastAsia="Times New Roman" w:hAnsi="Calibri" w:cs="Times New Roman"/>
                <w:b/>
                <w:bCs/>
                <w:color w:val="0070C0"/>
                <w:sz w:val="18"/>
                <w:szCs w:val="18"/>
              </w:rPr>
              <w:t xml:space="preserve"> $  1,299,497.00 </w:t>
            </w:r>
          </w:p>
        </w:tc>
        <w:tc>
          <w:tcPr>
            <w:tcW w:w="851" w:type="dxa"/>
            <w:shd w:val="clear" w:color="auto" w:fill="auto"/>
            <w:noWrap/>
            <w:vAlign w:val="bottom"/>
            <w:hideMark/>
          </w:tcPr>
          <w:p w14:paraId="08BAF6BB" w14:textId="77777777" w:rsidR="003C5F7E" w:rsidRPr="0092349D" w:rsidRDefault="003C5F7E" w:rsidP="00415BA8">
            <w:pPr>
              <w:spacing w:after="0" w:line="240" w:lineRule="auto"/>
              <w:jc w:val="right"/>
              <w:rPr>
                <w:rFonts w:ascii="Calibri" w:eastAsia="Times New Roman" w:hAnsi="Calibri" w:cs="Times New Roman"/>
                <w:b/>
                <w:bCs/>
                <w:color w:val="0070C0"/>
                <w:sz w:val="18"/>
                <w:szCs w:val="18"/>
              </w:rPr>
            </w:pPr>
            <w:r w:rsidRPr="0092349D">
              <w:rPr>
                <w:rFonts w:ascii="Calibri" w:eastAsia="Times New Roman" w:hAnsi="Calibri" w:cs="Times New Roman"/>
                <w:b/>
                <w:bCs/>
                <w:color w:val="0070C0"/>
                <w:sz w:val="18"/>
                <w:szCs w:val="18"/>
              </w:rPr>
              <w:t>23%</w:t>
            </w:r>
          </w:p>
        </w:tc>
        <w:tc>
          <w:tcPr>
            <w:tcW w:w="1276" w:type="dxa"/>
            <w:shd w:val="clear" w:color="auto" w:fill="auto"/>
            <w:noWrap/>
            <w:vAlign w:val="bottom"/>
            <w:hideMark/>
          </w:tcPr>
          <w:p w14:paraId="07981192" w14:textId="77777777" w:rsidR="003C5F7E" w:rsidRPr="0092349D" w:rsidRDefault="003C5F7E" w:rsidP="00415BA8">
            <w:pPr>
              <w:spacing w:after="0" w:line="240" w:lineRule="auto"/>
              <w:rPr>
                <w:rFonts w:ascii="Calibri" w:eastAsia="Times New Roman" w:hAnsi="Calibri" w:cs="Times New Roman"/>
                <w:b/>
                <w:bCs/>
                <w:color w:val="FF0000"/>
                <w:sz w:val="18"/>
                <w:szCs w:val="18"/>
              </w:rPr>
            </w:pPr>
            <w:r w:rsidRPr="0092349D">
              <w:rPr>
                <w:rFonts w:ascii="Calibri" w:eastAsia="Times New Roman" w:hAnsi="Calibri" w:cs="Times New Roman"/>
                <w:b/>
                <w:bCs/>
                <w:color w:val="FF0000"/>
                <w:sz w:val="18"/>
                <w:szCs w:val="18"/>
              </w:rPr>
              <w:t xml:space="preserve"> $  4,336,843.00 </w:t>
            </w:r>
          </w:p>
        </w:tc>
        <w:tc>
          <w:tcPr>
            <w:tcW w:w="850" w:type="dxa"/>
            <w:shd w:val="clear" w:color="auto" w:fill="auto"/>
            <w:noWrap/>
            <w:vAlign w:val="bottom"/>
            <w:hideMark/>
          </w:tcPr>
          <w:p w14:paraId="6FE6B2E7" w14:textId="77777777" w:rsidR="003C5F7E" w:rsidRPr="0092349D" w:rsidRDefault="003C5F7E" w:rsidP="00415BA8">
            <w:pPr>
              <w:spacing w:after="0" w:line="240" w:lineRule="auto"/>
              <w:jc w:val="right"/>
              <w:rPr>
                <w:rFonts w:ascii="Calibri" w:eastAsia="Times New Roman" w:hAnsi="Calibri" w:cs="Times New Roman"/>
                <w:b/>
                <w:bCs/>
                <w:color w:val="FF0000"/>
                <w:sz w:val="18"/>
                <w:szCs w:val="18"/>
              </w:rPr>
            </w:pPr>
            <w:r w:rsidRPr="0092349D">
              <w:rPr>
                <w:rFonts w:ascii="Calibri" w:eastAsia="Times New Roman" w:hAnsi="Calibri" w:cs="Times New Roman"/>
                <w:b/>
                <w:bCs/>
                <w:color w:val="FF0000"/>
                <w:sz w:val="18"/>
                <w:szCs w:val="18"/>
              </w:rPr>
              <w:t>77%</w:t>
            </w:r>
          </w:p>
        </w:tc>
        <w:tc>
          <w:tcPr>
            <w:tcW w:w="1134" w:type="dxa"/>
            <w:shd w:val="clear" w:color="auto" w:fill="auto"/>
            <w:noWrap/>
            <w:vAlign w:val="bottom"/>
            <w:hideMark/>
          </w:tcPr>
          <w:p w14:paraId="006A2FD9" w14:textId="77777777" w:rsidR="003C5F7E" w:rsidRPr="0092349D" w:rsidRDefault="003C5F7E" w:rsidP="00415BA8">
            <w:pPr>
              <w:spacing w:after="0" w:line="240" w:lineRule="auto"/>
              <w:jc w:val="right"/>
              <w:rPr>
                <w:rFonts w:ascii="Calibri" w:eastAsia="Times New Roman" w:hAnsi="Calibri" w:cs="Times New Roman"/>
                <w:b/>
                <w:bCs/>
                <w:color w:val="0070C0"/>
                <w:sz w:val="18"/>
                <w:szCs w:val="18"/>
              </w:rPr>
            </w:pPr>
            <w:r w:rsidRPr="0092349D">
              <w:rPr>
                <w:rFonts w:ascii="Calibri" w:eastAsia="Times New Roman" w:hAnsi="Calibri" w:cs="Times New Roman"/>
                <w:b/>
                <w:bCs/>
                <w:color w:val="0070C0"/>
                <w:sz w:val="18"/>
                <w:szCs w:val="18"/>
              </w:rPr>
              <w:t>228</w:t>
            </w:r>
          </w:p>
        </w:tc>
        <w:tc>
          <w:tcPr>
            <w:tcW w:w="955" w:type="dxa"/>
            <w:shd w:val="clear" w:color="auto" w:fill="auto"/>
            <w:noWrap/>
            <w:vAlign w:val="bottom"/>
            <w:hideMark/>
          </w:tcPr>
          <w:p w14:paraId="04BA48EA" w14:textId="77777777" w:rsidR="003C5F7E" w:rsidRPr="0092349D" w:rsidRDefault="003C5F7E" w:rsidP="00415BA8">
            <w:pPr>
              <w:spacing w:after="0" w:line="240" w:lineRule="auto"/>
              <w:jc w:val="right"/>
              <w:rPr>
                <w:rFonts w:ascii="Calibri" w:eastAsia="Times New Roman" w:hAnsi="Calibri" w:cs="Times New Roman"/>
                <w:b/>
                <w:bCs/>
                <w:color w:val="0070C0"/>
                <w:sz w:val="18"/>
                <w:szCs w:val="18"/>
              </w:rPr>
            </w:pPr>
            <w:r w:rsidRPr="0092349D">
              <w:rPr>
                <w:rFonts w:ascii="Calibri" w:eastAsia="Times New Roman" w:hAnsi="Calibri" w:cs="Times New Roman"/>
                <w:b/>
                <w:bCs/>
                <w:color w:val="0070C0"/>
                <w:sz w:val="18"/>
                <w:szCs w:val="18"/>
              </w:rPr>
              <w:t>27%</w:t>
            </w:r>
          </w:p>
        </w:tc>
        <w:tc>
          <w:tcPr>
            <w:tcW w:w="1030" w:type="dxa"/>
            <w:shd w:val="clear" w:color="auto" w:fill="auto"/>
            <w:noWrap/>
            <w:vAlign w:val="bottom"/>
            <w:hideMark/>
          </w:tcPr>
          <w:p w14:paraId="798BEB82" w14:textId="77777777" w:rsidR="003C5F7E" w:rsidRPr="0092349D" w:rsidRDefault="003C5F7E" w:rsidP="00415BA8">
            <w:pPr>
              <w:spacing w:after="0" w:line="240" w:lineRule="auto"/>
              <w:jc w:val="right"/>
              <w:rPr>
                <w:rFonts w:ascii="Calibri" w:eastAsia="Times New Roman" w:hAnsi="Calibri" w:cs="Times New Roman"/>
                <w:b/>
                <w:bCs/>
                <w:color w:val="FF0000"/>
                <w:sz w:val="18"/>
                <w:szCs w:val="18"/>
              </w:rPr>
            </w:pPr>
            <w:r w:rsidRPr="0092349D">
              <w:rPr>
                <w:rFonts w:ascii="Calibri" w:eastAsia="Times New Roman" w:hAnsi="Calibri" w:cs="Times New Roman"/>
                <w:b/>
                <w:bCs/>
                <w:color w:val="FF0000"/>
                <w:sz w:val="18"/>
                <w:szCs w:val="18"/>
              </w:rPr>
              <w:t>615</w:t>
            </w:r>
          </w:p>
        </w:tc>
        <w:tc>
          <w:tcPr>
            <w:tcW w:w="992" w:type="dxa"/>
            <w:shd w:val="clear" w:color="auto" w:fill="auto"/>
            <w:noWrap/>
            <w:vAlign w:val="bottom"/>
            <w:hideMark/>
          </w:tcPr>
          <w:p w14:paraId="07D6CFE7" w14:textId="77777777" w:rsidR="003C5F7E" w:rsidRPr="0092349D" w:rsidRDefault="003C5F7E" w:rsidP="00415BA8">
            <w:pPr>
              <w:spacing w:after="0" w:line="240" w:lineRule="auto"/>
              <w:jc w:val="right"/>
              <w:rPr>
                <w:rFonts w:ascii="Calibri" w:eastAsia="Times New Roman" w:hAnsi="Calibri" w:cs="Times New Roman"/>
                <w:b/>
                <w:bCs/>
                <w:color w:val="FF0000"/>
                <w:sz w:val="18"/>
                <w:szCs w:val="18"/>
              </w:rPr>
            </w:pPr>
            <w:r w:rsidRPr="0092349D">
              <w:rPr>
                <w:rFonts w:ascii="Calibri" w:eastAsia="Times New Roman" w:hAnsi="Calibri" w:cs="Times New Roman"/>
                <w:b/>
                <w:bCs/>
                <w:color w:val="FF0000"/>
                <w:sz w:val="18"/>
                <w:szCs w:val="18"/>
              </w:rPr>
              <w:t>73%</w:t>
            </w:r>
          </w:p>
        </w:tc>
        <w:tc>
          <w:tcPr>
            <w:tcW w:w="1064" w:type="dxa"/>
            <w:shd w:val="clear" w:color="auto" w:fill="auto"/>
            <w:noWrap/>
            <w:vAlign w:val="bottom"/>
            <w:hideMark/>
          </w:tcPr>
          <w:p w14:paraId="56F273E9" w14:textId="77777777" w:rsidR="003C5F7E" w:rsidRPr="0092349D" w:rsidRDefault="003C5F7E" w:rsidP="00415BA8">
            <w:pPr>
              <w:spacing w:after="0" w:line="240" w:lineRule="auto"/>
              <w:jc w:val="right"/>
              <w:rPr>
                <w:rFonts w:ascii="Calibri" w:eastAsia="Times New Roman" w:hAnsi="Calibri" w:cs="Times New Roman"/>
                <w:b/>
                <w:bCs/>
                <w:color w:val="0070C0"/>
                <w:sz w:val="18"/>
                <w:szCs w:val="18"/>
              </w:rPr>
            </w:pPr>
            <w:r w:rsidRPr="0092349D">
              <w:rPr>
                <w:rFonts w:ascii="Calibri" w:eastAsia="Times New Roman" w:hAnsi="Calibri" w:cs="Times New Roman"/>
                <w:b/>
                <w:bCs/>
                <w:color w:val="0070C0"/>
                <w:sz w:val="18"/>
                <w:szCs w:val="18"/>
              </w:rPr>
              <w:t>120</w:t>
            </w:r>
          </w:p>
        </w:tc>
        <w:tc>
          <w:tcPr>
            <w:tcW w:w="993" w:type="dxa"/>
            <w:shd w:val="clear" w:color="auto" w:fill="auto"/>
            <w:noWrap/>
            <w:vAlign w:val="bottom"/>
            <w:hideMark/>
          </w:tcPr>
          <w:p w14:paraId="2E5584D1" w14:textId="77777777" w:rsidR="003C5F7E" w:rsidRPr="0092349D" w:rsidRDefault="003C5F7E" w:rsidP="00415BA8">
            <w:pPr>
              <w:spacing w:after="0" w:line="240" w:lineRule="auto"/>
              <w:jc w:val="right"/>
              <w:rPr>
                <w:rFonts w:ascii="Calibri" w:eastAsia="Times New Roman" w:hAnsi="Calibri" w:cs="Times New Roman"/>
                <w:b/>
                <w:bCs/>
                <w:color w:val="0070C0"/>
                <w:sz w:val="18"/>
                <w:szCs w:val="18"/>
              </w:rPr>
            </w:pPr>
            <w:r w:rsidRPr="0092349D">
              <w:rPr>
                <w:rFonts w:ascii="Calibri" w:eastAsia="Times New Roman" w:hAnsi="Calibri" w:cs="Times New Roman"/>
                <w:b/>
                <w:bCs/>
                <w:color w:val="0070C0"/>
                <w:sz w:val="18"/>
                <w:szCs w:val="18"/>
              </w:rPr>
              <w:t>39%</w:t>
            </w:r>
          </w:p>
        </w:tc>
        <w:tc>
          <w:tcPr>
            <w:tcW w:w="1061" w:type="dxa"/>
            <w:shd w:val="clear" w:color="auto" w:fill="auto"/>
            <w:noWrap/>
            <w:vAlign w:val="bottom"/>
            <w:hideMark/>
          </w:tcPr>
          <w:p w14:paraId="21D5113B" w14:textId="77777777" w:rsidR="003C5F7E" w:rsidRPr="0092349D" w:rsidRDefault="003C5F7E" w:rsidP="00415BA8">
            <w:pPr>
              <w:spacing w:after="0" w:line="240" w:lineRule="auto"/>
              <w:jc w:val="right"/>
              <w:rPr>
                <w:rFonts w:ascii="Calibri" w:eastAsia="Times New Roman" w:hAnsi="Calibri" w:cs="Times New Roman"/>
                <w:b/>
                <w:bCs/>
                <w:color w:val="FF0000"/>
                <w:sz w:val="18"/>
                <w:szCs w:val="18"/>
              </w:rPr>
            </w:pPr>
            <w:r w:rsidRPr="0092349D">
              <w:rPr>
                <w:rFonts w:ascii="Calibri" w:eastAsia="Times New Roman" w:hAnsi="Calibri" w:cs="Times New Roman"/>
                <w:b/>
                <w:bCs/>
                <w:color w:val="FF0000"/>
                <w:sz w:val="18"/>
                <w:szCs w:val="18"/>
              </w:rPr>
              <w:t>188</w:t>
            </w:r>
          </w:p>
        </w:tc>
        <w:tc>
          <w:tcPr>
            <w:tcW w:w="1009" w:type="dxa"/>
            <w:shd w:val="clear" w:color="auto" w:fill="auto"/>
            <w:noWrap/>
            <w:vAlign w:val="bottom"/>
            <w:hideMark/>
          </w:tcPr>
          <w:p w14:paraId="0602CCF8" w14:textId="77777777" w:rsidR="003C5F7E" w:rsidRPr="0092349D" w:rsidRDefault="003C5F7E" w:rsidP="00415BA8">
            <w:pPr>
              <w:spacing w:after="0" w:line="240" w:lineRule="auto"/>
              <w:jc w:val="right"/>
              <w:rPr>
                <w:rFonts w:ascii="Calibri" w:eastAsia="Times New Roman" w:hAnsi="Calibri" w:cs="Times New Roman"/>
                <w:b/>
                <w:bCs/>
                <w:color w:val="FF0000"/>
                <w:sz w:val="18"/>
                <w:szCs w:val="18"/>
              </w:rPr>
            </w:pPr>
            <w:r w:rsidRPr="0092349D">
              <w:rPr>
                <w:rFonts w:ascii="Calibri" w:eastAsia="Times New Roman" w:hAnsi="Calibri" w:cs="Times New Roman"/>
                <w:b/>
                <w:bCs/>
                <w:color w:val="FF0000"/>
                <w:sz w:val="18"/>
                <w:szCs w:val="18"/>
              </w:rPr>
              <w:t>61%</w:t>
            </w:r>
          </w:p>
        </w:tc>
      </w:tr>
    </w:tbl>
    <w:p w14:paraId="07E114BA" w14:textId="29D9CB47" w:rsidR="003C5F7E" w:rsidRDefault="003C5F7E" w:rsidP="00322A56"/>
    <w:p w14:paraId="0DEBA31F" w14:textId="77777777" w:rsidR="00AB27E6" w:rsidRPr="00AB27E6" w:rsidRDefault="00AB27E6" w:rsidP="00AB27E6">
      <w:pPr>
        <w:adjustRightInd w:val="0"/>
        <w:ind w:left="709" w:hanging="709"/>
        <w:rPr>
          <w:rFonts w:ascii="Arial" w:hAnsi="Arial" w:cs="Arial"/>
          <w:lang w:val="en-US"/>
        </w:rPr>
      </w:pPr>
      <w:r w:rsidRPr="00AB27E6">
        <w:rPr>
          <w:rFonts w:ascii="Arial" w:hAnsi="Arial" w:cs="Arial"/>
          <w:lang w:val="en-US"/>
        </w:rPr>
        <w:t>(Civic Impulse, 2017) (Center for Responsive Politics, 2017)</w:t>
      </w:r>
    </w:p>
    <w:p w14:paraId="37AF9B4E" w14:textId="77777777" w:rsidR="0047512E" w:rsidRPr="00AB27E6" w:rsidRDefault="0047512E" w:rsidP="00322A56">
      <w:pPr>
        <w:rPr>
          <w:lang w:val="en-US"/>
        </w:rPr>
        <w:sectPr w:rsidR="0047512E" w:rsidRPr="00AB27E6" w:rsidSect="003C5F7E">
          <w:pgSz w:w="15840" w:h="12240" w:orient="landscape"/>
          <w:pgMar w:top="1701" w:right="1417" w:bottom="1701" w:left="1417" w:header="708" w:footer="708" w:gutter="0"/>
          <w:cols w:space="708"/>
          <w:docGrid w:linePitch="360"/>
        </w:sectPr>
      </w:pPr>
    </w:p>
    <w:p w14:paraId="475CD559" w14:textId="77777777" w:rsidR="00EE5260" w:rsidRPr="00B31FDC" w:rsidRDefault="00EE5260" w:rsidP="00B31FDC">
      <w:pPr>
        <w:pStyle w:val="Ttulo1"/>
        <w:spacing w:after="240"/>
        <w:rPr>
          <w:color w:val="000000" w:themeColor="text1"/>
        </w:rPr>
      </w:pPr>
      <w:bookmarkStart w:id="37" w:name="_Toc499918310"/>
      <w:r w:rsidRPr="00B31FDC">
        <w:rPr>
          <w:color w:val="000000" w:themeColor="text1"/>
        </w:rPr>
        <w:lastRenderedPageBreak/>
        <w:t>Conclusiones</w:t>
      </w:r>
      <w:bookmarkEnd w:id="37"/>
    </w:p>
    <w:p w14:paraId="7EA99808" w14:textId="77777777" w:rsidR="004F5510" w:rsidRPr="004948F7" w:rsidRDefault="004F5510" w:rsidP="004F5510">
      <w:pPr>
        <w:spacing w:line="360" w:lineRule="auto"/>
        <w:rPr>
          <w:rFonts w:ascii="Arial" w:hAnsi="Arial" w:cs="Arial"/>
        </w:rPr>
      </w:pPr>
      <w:r w:rsidRPr="004948F7">
        <w:rPr>
          <w:rFonts w:ascii="Arial" w:hAnsi="Arial" w:cs="Arial"/>
        </w:rPr>
        <w:t xml:space="preserve">En el </w:t>
      </w:r>
      <w:r>
        <w:rPr>
          <w:rFonts w:ascii="Arial" w:hAnsi="Arial" w:cs="Arial"/>
        </w:rPr>
        <w:t>marco teórico</w:t>
      </w:r>
      <w:r w:rsidRPr="004948F7">
        <w:rPr>
          <w:rFonts w:ascii="Arial" w:hAnsi="Arial" w:cs="Arial"/>
        </w:rPr>
        <w:t xml:space="preserve"> se abordaron los conceptos  de la teoría neorrealista como el concepto de anarquía, poder y seguridad. Conceptos clave para entender la búsqueda de la seguridad energética nacional y que sirven como base para la definición de los ideales de la seguridad nacional.</w:t>
      </w:r>
    </w:p>
    <w:p w14:paraId="4B3A7779" w14:textId="77777777" w:rsidR="004F5510" w:rsidRPr="004948F7" w:rsidRDefault="004F5510" w:rsidP="004F5510">
      <w:pPr>
        <w:spacing w:line="360" w:lineRule="auto"/>
        <w:rPr>
          <w:rFonts w:ascii="Arial" w:hAnsi="Arial" w:cs="Arial"/>
        </w:rPr>
      </w:pPr>
      <w:r w:rsidRPr="004948F7">
        <w:rPr>
          <w:rFonts w:ascii="Arial" w:hAnsi="Arial" w:cs="Arial"/>
        </w:rPr>
        <w:t>En un sistema internacional anárquico, la forma neorrealista de garantizar la supervivencia es mediante la implementación de políticas al interior que puedan posicionar al Estado con mayores capacidades sobre otros; de esta manera, proyectar poder en el sistema internacional.</w:t>
      </w:r>
    </w:p>
    <w:p w14:paraId="1D062D82" w14:textId="77777777" w:rsidR="004F5510" w:rsidRPr="004948F7" w:rsidRDefault="004F5510" w:rsidP="004F5510">
      <w:pPr>
        <w:spacing w:line="360" w:lineRule="auto"/>
        <w:rPr>
          <w:rFonts w:ascii="Arial" w:hAnsi="Arial" w:cs="Arial"/>
        </w:rPr>
      </w:pPr>
      <w:r w:rsidRPr="004948F7">
        <w:rPr>
          <w:rFonts w:ascii="Arial" w:hAnsi="Arial" w:cs="Arial"/>
        </w:rPr>
        <w:t xml:space="preserve">El poder, para el neorrealismo es la forma de obtener seguridad de supervivencia física, aunque en ocasiones, el poder es el medio y el fin. </w:t>
      </w:r>
    </w:p>
    <w:p w14:paraId="110C91D2" w14:textId="77777777" w:rsidR="004F5510" w:rsidRPr="004948F7" w:rsidRDefault="004F5510" w:rsidP="004F5510">
      <w:pPr>
        <w:spacing w:line="360" w:lineRule="auto"/>
        <w:rPr>
          <w:rFonts w:ascii="Arial" w:hAnsi="Arial" w:cs="Arial"/>
        </w:rPr>
      </w:pPr>
      <w:r w:rsidRPr="004948F7">
        <w:rPr>
          <w:rFonts w:ascii="Arial" w:hAnsi="Arial" w:cs="Arial"/>
        </w:rPr>
        <w:t xml:space="preserve">El desarrollo de capacidades como el desarrollo económico o el desarrollo de diversas industrias incrementan el poderío económico o político y la sensación de seguridad. </w:t>
      </w:r>
    </w:p>
    <w:p w14:paraId="2A42E49B" w14:textId="77777777" w:rsidR="004F5510" w:rsidRDefault="004F5510" w:rsidP="004F5510">
      <w:pPr>
        <w:spacing w:line="360" w:lineRule="auto"/>
        <w:rPr>
          <w:rFonts w:ascii="Arial" w:hAnsi="Arial" w:cs="Arial"/>
        </w:rPr>
      </w:pPr>
      <w:r w:rsidRPr="004948F7">
        <w:rPr>
          <w:rFonts w:ascii="Arial" w:hAnsi="Arial" w:cs="Arial"/>
        </w:rPr>
        <w:t xml:space="preserve">El estado como ente unitario deja claro que en la búsqueda de esta seguridad debe realizar acciones que limiten a estados externos para la obtención de recursos propios. Pero al ser los recursos energéticos mundiales limitados o  difíciles de obtener debido a que los costos económicos, políticos o sociales son más altos, se ve en la necesidad de establecer acciones hacia su interior. Tal es el caso de Reporte </w:t>
      </w:r>
      <w:proofErr w:type="spellStart"/>
      <w:r w:rsidRPr="004948F7">
        <w:rPr>
          <w:rFonts w:ascii="Arial" w:hAnsi="Arial" w:cs="Arial"/>
        </w:rPr>
        <w:t>Cheney</w:t>
      </w:r>
      <w:proofErr w:type="spellEnd"/>
      <w:r w:rsidRPr="004948F7">
        <w:rPr>
          <w:rFonts w:ascii="Arial" w:hAnsi="Arial" w:cs="Arial"/>
        </w:rPr>
        <w:t>, que delinea una estrategia integral tanto para las relaciones internacionales del Estado, como entendiendo los retos energéticos que la economía de EE.UU. va a afrontar en los próximos veinte años desde su publicación. Debido al crecimiento económico interno y a la situación mundial, dichos retos requieren de un abastecimiento energético y una eficiencia en la industria mayores a lo que se pueda obtener solamente por medio de la adquisición y control de recursos provenientes del exterior.</w:t>
      </w:r>
    </w:p>
    <w:p w14:paraId="6348D471" w14:textId="77777777" w:rsidR="004F5510" w:rsidRPr="001E3090" w:rsidRDefault="004F5510" w:rsidP="004F5510">
      <w:pPr>
        <w:spacing w:line="360" w:lineRule="auto"/>
        <w:rPr>
          <w:rFonts w:ascii="Arial" w:hAnsi="Arial" w:cs="Arial"/>
        </w:rPr>
      </w:pPr>
      <w:r>
        <w:rPr>
          <w:rFonts w:ascii="Arial" w:hAnsi="Arial" w:cs="Arial"/>
        </w:rPr>
        <w:t xml:space="preserve">El primer capítulo analiza sobre la seguridad energética en EE.UU: y cuáles han sido los incentivos legales y fiscales que el gobierno ha propuesto para alcanzarla. Este análisis se centra en un repaso histórico de donde destaca el periodo </w:t>
      </w:r>
      <w:r w:rsidRPr="001E3090">
        <w:rPr>
          <w:rFonts w:ascii="Arial" w:hAnsi="Arial" w:cs="Arial"/>
        </w:rPr>
        <w:t xml:space="preserve">presidencial de Carter, </w:t>
      </w:r>
      <w:r>
        <w:rPr>
          <w:rFonts w:ascii="Arial" w:hAnsi="Arial" w:cs="Arial"/>
        </w:rPr>
        <w:t xml:space="preserve"> donde se promovió </w:t>
      </w:r>
      <w:r w:rsidRPr="001E3090">
        <w:rPr>
          <w:rFonts w:ascii="Arial" w:hAnsi="Arial" w:cs="Arial"/>
        </w:rPr>
        <w:t xml:space="preserve">la </w:t>
      </w:r>
      <w:proofErr w:type="spellStart"/>
      <w:r w:rsidRPr="001E3090">
        <w:rPr>
          <w:rFonts w:ascii="Arial" w:hAnsi="Arial" w:cs="Arial"/>
        </w:rPr>
        <w:t>Sinthetic</w:t>
      </w:r>
      <w:proofErr w:type="spellEnd"/>
      <w:r w:rsidRPr="001E3090">
        <w:rPr>
          <w:rFonts w:ascii="Arial" w:hAnsi="Arial" w:cs="Arial"/>
        </w:rPr>
        <w:t xml:space="preserve"> </w:t>
      </w:r>
      <w:proofErr w:type="spellStart"/>
      <w:r w:rsidRPr="001E3090">
        <w:rPr>
          <w:rFonts w:ascii="Arial" w:hAnsi="Arial" w:cs="Arial"/>
        </w:rPr>
        <w:t>Fuels</w:t>
      </w:r>
      <w:proofErr w:type="spellEnd"/>
      <w:r w:rsidRPr="001E3090">
        <w:rPr>
          <w:rFonts w:ascii="Arial" w:hAnsi="Arial" w:cs="Arial"/>
        </w:rPr>
        <w:t xml:space="preserve"> </w:t>
      </w:r>
      <w:proofErr w:type="spellStart"/>
      <w:r w:rsidRPr="001E3090">
        <w:rPr>
          <w:rFonts w:ascii="Arial" w:hAnsi="Arial" w:cs="Arial"/>
        </w:rPr>
        <w:t>Corporation</w:t>
      </w:r>
      <w:proofErr w:type="spellEnd"/>
      <w:r w:rsidRPr="001E3090">
        <w:rPr>
          <w:rFonts w:ascii="Arial" w:hAnsi="Arial" w:cs="Arial"/>
        </w:rPr>
        <w:t xml:space="preserve"> </w:t>
      </w:r>
      <w:r>
        <w:rPr>
          <w:rFonts w:ascii="Arial" w:hAnsi="Arial" w:cs="Arial"/>
        </w:rPr>
        <w:t xml:space="preserve"> que </w:t>
      </w:r>
      <w:r w:rsidRPr="001E3090">
        <w:rPr>
          <w:rFonts w:ascii="Arial" w:hAnsi="Arial" w:cs="Arial"/>
        </w:rPr>
        <w:t xml:space="preserve">tenía el objetivo de encontrar nuevas fuentes de energía para incrementar la producción interna y así reducir la </w:t>
      </w:r>
      <w:r w:rsidRPr="001E3090">
        <w:rPr>
          <w:rFonts w:ascii="Arial" w:hAnsi="Arial" w:cs="Arial"/>
        </w:rPr>
        <w:lastRenderedPageBreak/>
        <w:t xml:space="preserve">dependencia energética, durante ese mismo periodo presidencial, se buscó la reducción en el consumo interno. A pesar de que no se lograron ambos objetivos, se puede inferir que la administración Carter se dio cuenta del dilema de seguridad en el que se </w:t>
      </w:r>
      <w:r>
        <w:rPr>
          <w:rFonts w:ascii="Arial" w:hAnsi="Arial" w:cs="Arial"/>
        </w:rPr>
        <w:t>encontraba</w:t>
      </w:r>
      <w:r w:rsidRPr="001E3090">
        <w:rPr>
          <w:rFonts w:ascii="Arial" w:hAnsi="Arial" w:cs="Arial"/>
        </w:rPr>
        <w:t xml:space="preserve"> el país. </w:t>
      </w:r>
    </w:p>
    <w:p w14:paraId="7C0ACD7C" w14:textId="77777777" w:rsidR="004F5510" w:rsidRDefault="004F5510" w:rsidP="004F5510">
      <w:pPr>
        <w:spacing w:line="360" w:lineRule="auto"/>
        <w:rPr>
          <w:rFonts w:ascii="Arial" w:hAnsi="Arial" w:cs="Arial"/>
        </w:rPr>
      </w:pPr>
      <w:r>
        <w:rPr>
          <w:rFonts w:ascii="Arial" w:hAnsi="Arial" w:cs="Arial"/>
        </w:rPr>
        <w:t xml:space="preserve">Gracias a las bases que dejó la SFC, más adelante en el tiempo se realiza un análisis comprensivo sobre la situación energética estadounidense durante el periodo presidencial de George </w:t>
      </w:r>
      <w:proofErr w:type="spellStart"/>
      <w:r>
        <w:rPr>
          <w:rFonts w:ascii="Arial" w:hAnsi="Arial" w:cs="Arial"/>
        </w:rPr>
        <w:t>W.Bush</w:t>
      </w:r>
      <w:proofErr w:type="spellEnd"/>
      <w:r>
        <w:rPr>
          <w:rFonts w:ascii="Arial" w:hAnsi="Arial" w:cs="Arial"/>
        </w:rPr>
        <w:t>.</w:t>
      </w:r>
    </w:p>
    <w:p w14:paraId="457A1777" w14:textId="77777777" w:rsidR="004F5510" w:rsidRPr="001E3090" w:rsidRDefault="004F5510" w:rsidP="004F5510">
      <w:pPr>
        <w:spacing w:line="360" w:lineRule="auto"/>
        <w:rPr>
          <w:rFonts w:ascii="Arial" w:hAnsi="Arial" w:cs="Arial"/>
        </w:rPr>
      </w:pPr>
      <w:r w:rsidRPr="001E3090">
        <w:rPr>
          <w:rFonts w:ascii="Arial" w:hAnsi="Arial" w:cs="Arial"/>
        </w:rPr>
        <w:t xml:space="preserve">El reporte </w:t>
      </w:r>
      <w:proofErr w:type="spellStart"/>
      <w:r w:rsidRPr="001E3090">
        <w:rPr>
          <w:rFonts w:ascii="Arial" w:hAnsi="Arial" w:cs="Arial"/>
        </w:rPr>
        <w:t>Cheney</w:t>
      </w:r>
      <w:proofErr w:type="spellEnd"/>
      <w:r w:rsidRPr="001E3090">
        <w:rPr>
          <w:rFonts w:ascii="Arial" w:hAnsi="Arial" w:cs="Arial"/>
        </w:rPr>
        <w:t xml:space="preserve"> explica tanto las fuentes de energía como los retos que enfrentará el crecimiento económico estadounidense. Reconoce que las fuentes externas de energía, mediante el control geográfico son una forma de obtener seguridad, para consecuentemente incrementar el poder del Estado dentro del sistema internacional. Sin embargo, esta forma de obtención de recursos nos plantea un dilema. El alcanzar la seguridad energética mediante fuentes externas necesita de un poderío militar o capacidad de persuasión alta, esto lo muestra el repaso histórico que se realizó en la introducción del trabajo. El auspicio de guerras o conflictos bélicos depende de un suministro de recursos energéticos y para el caso estadounidens</w:t>
      </w:r>
      <w:r>
        <w:rPr>
          <w:rFonts w:ascii="Arial" w:hAnsi="Arial" w:cs="Arial"/>
        </w:rPr>
        <w:t>e, y un gran porcentaje de</w:t>
      </w:r>
      <w:r w:rsidRPr="001E3090">
        <w:rPr>
          <w:rFonts w:ascii="Arial" w:hAnsi="Arial" w:cs="Arial"/>
        </w:rPr>
        <w:t xml:space="preserve"> la energía que se consume internamente es importada.</w:t>
      </w:r>
    </w:p>
    <w:p w14:paraId="77E30F29" w14:textId="77777777" w:rsidR="004F5510" w:rsidRPr="004948F7" w:rsidRDefault="004F5510" w:rsidP="004F5510">
      <w:pPr>
        <w:spacing w:line="360" w:lineRule="auto"/>
        <w:rPr>
          <w:rFonts w:ascii="Arial" w:hAnsi="Arial" w:cs="Arial"/>
        </w:rPr>
      </w:pPr>
      <w:r>
        <w:rPr>
          <w:rFonts w:ascii="Arial" w:hAnsi="Arial" w:cs="Arial"/>
        </w:rPr>
        <w:t>En el tema petrolero, EE.UU. existe una creciente demanda petrolera con fuentes externas de suministro y un desarrollo interno insuficiente debido a que las reservas más accesibles ya se han utilizado. Queda entonces la opción de continuar desarrollando las fuentes externas de suministro, en Medio Oriente o Latino América pero con diversos retos; por lo que internamente las fuentes que se pueden obtener son la extracción en aguas profundas y ultra profundas con ambientes hostiles y/o la extracción de petróleo en reservas no convencionales mediante la fracturación hidráulica.</w:t>
      </w:r>
    </w:p>
    <w:p w14:paraId="5CC99D6A" w14:textId="77777777" w:rsidR="004F5510" w:rsidRDefault="004F5510" w:rsidP="004F5510">
      <w:pPr>
        <w:spacing w:line="360" w:lineRule="auto"/>
        <w:rPr>
          <w:rFonts w:ascii="Arial" w:hAnsi="Arial" w:cs="Arial"/>
        </w:rPr>
      </w:pPr>
      <w:r w:rsidRPr="004948F7">
        <w:rPr>
          <w:rFonts w:ascii="Arial" w:hAnsi="Arial" w:cs="Arial"/>
        </w:rPr>
        <w:t xml:space="preserve">El reporte </w:t>
      </w:r>
      <w:proofErr w:type="spellStart"/>
      <w:r w:rsidRPr="004948F7">
        <w:rPr>
          <w:rFonts w:ascii="Arial" w:hAnsi="Arial" w:cs="Arial"/>
        </w:rPr>
        <w:t>Cheney</w:t>
      </w:r>
      <w:proofErr w:type="spellEnd"/>
      <w:r w:rsidRPr="004948F7">
        <w:rPr>
          <w:rFonts w:ascii="Arial" w:hAnsi="Arial" w:cs="Arial"/>
        </w:rPr>
        <w:t xml:space="preserve"> explica tanto las fuentes de energía como los retos que enfrentará el crecimiento económico estadounidense. Reconoce que las fuentes externas de energía, mediante el control geográfico son una forma de obtener seguridad, para consecuentemente incrementar el poder del Estado dentro del sistema internacional</w:t>
      </w:r>
      <w:r>
        <w:rPr>
          <w:rFonts w:ascii="Arial" w:hAnsi="Arial" w:cs="Arial"/>
        </w:rPr>
        <w:t xml:space="preserve"> aunque dicha seguridad conlleve tener que negociar en otras áreas que necesariamente no siempre sean del interés nacional.</w:t>
      </w:r>
    </w:p>
    <w:p w14:paraId="3DA8DFB9" w14:textId="77777777" w:rsidR="004F5510" w:rsidRDefault="004F5510" w:rsidP="004F5510">
      <w:pPr>
        <w:spacing w:line="360" w:lineRule="auto"/>
        <w:rPr>
          <w:rFonts w:ascii="Arial" w:hAnsi="Arial" w:cs="Arial"/>
        </w:rPr>
      </w:pPr>
      <w:r>
        <w:rPr>
          <w:rFonts w:ascii="Arial" w:hAnsi="Arial" w:cs="Arial"/>
        </w:rPr>
        <w:lastRenderedPageBreak/>
        <w:t xml:space="preserve">La ley de política energética de 2005 materializa las recomendaciones del reporte. Dicha ley provee de incentivos fiscales importantes; en general por $14.5 mil millones de dólares además de modificar otras legislaciones para permitir la explotación del petróleo </w:t>
      </w:r>
      <w:proofErr w:type="spellStart"/>
      <w:r>
        <w:rPr>
          <w:rFonts w:ascii="Arial" w:hAnsi="Arial" w:cs="Arial"/>
        </w:rPr>
        <w:t>shale</w:t>
      </w:r>
      <w:proofErr w:type="spellEnd"/>
      <w:r>
        <w:rPr>
          <w:rFonts w:ascii="Arial" w:hAnsi="Arial" w:cs="Arial"/>
        </w:rPr>
        <w:t xml:space="preserve"> en regiones que anteriormente no lo permitían. Específicamente en la región de Río Verde, considerada la mayor reserva de </w:t>
      </w:r>
      <w:proofErr w:type="spellStart"/>
      <w:r>
        <w:rPr>
          <w:rFonts w:ascii="Arial" w:hAnsi="Arial" w:cs="Arial"/>
        </w:rPr>
        <w:t>shale</w:t>
      </w:r>
      <w:proofErr w:type="spellEnd"/>
      <w:r>
        <w:rPr>
          <w:rFonts w:ascii="Arial" w:hAnsi="Arial" w:cs="Arial"/>
        </w:rPr>
        <w:t xml:space="preserve"> en el mundo, a partir de esta ley se permiten actividades de investigación y desarrollo para la extracción del recurso. Por si eso fuera poco, la legislación otorga incentivos fiscales, créditos fiscales y deducción de los gastos hasta por dos años de extracción. Es sin duda un gran negocio no solo para el desarrollo de la industria, si no para las mismas empresas petroleras. </w:t>
      </w:r>
    </w:p>
    <w:p w14:paraId="129B8B7C" w14:textId="77777777" w:rsidR="004F5510" w:rsidRDefault="004F5510" w:rsidP="004F5510">
      <w:pPr>
        <w:spacing w:line="360" w:lineRule="auto"/>
        <w:rPr>
          <w:rFonts w:ascii="Arial" w:hAnsi="Arial" w:cs="Arial"/>
        </w:rPr>
      </w:pPr>
      <w:r>
        <w:rPr>
          <w:rFonts w:ascii="Arial" w:hAnsi="Arial" w:cs="Arial"/>
        </w:rPr>
        <w:t>Dicho lo anterior, el segundo capítulo analiza si la aprobación de la legislación responde más que a un interés de seguridad nacional, a intereses de ciertos grupos. Se realiza un análisis del proceso político para descubrir los intereses detrás de la aprobación de la regulación.</w:t>
      </w:r>
    </w:p>
    <w:p w14:paraId="7442CE43" w14:textId="77777777" w:rsidR="004F5510" w:rsidRDefault="004F5510" w:rsidP="004F5510">
      <w:pPr>
        <w:spacing w:line="360" w:lineRule="auto"/>
        <w:rPr>
          <w:rFonts w:ascii="Arial" w:hAnsi="Arial" w:cs="Arial"/>
        </w:rPr>
      </w:pPr>
      <w:r>
        <w:rPr>
          <w:rFonts w:ascii="Arial" w:hAnsi="Arial" w:cs="Arial"/>
        </w:rPr>
        <w:t xml:space="preserve">Se puede inferir por el resultado de lo investigado, que la aprobación de una legislación energética en 2005 la cual considera subsidios e incentivos a la industria, su aprobación responde a intereses de grupos. Es decir,  la noción del Estado como ente unitario que considera el neorrealismo, en este sentido no es del todo correcta. Ya que la investigación refleja que los congresistas que aprobaron la ley fueron financiados en sus campañas políticas por grupos que directamente </w:t>
      </w:r>
      <w:proofErr w:type="gramStart"/>
      <w:r>
        <w:rPr>
          <w:rFonts w:ascii="Arial" w:hAnsi="Arial" w:cs="Arial"/>
        </w:rPr>
        <w:t>pertenecen</w:t>
      </w:r>
      <w:proofErr w:type="gramEnd"/>
      <w:r>
        <w:rPr>
          <w:rFonts w:ascii="Arial" w:hAnsi="Arial" w:cs="Arial"/>
        </w:rPr>
        <w:t xml:space="preserve"> al sector energético y que serían beneficiados por la ley. </w:t>
      </w:r>
    </w:p>
    <w:p w14:paraId="41EFE5B6" w14:textId="77777777" w:rsidR="004F5510" w:rsidRDefault="004F5510" w:rsidP="004F5510">
      <w:pPr>
        <w:spacing w:line="360" w:lineRule="auto"/>
        <w:rPr>
          <w:rFonts w:ascii="Arial" w:hAnsi="Arial" w:cs="Arial"/>
        </w:rPr>
      </w:pPr>
      <w:r>
        <w:rPr>
          <w:rFonts w:ascii="Arial" w:hAnsi="Arial" w:cs="Arial"/>
        </w:rPr>
        <w:t xml:space="preserve">Los resultados de las votaciones del congreso señalan que el interés de los congresistas es un interés de obtención de simpatía de su electorado. Como lo mencionó el </w:t>
      </w:r>
      <w:proofErr w:type="spellStart"/>
      <w:r>
        <w:rPr>
          <w:rFonts w:ascii="Arial" w:hAnsi="Arial" w:cs="Arial"/>
        </w:rPr>
        <w:t>Sen</w:t>
      </w:r>
      <w:proofErr w:type="spellEnd"/>
      <w:r>
        <w:rPr>
          <w:rFonts w:ascii="Arial" w:hAnsi="Arial" w:cs="Arial"/>
        </w:rPr>
        <w:t xml:space="preserve">. Ron Paul (Republicano) y que votó en contra de la ley, no solo va en contra de medidas medioambientales, si no que promueve medidas económicas anti liberales ya que los incentivos y subsidios favorecen a las empresas directamente aun cuando el precio internacional de petróleo en el momento de la aprobación de la ley ya era incentivo suficiente. </w:t>
      </w:r>
    </w:p>
    <w:p w14:paraId="2B4C5D3F" w14:textId="77777777" w:rsidR="004F5510" w:rsidRDefault="004F5510" w:rsidP="004F5510">
      <w:pPr>
        <w:spacing w:line="360" w:lineRule="auto"/>
        <w:rPr>
          <w:rFonts w:ascii="Arial" w:hAnsi="Arial" w:cs="Arial"/>
        </w:rPr>
      </w:pPr>
      <w:r>
        <w:rPr>
          <w:rFonts w:ascii="Arial" w:hAnsi="Arial" w:cs="Arial"/>
        </w:rPr>
        <w:t xml:space="preserve">En este capítulo, se deduce que la teoría neorrealista resulta insuficiente para la interpretación de la aprobación de la ley al considerar que diversos grupos dentro del ente que es el Estado, van a influir en las decisiones de la política nacional de seguridad energética. Debido a que es la naturaleza de los puestos de elección popular, responder a </w:t>
      </w:r>
      <w:r>
        <w:rPr>
          <w:rFonts w:ascii="Arial" w:hAnsi="Arial" w:cs="Arial"/>
        </w:rPr>
        <w:lastRenderedPageBreak/>
        <w:t>y representar los intereses de su electorado que bien puede estar motivado por una mezcla de desconocimiento de lo que es mejor para el bien común, o por un interés directo derivado de un beneficio en una industria. El análisis de este capítulo se centra en la segunda propuesta, se revisan las donaciones a representantes y congresistas por parte de personas relacionadas directamente con el sector energético y se asume que existe una relación directa donde el donante ejerce presión a su representante. La presión ejercida es por la vía económica, de acuerdo al apoyo dado durante su campaña.</w:t>
      </w:r>
    </w:p>
    <w:p w14:paraId="2BA20378" w14:textId="77777777" w:rsidR="004F5510" w:rsidRPr="000162F6" w:rsidRDefault="004F5510" w:rsidP="004F5510">
      <w:pPr>
        <w:spacing w:line="360" w:lineRule="auto"/>
        <w:rPr>
          <w:rFonts w:ascii="Arial" w:hAnsi="Arial" w:cs="Arial"/>
        </w:rPr>
      </w:pPr>
      <w:r>
        <w:rPr>
          <w:rFonts w:ascii="Arial" w:hAnsi="Arial" w:cs="Arial"/>
        </w:rPr>
        <w:t>La composición del congreso 109 contiene una mayoría republicana. Al haber una presidencia del mismo partido, es natural que el congreso lo apoye, sin embargo en EE.UU. sí existe una rendición de cuentas al electorado, lo cual permite que el interés pueda ser compartido, por los votantes del partido republicano, y por el mismo partido que por ejemplo, en el estado de Texas, además está muy ligado a los intereses de la industria petrolera.</w:t>
      </w:r>
    </w:p>
    <w:p w14:paraId="016BD44F" w14:textId="77777777" w:rsidR="004F5510" w:rsidRPr="005920A5" w:rsidRDefault="004F5510" w:rsidP="004F5510">
      <w:pPr>
        <w:spacing w:line="360" w:lineRule="auto"/>
        <w:rPr>
          <w:rFonts w:ascii="Arial" w:hAnsi="Arial" w:cs="Arial"/>
        </w:rPr>
      </w:pPr>
      <w:r>
        <w:rPr>
          <w:rFonts w:ascii="Arial" w:hAnsi="Arial" w:cs="Arial"/>
        </w:rPr>
        <w:t>Se llega a la conclusión de que e</w:t>
      </w:r>
      <w:r w:rsidRPr="005920A5">
        <w:rPr>
          <w:rFonts w:ascii="Arial" w:hAnsi="Arial" w:cs="Arial"/>
        </w:rPr>
        <w:t xml:space="preserve">l desarrollo de la industria del </w:t>
      </w:r>
      <w:proofErr w:type="spellStart"/>
      <w:r w:rsidRPr="005920A5">
        <w:rPr>
          <w:rFonts w:ascii="Arial" w:hAnsi="Arial" w:cs="Arial"/>
          <w:i/>
        </w:rPr>
        <w:t>shale</w:t>
      </w:r>
      <w:proofErr w:type="spellEnd"/>
      <w:r w:rsidRPr="005920A5">
        <w:rPr>
          <w:rFonts w:ascii="Arial" w:hAnsi="Arial" w:cs="Arial"/>
          <w:i/>
        </w:rPr>
        <w:t xml:space="preserve"> </w:t>
      </w:r>
      <w:proofErr w:type="spellStart"/>
      <w:r w:rsidRPr="005920A5">
        <w:rPr>
          <w:rFonts w:ascii="Arial" w:hAnsi="Arial" w:cs="Arial"/>
          <w:i/>
        </w:rPr>
        <w:t>oil</w:t>
      </w:r>
      <w:proofErr w:type="spellEnd"/>
      <w:r w:rsidRPr="005920A5">
        <w:rPr>
          <w:rFonts w:ascii="Arial" w:hAnsi="Arial" w:cs="Arial"/>
        </w:rPr>
        <w:t xml:space="preserve"> en EE.UU. se dio gracias a los incentivos gubernamentales federales y como una respuesta a los intereses de grupo relativos a la industria.</w:t>
      </w:r>
      <w:r>
        <w:rPr>
          <w:rFonts w:ascii="Arial" w:hAnsi="Arial" w:cs="Arial"/>
        </w:rPr>
        <w:t xml:space="preserve"> </w:t>
      </w:r>
    </w:p>
    <w:p w14:paraId="20BC99A4" w14:textId="77777777" w:rsidR="004F5510" w:rsidRDefault="004F5510" w:rsidP="004F5510">
      <w:pPr>
        <w:spacing w:line="360" w:lineRule="auto"/>
        <w:rPr>
          <w:rFonts w:ascii="Arial" w:hAnsi="Arial" w:cs="Arial"/>
        </w:rPr>
      </w:pPr>
      <w:r>
        <w:rPr>
          <w:rFonts w:ascii="Arial" w:hAnsi="Arial" w:cs="Arial"/>
        </w:rPr>
        <w:t xml:space="preserve">Se debe reconocer que la teoría neorrealista es insuficiente para realizar un análisis más profundo de los intereses de la industria petrolera dentro de las decisiones y modificaciones a la ley del congreso estadounidense. </w:t>
      </w:r>
    </w:p>
    <w:p w14:paraId="7E5EF23B" w14:textId="77777777" w:rsidR="004F5510" w:rsidRDefault="004F5510" w:rsidP="004F5510">
      <w:pPr>
        <w:spacing w:line="360" w:lineRule="auto"/>
        <w:rPr>
          <w:rFonts w:ascii="Arial" w:hAnsi="Arial" w:cs="Arial"/>
        </w:rPr>
      </w:pPr>
    </w:p>
    <w:p w14:paraId="1B7FBBFB" w14:textId="77777777" w:rsidR="004F5510" w:rsidRDefault="004F5510" w:rsidP="004F5510">
      <w:pPr>
        <w:spacing w:line="360" w:lineRule="auto"/>
        <w:rPr>
          <w:rFonts w:ascii="Arial" w:hAnsi="Arial" w:cs="Arial"/>
        </w:rPr>
      </w:pPr>
      <w:r>
        <w:rPr>
          <w:rFonts w:ascii="Arial" w:hAnsi="Arial" w:cs="Arial"/>
        </w:rPr>
        <w:t>Aunque</w:t>
      </w:r>
      <w:r w:rsidRPr="005920A5">
        <w:rPr>
          <w:rFonts w:ascii="Arial" w:hAnsi="Arial" w:cs="Arial"/>
        </w:rPr>
        <w:t xml:space="preserve"> se prueba que los intereses de grupo tuvieron un peso importante en la aprobación de la Ley de Política Energética, incentivados por</w:t>
      </w:r>
      <w:r>
        <w:rPr>
          <w:rFonts w:ascii="Arial" w:hAnsi="Arial" w:cs="Arial"/>
        </w:rPr>
        <w:t xml:space="preserve"> intereses económicos que podrían traer los subsidios e incentivos que planteaba la ley. El que el análisis fino de los apoyos a las campañas en el segundo capítulo no se resuelva con un enfoque neorrealista, hace evidente que para la aprobación de una legislación, no significa del todo una respuesta a un nivel de grupo y aunque el estado no es una unidad homogénea,  el que se haya aprobado la ley con una mayoría tan alta, apoya la hipótesis de la investigación ya que se logra pasar una legislación que proviene de un análisis desde la oficina presidencial con enfoque sistémico.</w:t>
      </w:r>
    </w:p>
    <w:p w14:paraId="6534B0E3" w14:textId="77777777" w:rsidR="001E3090" w:rsidRDefault="001E3090" w:rsidP="0089626C">
      <w:pPr>
        <w:spacing w:line="360" w:lineRule="auto"/>
        <w:rPr>
          <w:rFonts w:ascii="Arial" w:hAnsi="Arial" w:cs="Arial"/>
          <w:i/>
        </w:rPr>
      </w:pPr>
    </w:p>
    <w:p w14:paraId="41531F67" w14:textId="1B616C5D" w:rsidR="003C5F7E" w:rsidRPr="00B31FDC" w:rsidRDefault="0047512E" w:rsidP="00B31FDC">
      <w:pPr>
        <w:pStyle w:val="Ttulo1"/>
        <w:rPr>
          <w:color w:val="000000" w:themeColor="text1"/>
          <w:lang w:val="en-US"/>
        </w:rPr>
      </w:pPr>
      <w:bookmarkStart w:id="38" w:name="_Toc499918311"/>
      <w:proofErr w:type="spellStart"/>
      <w:r w:rsidRPr="00B31FDC">
        <w:rPr>
          <w:color w:val="000000" w:themeColor="text1"/>
          <w:lang w:val="en-US"/>
        </w:rPr>
        <w:lastRenderedPageBreak/>
        <w:t>Bibliografía</w:t>
      </w:r>
      <w:bookmarkEnd w:id="38"/>
      <w:proofErr w:type="spellEnd"/>
    </w:p>
    <w:p w14:paraId="41DB6EA7" w14:textId="77777777" w:rsidR="00415BA8" w:rsidRPr="00E467B6" w:rsidRDefault="00415BA8" w:rsidP="00322A56">
      <w:pPr>
        <w:rPr>
          <w:rFonts w:ascii="Arial" w:hAnsi="Arial" w:cs="Arial"/>
          <w:b/>
          <w:lang w:val="en-US"/>
        </w:rPr>
      </w:pPr>
    </w:p>
    <w:p w14:paraId="28D4DC82" w14:textId="77777777" w:rsidR="0047512E" w:rsidRPr="008D5699" w:rsidRDefault="0047512E" w:rsidP="0047512E">
      <w:pPr>
        <w:adjustRightInd w:val="0"/>
        <w:ind w:left="709" w:hanging="709"/>
        <w:rPr>
          <w:rFonts w:ascii="Arial" w:hAnsi="Arial" w:cs="Arial"/>
        </w:rPr>
      </w:pPr>
      <w:r w:rsidRPr="008D5699">
        <w:rPr>
          <w:rFonts w:ascii="Arial" w:hAnsi="Arial" w:cs="Arial"/>
          <w:lang w:val="en-US"/>
        </w:rPr>
        <w:t>National Energy Policy Development Group (2001) National Energy Policy: </w:t>
      </w:r>
      <w:r w:rsidRPr="008D5699">
        <w:rPr>
          <w:rFonts w:ascii="Arial" w:hAnsi="Arial" w:cs="Arial"/>
          <w:i/>
          <w:lang w:val="en-US"/>
        </w:rPr>
        <w:t xml:space="preserve">National Energy Policy Development Group. </w:t>
      </w:r>
      <w:r w:rsidRPr="008D5699">
        <w:rPr>
          <w:rFonts w:ascii="Arial" w:hAnsi="Arial" w:cs="Arial"/>
        </w:rPr>
        <w:t>Washington, D.C. </w:t>
      </w:r>
    </w:p>
    <w:p w14:paraId="365DC4B9" w14:textId="42CE6259" w:rsidR="0047512E" w:rsidRPr="008D5699" w:rsidRDefault="0047512E" w:rsidP="0047512E">
      <w:pPr>
        <w:adjustRightInd w:val="0"/>
        <w:ind w:left="709" w:hanging="709"/>
        <w:rPr>
          <w:rFonts w:ascii="Arial" w:hAnsi="Arial" w:cs="Arial"/>
          <w:lang w:val="en-US"/>
        </w:rPr>
      </w:pPr>
      <w:r w:rsidRPr="008D5699">
        <w:rPr>
          <w:rFonts w:ascii="Arial" w:hAnsi="Arial" w:cs="Arial"/>
        </w:rPr>
        <w:t xml:space="preserve">Vargas, R. (2014) La estrategia petrolera de EU bajo la gestión de George </w:t>
      </w:r>
      <w:proofErr w:type="spellStart"/>
      <w:r w:rsidRPr="008D5699">
        <w:rPr>
          <w:rFonts w:ascii="Arial" w:hAnsi="Arial" w:cs="Arial"/>
        </w:rPr>
        <w:t>W.Bush</w:t>
      </w:r>
      <w:proofErr w:type="spellEnd"/>
      <w:r w:rsidRPr="008D5699">
        <w:rPr>
          <w:rFonts w:ascii="Arial" w:hAnsi="Arial" w:cs="Arial"/>
        </w:rPr>
        <w:t xml:space="preserve">: </w:t>
      </w:r>
      <w:r w:rsidRPr="008D5699">
        <w:rPr>
          <w:rFonts w:ascii="Arial" w:hAnsi="Arial" w:cs="Arial"/>
          <w:i/>
        </w:rPr>
        <w:t>El Cotidiano</w:t>
      </w:r>
      <w:r w:rsidRPr="008D5699">
        <w:rPr>
          <w:rFonts w:ascii="Arial" w:hAnsi="Arial" w:cs="Arial"/>
        </w:rPr>
        <w:t>.  </w:t>
      </w:r>
      <w:proofErr w:type="spellStart"/>
      <w:proofErr w:type="gramStart"/>
      <w:r w:rsidRPr="008D5699">
        <w:rPr>
          <w:rFonts w:ascii="Arial" w:hAnsi="Arial" w:cs="Arial"/>
          <w:lang w:val="en-US"/>
        </w:rPr>
        <w:t>Temas</w:t>
      </w:r>
      <w:proofErr w:type="spellEnd"/>
      <w:r w:rsidRPr="008D5699">
        <w:rPr>
          <w:rFonts w:ascii="Arial" w:hAnsi="Arial" w:cs="Arial"/>
          <w:lang w:val="en-US"/>
        </w:rPr>
        <w:t xml:space="preserve"> de la agenda actual, 84.</w:t>
      </w:r>
      <w:proofErr w:type="gramEnd"/>
      <w:r w:rsidRPr="008D5699">
        <w:rPr>
          <w:rFonts w:ascii="Arial" w:hAnsi="Arial" w:cs="Arial"/>
          <w:lang w:val="en-US"/>
        </w:rPr>
        <w:t xml:space="preserve"> </w:t>
      </w:r>
      <w:proofErr w:type="spellStart"/>
      <w:proofErr w:type="gramStart"/>
      <w:r w:rsidRPr="008D5699">
        <w:rPr>
          <w:rFonts w:ascii="Arial" w:hAnsi="Arial" w:cs="Arial"/>
          <w:lang w:val="en-US"/>
        </w:rPr>
        <w:t>Harrel</w:t>
      </w:r>
      <w:proofErr w:type="spellEnd"/>
      <w:r w:rsidRPr="008D5699">
        <w:rPr>
          <w:rFonts w:ascii="Arial" w:hAnsi="Arial" w:cs="Arial"/>
          <w:lang w:val="en-US"/>
        </w:rPr>
        <w:t xml:space="preserve"> ,</w:t>
      </w:r>
      <w:proofErr w:type="gramEnd"/>
      <w:r w:rsidRPr="008D5699">
        <w:rPr>
          <w:rFonts w:ascii="Arial" w:hAnsi="Arial" w:cs="Arial"/>
          <w:lang w:val="en-US"/>
        </w:rPr>
        <w:t xml:space="preserve"> R. (2011) Guidelines for application of the petroleum resources management system: Society of Petroleum Engineers 4 (1)</w:t>
      </w:r>
    </w:p>
    <w:p w14:paraId="21366876" w14:textId="77777777" w:rsidR="0047512E" w:rsidRPr="008D5699" w:rsidRDefault="0047512E" w:rsidP="0047512E">
      <w:pPr>
        <w:adjustRightInd w:val="0"/>
        <w:ind w:left="709" w:hanging="709"/>
        <w:rPr>
          <w:rFonts w:ascii="Arial" w:hAnsi="Arial" w:cs="Arial"/>
          <w:lang w:val="en-US"/>
        </w:rPr>
      </w:pPr>
      <w:r w:rsidRPr="008D5699">
        <w:rPr>
          <w:rFonts w:ascii="Arial" w:hAnsi="Arial" w:cs="Arial"/>
          <w:lang w:val="en-US"/>
        </w:rPr>
        <w:t>Ross J. (2011) Guidelines for application of the petroleum resources management system: </w:t>
      </w:r>
      <w:r w:rsidRPr="008D5699">
        <w:rPr>
          <w:rFonts w:ascii="Arial" w:hAnsi="Arial" w:cs="Arial"/>
          <w:i/>
          <w:lang w:val="en-US"/>
        </w:rPr>
        <w:t>Society of Petroleum Engineers</w:t>
      </w:r>
      <w:r w:rsidRPr="008D5699">
        <w:rPr>
          <w:rFonts w:ascii="Arial" w:hAnsi="Arial" w:cs="Arial"/>
          <w:lang w:val="en-US"/>
        </w:rPr>
        <w:t xml:space="preserve"> 7 (2)</w:t>
      </w:r>
    </w:p>
    <w:p w14:paraId="4EB65D90" w14:textId="77777777" w:rsidR="0047512E" w:rsidRPr="008D5699" w:rsidRDefault="0047512E" w:rsidP="0047512E">
      <w:pPr>
        <w:adjustRightInd w:val="0"/>
        <w:ind w:left="709" w:hanging="709"/>
        <w:rPr>
          <w:rFonts w:ascii="Arial" w:hAnsi="Arial" w:cs="Arial"/>
          <w:lang w:val="en-US"/>
        </w:rPr>
      </w:pPr>
      <w:proofErr w:type="spellStart"/>
      <w:r w:rsidRPr="008D5699">
        <w:rPr>
          <w:rFonts w:ascii="Arial" w:hAnsi="Arial" w:cs="Arial"/>
          <w:lang w:val="en-US"/>
        </w:rPr>
        <w:t>Targonski</w:t>
      </w:r>
      <w:proofErr w:type="spellEnd"/>
      <w:r w:rsidRPr="008D5699">
        <w:rPr>
          <w:rFonts w:ascii="Arial" w:hAnsi="Arial" w:cs="Arial"/>
          <w:lang w:val="en-US"/>
        </w:rPr>
        <w:t>, R. (2000) Outline of the U.S. Government: </w:t>
      </w:r>
      <w:r w:rsidRPr="008D5699">
        <w:rPr>
          <w:rFonts w:ascii="Arial" w:hAnsi="Arial" w:cs="Arial"/>
          <w:i/>
          <w:lang w:val="en-US"/>
        </w:rPr>
        <w:t>Office of international Information Programs</w:t>
      </w:r>
      <w:r w:rsidRPr="008D5699">
        <w:rPr>
          <w:rFonts w:ascii="Arial" w:hAnsi="Arial" w:cs="Arial"/>
          <w:lang w:val="en-US"/>
        </w:rPr>
        <w:t xml:space="preserve"> 76 (4)</w:t>
      </w:r>
    </w:p>
    <w:p w14:paraId="1CFCA6B9" w14:textId="77777777" w:rsidR="0047512E" w:rsidRPr="008D5699" w:rsidRDefault="0047512E" w:rsidP="0047512E">
      <w:pPr>
        <w:adjustRightInd w:val="0"/>
        <w:ind w:left="709" w:hanging="709"/>
        <w:rPr>
          <w:rFonts w:ascii="Arial" w:hAnsi="Arial" w:cs="Arial"/>
        </w:rPr>
      </w:pPr>
      <w:r w:rsidRPr="008D5699">
        <w:rPr>
          <w:rFonts w:ascii="Arial" w:hAnsi="Arial" w:cs="Arial"/>
          <w:color w:val="010101"/>
        </w:rPr>
        <w:t>Ruiz-Caro, A. (2006) Cooperación e integración energética en América Latina y el Caribe: </w:t>
      </w:r>
      <w:r w:rsidRPr="008D5699">
        <w:rPr>
          <w:rFonts w:ascii="Arial" w:hAnsi="Arial" w:cs="Arial"/>
          <w:i/>
          <w:color w:val="010101"/>
        </w:rPr>
        <w:t>CEPAL</w:t>
      </w:r>
      <w:r w:rsidRPr="008D5699">
        <w:rPr>
          <w:rFonts w:ascii="Arial" w:hAnsi="Arial" w:cs="Arial"/>
          <w:color w:val="010101"/>
        </w:rPr>
        <w:t xml:space="preserve"> http://repositorio.cepal.org/bitstream/handle/11362/6305/S0600221_es.pdf?sequence=1</w:t>
      </w:r>
      <w:r w:rsidRPr="008D5699">
        <w:rPr>
          <w:rFonts w:ascii="Arial" w:hAnsi="Arial" w:cs="Arial"/>
        </w:rPr>
        <w:t xml:space="preserve"> </w:t>
      </w:r>
    </w:p>
    <w:p w14:paraId="55C7F219" w14:textId="2394CF84" w:rsidR="0047512E" w:rsidRPr="003F6DA8" w:rsidRDefault="0047512E" w:rsidP="0047512E">
      <w:pPr>
        <w:adjustRightInd w:val="0"/>
        <w:ind w:left="709" w:hanging="709"/>
        <w:rPr>
          <w:rFonts w:ascii="Arial" w:hAnsi="Arial" w:cs="Arial"/>
        </w:rPr>
      </w:pPr>
      <w:r w:rsidRPr="008D5699">
        <w:rPr>
          <w:rFonts w:ascii="Arial" w:hAnsi="Arial" w:cs="Arial"/>
          <w:color w:val="010101"/>
          <w:lang w:val="en-US"/>
        </w:rPr>
        <w:t>Ro, S. (</w:t>
      </w:r>
      <w:proofErr w:type="spellStart"/>
      <w:r w:rsidRPr="008D5699">
        <w:rPr>
          <w:rFonts w:ascii="Arial" w:hAnsi="Arial" w:cs="Arial"/>
          <w:color w:val="010101"/>
          <w:lang w:val="en-US"/>
        </w:rPr>
        <w:t>diciembre</w:t>
      </w:r>
      <w:proofErr w:type="spellEnd"/>
      <w:r w:rsidRPr="008D5699">
        <w:rPr>
          <w:rFonts w:ascii="Arial" w:hAnsi="Arial" w:cs="Arial"/>
          <w:color w:val="010101"/>
          <w:lang w:val="en-US"/>
        </w:rPr>
        <w:t xml:space="preserve"> 2014) </w:t>
      </w:r>
      <w:proofErr w:type="gramStart"/>
      <w:r w:rsidRPr="008D5699">
        <w:rPr>
          <w:rFonts w:ascii="Arial" w:hAnsi="Arial" w:cs="Arial"/>
          <w:color w:val="010101"/>
          <w:lang w:val="en-US"/>
        </w:rPr>
        <w:t>An</w:t>
      </w:r>
      <w:proofErr w:type="gramEnd"/>
      <w:r w:rsidRPr="008D5699">
        <w:rPr>
          <w:rFonts w:ascii="Arial" w:hAnsi="Arial" w:cs="Arial"/>
          <w:color w:val="010101"/>
          <w:lang w:val="en-US"/>
        </w:rPr>
        <w:t xml:space="preserve"> </w:t>
      </w:r>
      <w:r w:rsidRPr="008D5699">
        <w:rPr>
          <w:rFonts w:ascii="Arial" w:hAnsi="Arial" w:cs="Arial"/>
          <w:lang w:val="en-US"/>
        </w:rPr>
        <w:t>annotated history of oil prices since 1861</w:t>
      </w:r>
      <w:r w:rsidRPr="008D5699">
        <w:rPr>
          <w:rFonts w:ascii="Arial" w:hAnsi="Arial" w:cs="Arial"/>
          <w:i/>
          <w:lang w:val="en-US"/>
        </w:rPr>
        <w:t>: Business Insider</w:t>
      </w:r>
      <w:r w:rsidRPr="008D5699">
        <w:rPr>
          <w:rFonts w:ascii="Arial" w:hAnsi="Arial" w:cs="Arial"/>
          <w:lang w:val="en-US"/>
        </w:rPr>
        <w:t xml:space="preserve">. </w:t>
      </w:r>
      <w:r w:rsidRPr="003F6DA8">
        <w:rPr>
          <w:rFonts w:ascii="Arial" w:hAnsi="Arial" w:cs="Arial"/>
        </w:rPr>
        <w:t>Recuperado de </w:t>
      </w:r>
      <w:hyperlink r:id="rId46" w:history="1">
        <w:r w:rsidRPr="003F6DA8">
          <w:rPr>
            <w:rFonts w:ascii="Arial" w:hAnsi="Arial" w:cs="Arial"/>
          </w:rPr>
          <w:t>http://www.businessinsider.com/annotated-history-crude-oil-prices-since-1861-2014-12</w:t>
        </w:r>
      </w:hyperlink>
    </w:p>
    <w:p w14:paraId="729F8E02" w14:textId="7823F501" w:rsidR="0047512E" w:rsidRPr="003F6DA8" w:rsidRDefault="0047512E" w:rsidP="0047512E">
      <w:pPr>
        <w:adjustRightInd w:val="0"/>
        <w:ind w:left="709" w:hanging="709"/>
        <w:rPr>
          <w:rFonts w:ascii="Arial" w:hAnsi="Arial" w:cs="Arial"/>
        </w:rPr>
      </w:pPr>
      <w:proofErr w:type="gramStart"/>
      <w:r w:rsidRPr="008D5699">
        <w:rPr>
          <w:rFonts w:ascii="Arial" w:hAnsi="Arial" w:cs="Arial"/>
          <w:lang w:val="en-US"/>
        </w:rPr>
        <w:t xml:space="preserve">Randall, R. (2006) Changing the legal landscape </w:t>
      </w:r>
      <w:proofErr w:type="spellStart"/>
      <w:r w:rsidRPr="008D5699">
        <w:rPr>
          <w:rFonts w:ascii="Arial" w:hAnsi="Arial" w:cs="Arial"/>
          <w:lang w:val="en-US"/>
        </w:rPr>
        <w:t>fot</w:t>
      </w:r>
      <w:proofErr w:type="spellEnd"/>
      <w:r w:rsidRPr="008D5699">
        <w:rPr>
          <w:rFonts w:ascii="Arial" w:hAnsi="Arial" w:cs="Arial"/>
          <w:lang w:val="en-US"/>
        </w:rPr>
        <w:t xml:space="preserve"> the disposition of federal oil shale resources: </w:t>
      </w:r>
      <w:r w:rsidRPr="008D5699">
        <w:rPr>
          <w:rFonts w:ascii="Arial" w:hAnsi="Arial" w:cs="Arial"/>
          <w:i/>
          <w:lang w:val="en-US"/>
        </w:rPr>
        <w:t>26th Oil Shale Symposium, Colorado School of Mines</w:t>
      </w:r>
      <w:r w:rsidRPr="008D5699">
        <w:rPr>
          <w:rFonts w:ascii="Arial" w:hAnsi="Arial" w:cs="Arial"/>
          <w:lang w:val="en-US"/>
        </w:rPr>
        <w:t>.</w:t>
      </w:r>
      <w:proofErr w:type="gramEnd"/>
      <w:r w:rsidRPr="008D5699">
        <w:rPr>
          <w:rFonts w:ascii="Arial" w:hAnsi="Arial" w:cs="Arial"/>
          <w:lang w:val="en-US"/>
        </w:rPr>
        <w:t xml:space="preserve"> </w:t>
      </w:r>
      <w:r w:rsidRPr="003F6DA8">
        <w:rPr>
          <w:rFonts w:ascii="Arial" w:hAnsi="Arial" w:cs="Arial"/>
        </w:rPr>
        <w:t>Recuperado de:</w:t>
      </w:r>
      <w:hyperlink r:id="rId47" w:history="1">
        <w:r w:rsidRPr="003F6DA8">
          <w:rPr>
            <w:rFonts w:ascii="Arial" w:hAnsi="Arial" w:cs="Arial"/>
          </w:rPr>
          <w:t> </w:t>
        </w:r>
      </w:hyperlink>
      <w:r w:rsidRPr="003F6DA8">
        <w:rPr>
          <w:rFonts w:ascii="Arial" w:hAnsi="Arial" w:cs="Arial"/>
        </w:rPr>
        <w:t>http://www.ceri-mines.org/documents/A13c-BobRandall-paper.pdf</w:t>
      </w:r>
    </w:p>
    <w:p w14:paraId="2383CC24" w14:textId="4DD0D949" w:rsidR="0047512E" w:rsidRPr="003F6DA8" w:rsidRDefault="0047512E" w:rsidP="0047512E">
      <w:pPr>
        <w:adjustRightInd w:val="0"/>
        <w:ind w:left="709" w:hanging="709"/>
        <w:rPr>
          <w:rFonts w:ascii="Arial" w:hAnsi="Arial" w:cs="Arial"/>
        </w:rPr>
      </w:pPr>
      <w:r w:rsidRPr="008D5699">
        <w:rPr>
          <w:rFonts w:ascii="Arial" w:hAnsi="Arial" w:cs="Arial"/>
          <w:lang w:val="en-US"/>
        </w:rPr>
        <w:t>Hanna, A. (2012) Subsidizing oil shale, tracing federal support for oi</w:t>
      </w:r>
      <w:r w:rsidR="008D5699">
        <w:rPr>
          <w:rFonts w:ascii="Arial" w:hAnsi="Arial" w:cs="Arial"/>
          <w:lang w:val="en-US"/>
        </w:rPr>
        <w:t>l shale development in the U.S.</w:t>
      </w:r>
      <w:r w:rsidRPr="008D5699">
        <w:rPr>
          <w:rFonts w:ascii="Arial" w:hAnsi="Arial" w:cs="Arial"/>
          <w:lang w:val="en-US"/>
        </w:rPr>
        <w:t xml:space="preserve">: </w:t>
      </w:r>
      <w:r w:rsidRPr="008D5699">
        <w:rPr>
          <w:rFonts w:ascii="Arial" w:hAnsi="Arial" w:cs="Arial"/>
          <w:i/>
          <w:lang w:val="en-US"/>
        </w:rPr>
        <w:t>Taxpayers for common sense</w:t>
      </w:r>
      <w:r w:rsidRPr="008D5699">
        <w:rPr>
          <w:rFonts w:ascii="Arial" w:hAnsi="Arial" w:cs="Arial"/>
          <w:lang w:val="en-US"/>
        </w:rPr>
        <w:t xml:space="preserve">. </w:t>
      </w:r>
      <w:r w:rsidRPr="003F6DA8">
        <w:rPr>
          <w:rFonts w:ascii="Arial" w:hAnsi="Arial" w:cs="Arial"/>
        </w:rPr>
        <w:t>Recuperado de http://www.taxpayer.net/images/uploads/downloads/OilShale-v8.pdf</w:t>
      </w:r>
    </w:p>
    <w:p w14:paraId="579331F0" w14:textId="6C4D1C5C" w:rsidR="0047512E" w:rsidRPr="003F6DA8" w:rsidRDefault="008D5699" w:rsidP="0047512E">
      <w:pPr>
        <w:adjustRightInd w:val="0"/>
        <w:ind w:left="709" w:hanging="709"/>
        <w:rPr>
          <w:rFonts w:ascii="Arial" w:hAnsi="Arial" w:cs="Arial"/>
          <w:lang w:val="en-GB"/>
        </w:rPr>
      </w:pPr>
      <w:r w:rsidRPr="008D5699">
        <w:rPr>
          <w:rFonts w:ascii="Arial" w:hAnsi="Arial" w:cs="Arial"/>
          <w:lang w:val="en-US"/>
        </w:rPr>
        <w:t xml:space="preserve">Miller, J. (16 de </w:t>
      </w:r>
      <w:proofErr w:type="spellStart"/>
      <w:proofErr w:type="gramStart"/>
      <w:r w:rsidRPr="008D5699">
        <w:rPr>
          <w:rFonts w:ascii="Arial" w:hAnsi="Arial" w:cs="Arial"/>
          <w:lang w:val="en-US"/>
        </w:rPr>
        <w:t>julio</w:t>
      </w:r>
      <w:proofErr w:type="spellEnd"/>
      <w:proofErr w:type="gramEnd"/>
      <w:r w:rsidRPr="008D5699">
        <w:rPr>
          <w:rFonts w:ascii="Arial" w:hAnsi="Arial" w:cs="Arial"/>
          <w:lang w:val="en-US"/>
        </w:rPr>
        <w:t xml:space="preserve"> de 2012) U.S. Energy Security and the Next Energy Crisis. </w:t>
      </w:r>
      <w:proofErr w:type="gramStart"/>
      <w:r w:rsidRPr="008D5699">
        <w:rPr>
          <w:rFonts w:ascii="Arial" w:hAnsi="Arial" w:cs="Arial"/>
          <w:i/>
          <w:lang w:val="en-US"/>
        </w:rPr>
        <w:t>The Energy Collective</w:t>
      </w:r>
      <w:r w:rsidRPr="008D5699">
        <w:rPr>
          <w:rFonts w:ascii="Arial" w:hAnsi="Arial" w:cs="Arial"/>
          <w:lang w:val="en-US"/>
        </w:rPr>
        <w:t>.</w:t>
      </w:r>
      <w:proofErr w:type="gramEnd"/>
      <w:r w:rsidRPr="008D5699">
        <w:rPr>
          <w:rFonts w:ascii="Arial" w:hAnsi="Arial" w:cs="Arial"/>
          <w:lang w:val="en-US"/>
        </w:rPr>
        <w:t xml:space="preserve"> </w:t>
      </w:r>
      <w:proofErr w:type="spellStart"/>
      <w:r w:rsidRPr="003F6DA8">
        <w:rPr>
          <w:rFonts w:ascii="Arial" w:hAnsi="Arial" w:cs="Arial"/>
          <w:lang w:val="en-GB"/>
        </w:rPr>
        <w:t>Recuperado</w:t>
      </w:r>
      <w:proofErr w:type="spellEnd"/>
      <w:r w:rsidRPr="003F6DA8">
        <w:rPr>
          <w:rFonts w:ascii="Arial" w:hAnsi="Arial" w:cs="Arial"/>
          <w:lang w:val="en-GB"/>
        </w:rPr>
        <w:t xml:space="preserve"> de http://www.theenergycollective.com/jemillerep/93716/us-energy-security-and-next-energy-crisis</w:t>
      </w:r>
      <w:r w:rsidR="0047512E" w:rsidRPr="003F6DA8">
        <w:rPr>
          <w:rFonts w:ascii="Arial" w:hAnsi="Arial" w:cs="Arial"/>
          <w:lang w:val="en-GB"/>
        </w:rPr>
        <w:t>Emergency Petroleum Allocation Act, 1973</w:t>
      </w:r>
    </w:p>
    <w:p w14:paraId="0411989A" w14:textId="5691653F" w:rsidR="008D5699" w:rsidRPr="008D5699" w:rsidRDefault="008D5699" w:rsidP="008D5699">
      <w:pPr>
        <w:ind w:left="709" w:hanging="709"/>
        <w:rPr>
          <w:rFonts w:ascii="Arial" w:hAnsi="Arial" w:cs="Arial"/>
        </w:rPr>
      </w:pPr>
      <w:proofErr w:type="gramStart"/>
      <w:r w:rsidRPr="008D5699">
        <w:rPr>
          <w:rFonts w:ascii="Arial" w:hAnsi="Arial" w:cs="Arial"/>
          <w:lang w:val="en-US"/>
        </w:rPr>
        <w:t xml:space="preserve">Friedman, T.L. (5 de </w:t>
      </w:r>
      <w:proofErr w:type="spellStart"/>
      <w:r w:rsidRPr="008D5699">
        <w:rPr>
          <w:rFonts w:ascii="Arial" w:hAnsi="Arial" w:cs="Arial"/>
          <w:lang w:val="en-US"/>
        </w:rPr>
        <w:t>enero</w:t>
      </w:r>
      <w:proofErr w:type="spellEnd"/>
      <w:r w:rsidRPr="008D5699">
        <w:rPr>
          <w:rFonts w:ascii="Arial" w:hAnsi="Arial" w:cs="Arial"/>
          <w:lang w:val="en-US"/>
        </w:rPr>
        <w:t xml:space="preserve"> de 2007) The First Energy President.</w:t>
      </w:r>
      <w:proofErr w:type="gramEnd"/>
      <w:r w:rsidRPr="008D5699">
        <w:rPr>
          <w:rFonts w:ascii="Arial" w:hAnsi="Arial" w:cs="Arial"/>
          <w:lang w:val="en-US"/>
        </w:rPr>
        <w:t xml:space="preserve"> </w:t>
      </w:r>
      <w:proofErr w:type="gramStart"/>
      <w:r w:rsidRPr="008D5699">
        <w:rPr>
          <w:rFonts w:ascii="Arial" w:hAnsi="Arial" w:cs="Arial"/>
          <w:i/>
          <w:lang w:val="en-US"/>
        </w:rPr>
        <w:t>The New York Times.</w:t>
      </w:r>
      <w:proofErr w:type="gramEnd"/>
      <w:r w:rsidRPr="008D5699">
        <w:rPr>
          <w:rFonts w:ascii="Arial" w:hAnsi="Arial" w:cs="Arial"/>
          <w:i/>
          <w:lang w:val="en-US"/>
        </w:rPr>
        <w:t xml:space="preserve"> </w:t>
      </w:r>
      <w:r w:rsidRPr="008D5699">
        <w:rPr>
          <w:rFonts w:ascii="Arial" w:hAnsi="Arial" w:cs="Arial"/>
        </w:rPr>
        <w:t>Recuperado de http://www.nytimes.com/2007/01/05/opinion/05friedman.html?_r=0</w:t>
      </w:r>
    </w:p>
    <w:p w14:paraId="1840EC6B" w14:textId="63511358" w:rsidR="008D5699" w:rsidRPr="008D5699" w:rsidRDefault="008D5699" w:rsidP="008D5699">
      <w:pPr>
        <w:ind w:left="709" w:hanging="709"/>
        <w:rPr>
          <w:rFonts w:ascii="Arial" w:hAnsi="Arial" w:cs="Arial"/>
        </w:rPr>
      </w:pPr>
      <w:proofErr w:type="gramStart"/>
      <w:r w:rsidRPr="008D5699">
        <w:rPr>
          <w:rFonts w:ascii="Arial" w:hAnsi="Arial" w:cs="Arial"/>
          <w:lang w:val="en-US"/>
        </w:rPr>
        <w:t xml:space="preserve">Yang, C. (2009) </w:t>
      </w:r>
      <w:r w:rsidRPr="008D5699">
        <w:rPr>
          <w:rFonts w:ascii="Arial" w:hAnsi="Arial" w:cs="Arial"/>
          <w:i/>
          <w:lang w:val="en-US"/>
        </w:rPr>
        <w:t>Belief-bases Energy Technology Development in the United States.</w:t>
      </w:r>
      <w:proofErr w:type="gramEnd"/>
      <w:r w:rsidRPr="008D5699">
        <w:rPr>
          <w:rFonts w:ascii="Arial" w:hAnsi="Arial" w:cs="Arial"/>
          <w:lang w:val="en-US"/>
        </w:rPr>
        <w:t xml:space="preserve"> </w:t>
      </w:r>
      <w:r w:rsidRPr="008D5699">
        <w:rPr>
          <w:rFonts w:ascii="Arial" w:hAnsi="Arial" w:cs="Arial"/>
        </w:rPr>
        <w:t xml:space="preserve">Amherst, N.Y., Cambria </w:t>
      </w:r>
      <w:proofErr w:type="spellStart"/>
      <w:r w:rsidRPr="008D5699">
        <w:rPr>
          <w:rFonts w:ascii="Arial" w:hAnsi="Arial" w:cs="Arial"/>
        </w:rPr>
        <w:t>Press</w:t>
      </w:r>
      <w:proofErr w:type="spellEnd"/>
      <w:r w:rsidRPr="008D5699">
        <w:rPr>
          <w:rFonts w:ascii="Arial" w:hAnsi="Arial" w:cs="Arial"/>
        </w:rPr>
        <w:t>. Obtenido de http://ostseis.anl.gov/documents/fpeis/vol3/OSTS_FPEIS_vol3_App_A.pdf</w:t>
      </w:r>
    </w:p>
    <w:p w14:paraId="0DBA7773" w14:textId="77777777" w:rsidR="008D5699" w:rsidRPr="008D5699" w:rsidRDefault="008D5699" w:rsidP="008D5699">
      <w:pPr>
        <w:ind w:left="709" w:hanging="709"/>
        <w:rPr>
          <w:rFonts w:ascii="Arial" w:hAnsi="Arial" w:cs="Arial"/>
        </w:rPr>
      </w:pPr>
    </w:p>
    <w:p w14:paraId="5C69D285" w14:textId="4693DC64" w:rsidR="008D5699" w:rsidRPr="003F6DA8" w:rsidRDefault="008D5699" w:rsidP="008D5699">
      <w:pPr>
        <w:ind w:left="709" w:hanging="709"/>
        <w:rPr>
          <w:rFonts w:ascii="Arial" w:hAnsi="Arial" w:cs="Arial"/>
          <w:lang w:val="en-GB"/>
        </w:rPr>
      </w:pPr>
      <w:proofErr w:type="spellStart"/>
      <w:r w:rsidRPr="008D5699">
        <w:rPr>
          <w:rFonts w:ascii="Arial" w:hAnsi="Arial" w:cs="Arial"/>
          <w:lang w:val="en-US"/>
        </w:rPr>
        <w:lastRenderedPageBreak/>
        <w:t>Copulos</w:t>
      </w:r>
      <w:proofErr w:type="spellEnd"/>
      <w:r w:rsidRPr="008D5699">
        <w:rPr>
          <w:rFonts w:ascii="Arial" w:hAnsi="Arial" w:cs="Arial"/>
          <w:lang w:val="en-US"/>
        </w:rPr>
        <w:t xml:space="preserve">, M.R. (1985) Salvaging the Synthetic Fuels Corporation. </w:t>
      </w:r>
      <w:proofErr w:type="gramStart"/>
      <w:r w:rsidRPr="008D5699">
        <w:rPr>
          <w:rFonts w:ascii="Arial" w:hAnsi="Arial" w:cs="Arial"/>
          <w:i/>
          <w:lang w:val="en-US"/>
        </w:rPr>
        <w:t>The Heritage Foundation</w:t>
      </w:r>
      <w:r w:rsidRPr="008D5699">
        <w:rPr>
          <w:rFonts w:ascii="Arial" w:hAnsi="Arial" w:cs="Arial"/>
          <w:lang w:val="en-US"/>
        </w:rPr>
        <w:t>.</w:t>
      </w:r>
      <w:proofErr w:type="gramEnd"/>
      <w:r w:rsidRPr="008D5699">
        <w:rPr>
          <w:rFonts w:ascii="Arial" w:hAnsi="Arial" w:cs="Arial"/>
          <w:lang w:val="en-US"/>
        </w:rPr>
        <w:t xml:space="preserve"> </w:t>
      </w:r>
      <w:proofErr w:type="spellStart"/>
      <w:r w:rsidRPr="003F6DA8">
        <w:rPr>
          <w:rFonts w:ascii="Arial" w:hAnsi="Arial" w:cs="Arial"/>
          <w:lang w:val="en-GB"/>
        </w:rPr>
        <w:t>Recuperado</w:t>
      </w:r>
      <w:proofErr w:type="spellEnd"/>
      <w:r w:rsidRPr="003F6DA8">
        <w:rPr>
          <w:rFonts w:ascii="Arial" w:hAnsi="Arial" w:cs="Arial"/>
          <w:lang w:val="en-GB"/>
        </w:rPr>
        <w:t xml:space="preserve"> </w:t>
      </w:r>
      <w:proofErr w:type="gramStart"/>
      <w:r w:rsidRPr="003F6DA8">
        <w:rPr>
          <w:rFonts w:ascii="Arial" w:hAnsi="Arial" w:cs="Arial"/>
          <w:lang w:val="en-GB"/>
        </w:rPr>
        <w:t>de  http</w:t>
      </w:r>
      <w:proofErr w:type="gramEnd"/>
      <w:r w:rsidRPr="003F6DA8">
        <w:rPr>
          <w:rFonts w:ascii="Arial" w:hAnsi="Arial" w:cs="Arial"/>
          <w:lang w:val="en-GB"/>
        </w:rPr>
        <w:t>://www.heritage.org/research/reports/1985/04/salvaging-the-synthetic-fuels-corporation</w:t>
      </w:r>
    </w:p>
    <w:p w14:paraId="0527B247" w14:textId="1A06353F" w:rsidR="0047512E" w:rsidRPr="008D5699" w:rsidRDefault="008D5699" w:rsidP="0047512E">
      <w:pPr>
        <w:adjustRightInd w:val="0"/>
        <w:ind w:left="709" w:hanging="709"/>
        <w:rPr>
          <w:rFonts w:ascii="Arial" w:hAnsi="Arial" w:cs="Arial"/>
          <w:lang w:val="en-US"/>
        </w:rPr>
      </w:pPr>
      <w:r>
        <w:rPr>
          <w:rFonts w:ascii="Arial" w:hAnsi="Arial" w:cs="Arial"/>
          <w:lang w:val="en-US"/>
        </w:rPr>
        <w:t>Energy Security Act de</w:t>
      </w:r>
      <w:r w:rsidR="0047512E" w:rsidRPr="008D5699">
        <w:rPr>
          <w:rFonts w:ascii="Arial" w:hAnsi="Arial" w:cs="Arial"/>
          <w:lang w:val="en-US"/>
        </w:rPr>
        <w:t xml:space="preserve"> 1980</w:t>
      </w:r>
    </w:p>
    <w:p w14:paraId="0F56052B" w14:textId="66507912" w:rsidR="0047512E" w:rsidRPr="008D5699" w:rsidRDefault="008D5699" w:rsidP="0047512E">
      <w:pPr>
        <w:adjustRightInd w:val="0"/>
        <w:ind w:left="709" w:hanging="709"/>
        <w:rPr>
          <w:rFonts w:ascii="Arial" w:hAnsi="Arial" w:cs="Arial"/>
          <w:lang w:val="en-US"/>
        </w:rPr>
      </w:pPr>
      <w:r>
        <w:rPr>
          <w:rFonts w:ascii="Arial" w:hAnsi="Arial" w:cs="Arial"/>
          <w:lang w:val="en-US"/>
        </w:rPr>
        <w:t xml:space="preserve">Center for Responsive Politics: OpenSecrets.org </w:t>
      </w:r>
      <w:proofErr w:type="spellStart"/>
      <w:r>
        <w:rPr>
          <w:rFonts w:ascii="Arial" w:hAnsi="Arial" w:cs="Arial"/>
          <w:lang w:val="en-US"/>
        </w:rPr>
        <w:t>Recuperado</w:t>
      </w:r>
      <w:proofErr w:type="spellEnd"/>
      <w:r>
        <w:rPr>
          <w:rFonts w:ascii="Arial" w:hAnsi="Arial" w:cs="Arial"/>
          <w:lang w:val="en-US"/>
        </w:rPr>
        <w:t xml:space="preserve"> de: </w:t>
      </w:r>
      <w:hyperlink r:id="rId48" w:history="1">
        <w:r w:rsidR="0047512E" w:rsidRPr="008D5699">
          <w:rPr>
            <w:rFonts w:ascii="Arial" w:hAnsi="Arial" w:cs="Arial"/>
            <w:lang w:val="en-US"/>
          </w:rPr>
          <w:t>https://www.opensecrets.org/members-of</w:t>
        </w:r>
      </w:hyperlink>
      <w:r w:rsidR="0047512E" w:rsidRPr="008D5699">
        <w:rPr>
          <w:rFonts w:ascii="Arial" w:hAnsi="Arial" w:cs="Arial"/>
          <w:lang w:val="en-US"/>
        </w:rPr>
        <w:t xml:space="preserve"> congress/</w:t>
      </w:r>
      <w:proofErr w:type="spellStart"/>
      <w:r w:rsidR="0047512E" w:rsidRPr="008D5699">
        <w:rPr>
          <w:rFonts w:ascii="Arial" w:hAnsi="Arial" w:cs="Arial"/>
          <w:lang w:val="en-US"/>
        </w:rPr>
        <w:t>summary</w:t>
      </w:r>
      <w:proofErr w:type="gramStart"/>
      <w:r w:rsidR="0047512E" w:rsidRPr="008D5699">
        <w:rPr>
          <w:rFonts w:ascii="Arial" w:hAnsi="Arial" w:cs="Arial"/>
          <w:lang w:val="en-US"/>
        </w:rPr>
        <w:t>?cid</w:t>
      </w:r>
      <w:proofErr w:type="spellEnd"/>
      <w:proofErr w:type="gramEnd"/>
      <w:r w:rsidR="0047512E" w:rsidRPr="008D5699">
        <w:rPr>
          <w:rFonts w:ascii="Arial" w:hAnsi="Arial" w:cs="Arial"/>
          <w:lang w:val="en-US"/>
        </w:rPr>
        <w:t>=N00006134&amp;cycle=2006&amp;type=I</w:t>
      </w:r>
    </w:p>
    <w:p w14:paraId="104508AE" w14:textId="5793F3B6" w:rsidR="0047512E" w:rsidRPr="008D5699" w:rsidRDefault="008D5699" w:rsidP="0047512E">
      <w:pPr>
        <w:adjustRightInd w:val="0"/>
        <w:ind w:left="709" w:hanging="709"/>
        <w:rPr>
          <w:rFonts w:ascii="Arial" w:hAnsi="Arial" w:cs="Arial"/>
          <w:lang w:val="en-US"/>
        </w:rPr>
      </w:pPr>
      <w:r>
        <w:rPr>
          <w:rFonts w:ascii="Arial" w:hAnsi="Arial" w:cs="Arial"/>
          <w:lang w:val="en-US"/>
        </w:rPr>
        <w:t xml:space="preserve">United States House of Representatives, </w:t>
      </w:r>
      <w:r w:rsidRPr="008D5699">
        <w:rPr>
          <w:rFonts w:ascii="Arial" w:hAnsi="Arial" w:cs="Arial"/>
          <w:lang w:val="en-US"/>
        </w:rPr>
        <w:t>https://</w:t>
      </w:r>
      <w:r>
        <w:rPr>
          <w:rFonts w:ascii="Arial" w:hAnsi="Arial" w:cs="Arial"/>
          <w:lang w:val="en-US"/>
        </w:rPr>
        <w:t>www.</w:t>
      </w:r>
      <w:r w:rsidR="0047512E" w:rsidRPr="008D5699">
        <w:rPr>
          <w:rFonts w:ascii="Arial" w:hAnsi="Arial" w:cs="Arial"/>
          <w:lang w:val="en-US"/>
        </w:rPr>
        <w:t>house.gov</w:t>
      </w:r>
    </w:p>
    <w:p w14:paraId="6E662B7D" w14:textId="310ECC7B" w:rsidR="0047512E" w:rsidRPr="008D5699" w:rsidRDefault="008D5699" w:rsidP="0047512E">
      <w:pPr>
        <w:adjustRightInd w:val="0"/>
        <w:ind w:left="709" w:hanging="709"/>
        <w:rPr>
          <w:rFonts w:ascii="Arial" w:hAnsi="Arial" w:cs="Arial"/>
          <w:lang w:val="en-US"/>
        </w:rPr>
      </w:pPr>
      <w:r>
        <w:rPr>
          <w:rFonts w:ascii="Arial" w:hAnsi="Arial" w:cs="Arial"/>
          <w:lang w:val="en-US"/>
        </w:rPr>
        <w:t xml:space="preserve">United States Senate, </w:t>
      </w:r>
      <w:r w:rsidRPr="008D5699">
        <w:rPr>
          <w:rFonts w:ascii="Arial" w:hAnsi="Arial" w:cs="Arial"/>
          <w:lang w:val="en-US"/>
        </w:rPr>
        <w:t>https://www.senate.gov/</w:t>
      </w:r>
    </w:p>
    <w:p w14:paraId="57DABF07" w14:textId="1C3D53E7" w:rsidR="0047512E" w:rsidRPr="008D5699" w:rsidRDefault="008D5699" w:rsidP="0047512E">
      <w:pPr>
        <w:adjustRightInd w:val="0"/>
        <w:ind w:left="709" w:hanging="709"/>
        <w:rPr>
          <w:rFonts w:ascii="Arial" w:hAnsi="Arial" w:cs="Arial"/>
        </w:rPr>
      </w:pPr>
      <w:proofErr w:type="spellStart"/>
      <w:r w:rsidRPr="008D5699">
        <w:rPr>
          <w:rFonts w:ascii="Arial" w:hAnsi="Arial" w:cs="Arial"/>
        </w:rPr>
        <w:t>Civic</w:t>
      </w:r>
      <w:proofErr w:type="spellEnd"/>
      <w:r w:rsidRPr="008D5699">
        <w:rPr>
          <w:rFonts w:ascii="Arial" w:hAnsi="Arial" w:cs="Arial"/>
        </w:rPr>
        <w:t xml:space="preserve"> impulse</w:t>
      </w:r>
      <w:r>
        <w:rPr>
          <w:rFonts w:ascii="Arial" w:hAnsi="Arial" w:cs="Arial"/>
        </w:rPr>
        <w:t xml:space="preserve">, LLC GovTrack.us Recuperado de </w:t>
      </w:r>
      <w:hyperlink r:id="rId49" w:history="1">
        <w:r w:rsidR="0047512E" w:rsidRPr="008D5699">
          <w:rPr>
            <w:rFonts w:ascii="Arial" w:hAnsi="Arial" w:cs="Arial"/>
          </w:rPr>
          <w:t>https://www.govtrack.us/congress/votes/109-2005/s213</w:t>
        </w:r>
      </w:hyperlink>
    </w:p>
    <w:p w14:paraId="7DDF5F2F" w14:textId="77777777" w:rsidR="0047512E" w:rsidRPr="008D5699" w:rsidRDefault="0047512E" w:rsidP="0047512E">
      <w:pPr>
        <w:adjustRightInd w:val="0"/>
        <w:ind w:left="709" w:hanging="709"/>
        <w:rPr>
          <w:rFonts w:ascii="Arial" w:hAnsi="Arial" w:cs="Arial"/>
        </w:rPr>
      </w:pPr>
    </w:p>
    <w:p w14:paraId="58403EA4" w14:textId="47AB6FCA" w:rsidR="0047512E" w:rsidRPr="00AB27E6" w:rsidRDefault="00AB27E6" w:rsidP="0047512E">
      <w:pPr>
        <w:adjustRightInd w:val="0"/>
        <w:ind w:left="709" w:hanging="709"/>
        <w:rPr>
          <w:rFonts w:ascii="Arial" w:hAnsi="Arial" w:cs="Arial"/>
          <w:lang w:val="en-US"/>
        </w:rPr>
      </w:pPr>
      <w:r w:rsidRPr="00AB27E6">
        <w:rPr>
          <w:rFonts w:ascii="Arial" w:hAnsi="Arial" w:cs="Arial"/>
          <w:lang w:val="en-US"/>
        </w:rPr>
        <w:t>(Civic Impulse, 2017) (Center for Responsive Politics, 2017)</w:t>
      </w:r>
    </w:p>
    <w:sectPr w:rsidR="0047512E" w:rsidRPr="00AB27E6" w:rsidSect="0047512E">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DEC4DB" w15:done="0"/>
  <w15:commentEx w15:paraId="41F466CF" w15:done="0"/>
  <w15:commentEx w15:paraId="146AE499" w15:done="0"/>
  <w15:commentEx w15:paraId="0EED57F3" w15:done="0"/>
  <w15:commentEx w15:paraId="0C72B265" w15:done="0"/>
  <w15:commentEx w15:paraId="502EEB45" w15:done="0"/>
  <w15:commentEx w15:paraId="01BA13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1F844" w14:textId="77777777" w:rsidR="00E6644C" w:rsidRDefault="00E6644C" w:rsidP="002F6212">
      <w:pPr>
        <w:spacing w:after="0" w:line="240" w:lineRule="auto"/>
      </w:pPr>
      <w:r>
        <w:separator/>
      </w:r>
    </w:p>
  </w:endnote>
  <w:endnote w:type="continuationSeparator" w:id="0">
    <w:p w14:paraId="0FC610C8" w14:textId="77777777" w:rsidR="00E6644C" w:rsidRDefault="00E6644C" w:rsidP="002F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235941"/>
      <w:docPartObj>
        <w:docPartGallery w:val="Page Numbers (Bottom of Page)"/>
        <w:docPartUnique/>
      </w:docPartObj>
    </w:sdtPr>
    <w:sdtContent>
      <w:p w14:paraId="4208C37B" w14:textId="655A0821" w:rsidR="008029AF" w:rsidRDefault="008029AF">
        <w:pPr>
          <w:pStyle w:val="Piedepgina"/>
          <w:jc w:val="right"/>
        </w:pPr>
        <w:r>
          <w:fldChar w:fldCharType="begin"/>
        </w:r>
        <w:r>
          <w:instrText>PAGE   \* MERGEFORMAT</w:instrText>
        </w:r>
        <w:r>
          <w:fldChar w:fldCharType="separate"/>
        </w:r>
        <w:r w:rsidR="00B31FDC" w:rsidRPr="00B31FDC">
          <w:rPr>
            <w:noProof/>
            <w:lang w:val="es-ES"/>
          </w:rPr>
          <w:t>1</w:t>
        </w:r>
        <w:r>
          <w:fldChar w:fldCharType="end"/>
        </w:r>
      </w:p>
    </w:sdtContent>
  </w:sdt>
  <w:p w14:paraId="2989F4D5" w14:textId="77777777" w:rsidR="008029AF" w:rsidRDefault="008029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32D14" w14:textId="77777777" w:rsidR="00E6644C" w:rsidRDefault="00E6644C" w:rsidP="002F6212">
      <w:pPr>
        <w:spacing w:after="0" w:line="240" w:lineRule="auto"/>
      </w:pPr>
      <w:r>
        <w:separator/>
      </w:r>
    </w:p>
  </w:footnote>
  <w:footnote w:type="continuationSeparator" w:id="0">
    <w:p w14:paraId="73D369E1" w14:textId="77777777" w:rsidR="00E6644C" w:rsidRDefault="00E6644C" w:rsidP="002F6212">
      <w:pPr>
        <w:spacing w:after="0" w:line="240" w:lineRule="auto"/>
      </w:pPr>
      <w:r>
        <w:continuationSeparator/>
      </w:r>
    </w:p>
  </w:footnote>
  <w:footnote w:id="1">
    <w:p w14:paraId="06AFD59C" w14:textId="2717DCA6" w:rsidR="008029AF" w:rsidRDefault="008029AF" w:rsidP="005D23CD">
      <w:pPr>
        <w:pStyle w:val="Textonotapie"/>
      </w:pPr>
      <w:r>
        <w:rPr>
          <w:rStyle w:val="Refdenotaalpie"/>
        </w:rPr>
        <w:footnoteRef/>
      </w:r>
      <w:r>
        <w:t xml:space="preserve"> Las reservas contingentes se clasifican así ya que no están consideradas con viabilidad comercial; pueden ser acumulaciones potencialmente recuperables de las cuales no exista por el momento un mercado viable, que su extracción dependa del desarrollo de tecnología, o que la evaluación de la acumulación se encuentre en fase inicial.</w:t>
      </w:r>
    </w:p>
  </w:footnote>
  <w:footnote w:id="2">
    <w:p w14:paraId="22A28496" w14:textId="6ABF5CD1" w:rsidR="008029AF" w:rsidRPr="00391019" w:rsidRDefault="008029AF" w:rsidP="005D23CD">
      <w:pPr>
        <w:pStyle w:val="Textonotapie"/>
      </w:pPr>
      <w:r>
        <w:rPr>
          <w:rStyle w:val="Refdenotaalpie"/>
        </w:rPr>
        <w:footnoteRef/>
      </w:r>
      <w:r>
        <w:t xml:space="preserve"> La formación fósil de Río Verde se encuentra distribuida en los estados de Wyoming, Utah y Colorado y se considera que contiene el depósito más importante de petróleo </w:t>
      </w:r>
      <w:proofErr w:type="spellStart"/>
      <w:r w:rsidRPr="0051226B">
        <w:rPr>
          <w:i/>
        </w:rPr>
        <w:t>shale</w:t>
      </w:r>
      <w:proofErr w:type="spellEnd"/>
      <w:r>
        <w:t xml:space="preserve"> en el mundo.</w:t>
      </w:r>
    </w:p>
  </w:footnote>
  <w:footnote w:id="3">
    <w:p w14:paraId="59E2CB2F" w14:textId="77777777" w:rsidR="008029AF" w:rsidRDefault="008029AF" w:rsidP="005D23CD">
      <w:pPr>
        <w:pStyle w:val="Textonotapie"/>
      </w:pPr>
      <w:r>
        <w:rPr>
          <w:rStyle w:val="Refdenotaalpie"/>
        </w:rPr>
        <w:footnoteRef/>
      </w:r>
      <w:r>
        <w:t xml:space="preserve"> El Departamento de Energía de EE.UU. incluye en sus estadísticas sobre </w:t>
      </w:r>
      <w:proofErr w:type="spellStart"/>
      <w:r w:rsidRPr="00E141B8">
        <w:rPr>
          <w:i/>
        </w:rPr>
        <w:t>fracking</w:t>
      </w:r>
      <w:proofErr w:type="spellEnd"/>
      <w:r>
        <w:t xml:space="preserve"> al </w:t>
      </w:r>
      <w:proofErr w:type="spellStart"/>
      <w:r w:rsidRPr="0051226B">
        <w:rPr>
          <w:i/>
        </w:rPr>
        <w:t>shale</w:t>
      </w:r>
      <w:proofErr w:type="spellEnd"/>
      <w:r w:rsidRPr="00E141B8">
        <w:rPr>
          <w:i/>
        </w:rPr>
        <w:t xml:space="preserve"> gas</w:t>
      </w:r>
      <w:r>
        <w:t xml:space="preserve"> y </w:t>
      </w:r>
      <w:proofErr w:type="spellStart"/>
      <w:r w:rsidRPr="0051226B">
        <w:rPr>
          <w:i/>
        </w:rPr>
        <w:t>oil</w:t>
      </w:r>
      <w:proofErr w:type="spellEnd"/>
      <w:r>
        <w:t xml:space="preserve"> aun cuando éste trabajo se centra en la industria de </w:t>
      </w:r>
      <w:proofErr w:type="spellStart"/>
      <w:r w:rsidRPr="0051226B">
        <w:rPr>
          <w:i/>
        </w:rPr>
        <w:t>shale</w:t>
      </w:r>
      <w:proofErr w:type="spellEnd"/>
      <w:r w:rsidRPr="00E141B8">
        <w:rPr>
          <w:i/>
        </w:rPr>
        <w:t xml:space="preserve"> </w:t>
      </w:r>
      <w:proofErr w:type="spellStart"/>
      <w:r w:rsidRPr="0051226B">
        <w:rPr>
          <w:i/>
        </w:rPr>
        <w:t>oil</w:t>
      </w:r>
      <w:proofErr w:type="spellEnd"/>
      <w:r>
        <w:t xml:space="preserve"> ya que tiene un desarrollo diferente al gas.</w:t>
      </w:r>
    </w:p>
  </w:footnote>
  <w:footnote w:id="4">
    <w:p w14:paraId="5E3355E3" w14:textId="77777777" w:rsidR="008029AF" w:rsidRPr="00974716" w:rsidRDefault="008029AF" w:rsidP="004E3427">
      <w:pPr>
        <w:pStyle w:val="Default"/>
      </w:pPr>
      <w:r>
        <w:rPr>
          <w:rStyle w:val="Refdenotaalpie"/>
        </w:rPr>
        <w:footnoteRef/>
      </w:r>
      <w:r w:rsidRPr="00974716">
        <w:t xml:space="preserve"> </w:t>
      </w:r>
      <w:r w:rsidRPr="00E467B6">
        <w:rPr>
          <w:rFonts w:asciiTheme="minorHAnsi" w:eastAsiaTheme="minorEastAsia" w:hAnsiTheme="minorHAnsi" w:cstheme="minorBidi"/>
          <w:color w:val="auto"/>
          <w:sz w:val="20"/>
          <w:szCs w:val="20"/>
          <w:lang w:eastAsia="zh-CN"/>
        </w:rPr>
        <w:t xml:space="preserve">Las instituciones que participan en la elaboración del PRMS y por lo tanto aplican sus criterios a la industria son las siguientes: </w:t>
      </w:r>
      <w:proofErr w:type="spellStart"/>
      <w:r w:rsidRPr="00E467B6">
        <w:rPr>
          <w:rFonts w:asciiTheme="minorHAnsi" w:eastAsiaTheme="minorEastAsia" w:hAnsiTheme="minorHAnsi" w:cstheme="minorBidi"/>
          <w:color w:val="auto"/>
          <w:sz w:val="20"/>
          <w:szCs w:val="20"/>
          <w:lang w:eastAsia="zh-CN"/>
        </w:rPr>
        <w:t>Society</w:t>
      </w:r>
      <w:proofErr w:type="spellEnd"/>
      <w:r w:rsidRPr="00E467B6">
        <w:rPr>
          <w:rFonts w:asciiTheme="minorHAnsi" w:eastAsiaTheme="minorEastAsia" w:hAnsiTheme="minorHAnsi" w:cstheme="minorBidi"/>
          <w:color w:val="auto"/>
          <w:sz w:val="20"/>
          <w:szCs w:val="20"/>
          <w:lang w:eastAsia="zh-CN"/>
        </w:rPr>
        <w:t xml:space="preserve"> of </w:t>
      </w:r>
      <w:proofErr w:type="spellStart"/>
      <w:r w:rsidRPr="00E467B6">
        <w:rPr>
          <w:rFonts w:asciiTheme="minorHAnsi" w:eastAsiaTheme="minorEastAsia" w:hAnsiTheme="minorHAnsi" w:cstheme="minorBidi"/>
          <w:color w:val="auto"/>
          <w:sz w:val="20"/>
          <w:szCs w:val="20"/>
          <w:lang w:eastAsia="zh-CN"/>
        </w:rPr>
        <w:t>Petroleum</w:t>
      </w:r>
      <w:proofErr w:type="spellEnd"/>
      <w:r w:rsidRPr="00E467B6">
        <w:rPr>
          <w:rFonts w:asciiTheme="minorHAnsi" w:eastAsiaTheme="minorEastAsia" w:hAnsiTheme="minorHAnsi" w:cstheme="minorBidi"/>
          <w:color w:val="auto"/>
          <w:sz w:val="20"/>
          <w:szCs w:val="20"/>
          <w:lang w:eastAsia="zh-CN"/>
        </w:rPr>
        <w:t xml:space="preserve"> </w:t>
      </w:r>
      <w:proofErr w:type="spellStart"/>
      <w:r w:rsidRPr="00E467B6">
        <w:rPr>
          <w:rFonts w:asciiTheme="minorHAnsi" w:eastAsiaTheme="minorEastAsia" w:hAnsiTheme="minorHAnsi" w:cstheme="minorBidi"/>
          <w:color w:val="auto"/>
          <w:sz w:val="20"/>
          <w:szCs w:val="20"/>
          <w:lang w:eastAsia="zh-CN"/>
        </w:rPr>
        <w:t>Engineers</w:t>
      </w:r>
      <w:proofErr w:type="spellEnd"/>
      <w:r w:rsidRPr="00E467B6">
        <w:rPr>
          <w:rFonts w:asciiTheme="minorHAnsi" w:eastAsiaTheme="minorEastAsia" w:hAnsiTheme="minorHAnsi" w:cstheme="minorBidi"/>
          <w:color w:val="auto"/>
          <w:sz w:val="20"/>
          <w:szCs w:val="20"/>
          <w:lang w:eastAsia="zh-CN"/>
        </w:rPr>
        <w:t xml:space="preserve"> (SPE), American </w:t>
      </w:r>
      <w:proofErr w:type="spellStart"/>
      <w:r w:rsidRPr="00E467B6">
        <w:rPr>
          <w:rFonts w:asciiTheme="minorHAnsi" w:eastAsiaTheme="minorEastAsia" w:hAnsiTheme="minorHAnsi" w:cstheme="minorBidi"/>
          <w:color w:val="auto"/>
          <w:sz w:val="20"/>
          <w:szCs w:val="20"/>
          <w:lang w:eastAsia="zh-CN"/>
        </w:rPr>
        <w:t>Association</w:t>
      </w:r>
      <w:proofErr w:type="spellEnd"/>
      <w:r w:rsidRPr="00E467B6">
        <w:rPr>
          <w:rFonts w:asciiTheme="minorHAnsi" w:eastAsiaTheme="minorEastAsia" w:hAnsiTheme="minorHAnsi" w:cstheme="minorBidi"/>
          <w:color w:val="auto"/>
          <w:sz w:val="20"/>
          <w:szCs w:val="20"/>
          <w:lang w:eastAsia="zh-CN"/>
        </w:rPr>
        <w:t xml:space="preserve"> of </w:t>
      </w:r>
      <w:proofErr w:type="spellStart"/>
      <w:r w:rsidRPr="00E467B6">
        <w:rPr>
          <w:rFonts w:asciiTheme="minorHAnsi" w:eastAsiaTheme="minorEastAsia" w:hAnsiTheme="minorHAnsi" w:cstheme="minorBidi"/>
          <w:color w:val="auto"/>
          <w:sz w:val="20"/>
          <w:szCs w:val="20"/>
          <w:lang w:eastAsia="zh-CN"/>
        </w:rPr>
        <w:t>Petroleum</w:t>
      </w:r>
      <w:proofErr w:type="spellEnd"/>
      <w:r w:rsidRPr="00E467B6">
        <w:rPr>
          <w:rFonts w:asciiTheme="minorHAnsi" w:eastAsiaTheme="minorEastAsia" w:hAnsiTheme="minorHAnsi" w:cstheme="minorBidi"/>
          <w:color w:val="auto"/>
          <w:sz w:val="20"/>
          <w:szCs w:val="20"/>
          <w:lang w:eastAsia="zh-CN"/>
        </w:rPr>
        <w:t xml:space="preserve"> </w:t>
      </w:r>
      <w:proofErr w:type="spellStart"/>
      <w:r w:rsidRPr="00E467B6">
        <w:rPr>
          <w:rFonts w:asciiTheme="minorHAnsi" w:eastAsiaTheme="minorEastAsia" w:hAnsiTheme="minorHAnsi" w:cstheme="minorBidi"/>
          <w:color w:val="auto"/>
          <w:sz w:val="20"/>
          <w:szCs w:val="20"/>
          <w:lang w:eastAsia="zh-CN"/>
        </w:rPr>
        <w:t>Geologists</w:t>
      </w:r>
      <w:proofErr w:type="spellEnd"/>
      <w:r w:rsidRPr="00E467B6">
        <w:rPr>
          <w:rFonts w:asciiTheme="minorHAnsi" w:eastAsiaTheme="minorEastAsia" w:hAnsiTheme="minorHAnsi" w:cstheme="minorBidi"/>
          <w:color w:val="auto"/>
          <w:sz w:val="20"/>
          <w:szCs w:val="20"/>
          <w:lang w:eastAsia="zh-CN"/>
        </w:rPr>
        <w:t xml:space="preserve"> (AAPG), </w:t>
      </w:r>
      <w:proofErr w:type="spellStart"/>
      <w:r w:rsidRPr="00E467B6">
        <w:rPr>
          <w:rFonts w:asciiTheme="minorHAnsi" w:eastAsiaTheme="minorEastAsia" w:hAnsiTheme="minorHAnsi" w:cstheme="minorBidi"/>
          <w:color w:val="auto"/>
          <w:sz w:val="20"/>
          <w:szCs w:val="20"/>
          <w:lang w:eastAsia="zh-CN"/>
        </w:rPr>
        <w:t>World</w:t>
      </w:r>
      <w:proofErr w:type="spellEnd"/>
      <w:r w:rsidRPr="00E467B6">
        <w:rPr>
          <w:rFonts w:asciiTheme="minorHAnsi" w:eastAsiaTheme="minorEastAsia" w:hAnsiTheme="minorHAnsi" w:cstheme="minorBidi"/>
          <w:color w:val="auto"/>
          <w:sz w:val="20"/>
          <w:szCs w:val="20"/>
          <w:lang w:eastAsia="zh-CN"/>
        </w:rPr>
        <w:t xml:space="preserve"> </w:t>
      </w:r>
      <w:proofErr w:type="spellStart"/>
      <w:r w:rsidRPr="00E467B6">
        <w:rPr>
          <w:rFonts w:asciiTheme="minorHAnsi" w:eastAsiaTheme="minorEastAsia" w:hAnsiTheme="minorHAnsi" w:cstheme="minorBidi"/>
          <w:color w:val="auto"/>
          <w:sz w:val="20"/>
          <w:szCs w:val="20"/>
          <w:lang w:eastAsia="zh-CN"/>
        </w:rPr>
        <w:t>Petroleum</w:t>
      </w:r>
      <w:proofErr w:type="spellEnd"/>
      <w:r w:rsidRPr="00E467B6">
        <w:rPr>
          <w:rFonts w:asciiTheme="minorHAnsi" w:eastAsiaTheme="minorEastAsia" w:hAnsiTheme="minorHAnsi" w:cstheme="minorBidi"/>
          <w:color w:val="auto"/>
          <w:sz w:val="20"/>
          <w:szCs w:val="20"/>
          <w:lang w:eastAsia="zh-CN"/>
        </w:rPr>
        <w:t xml:space="preserve"> Council (WPC),</w:t>
      </w:r>
      <w:proofErr w:type="spellStart"/>
      <w:r w:rsidRPr="00E467B6">
        <w:rPr>
          <w:rFonts w:asciiTheme="minorHAnsi" w:eastAsiaTheme="minorEastAsia" w:hAnsiTheme="minorHAnsi" w:cstheme="minorBidi"/>
          <w:color w:val="auto"/>
          <w:sz w:val="20"/>
          <w:szCs w:val="20"/>
          <w:lang w:eastAsia="zh-CN"/>
        </w:rPr>
        <w:t>Society</w:t>
      </w:r>
      <w:proofErr w:type="spellEnd"/>
      <w:r w:rsidRPr="00E467B6">
        <w:rPr>
          <w:rFonts w:asciiTheme="minorHAnsi" w:eastAsiaTheme="minorEastAsia" w:hAnsiTheme="minorHAnsi" w:cstheme="minorBidi"/>
          <w:color w:val="auto"/>
          <w:sz w:val="20"/>
          <w:szCs w:val="20"/>
          <w:lang w:eastAsia="zh-CN"/>
        </w:rPr>
        <w:t xml:space="preserve"> of </w:t>
      </w:r>
      <w:proofErr w:type="spellStart"/>
      <w:r w:rsidRPr="00E467B6">
        <w:rPr>
          <w:rFonts w:asciiTheme="minorHAnsi" w:eastAsiaTheme="minorEastAsia" w:hAnsiTheme="minorHAnsi" w:cstheme="minorBidi"/>
          <w:color w:val="auto"/>
          <w:sz w:val="20"/>
          <w:szCs w:val="20"/>
          <w:lang w:eastAsia="zh-CN"/>
        </w:rPr>
        <w:t>Petroleum</w:t>
      </w:r>
      <w:proofErr w:type="spellEnd"/>
      <w:r w:rsidRPr="00E467B6">
        <w:rPr>
          <w:rFonts w:asciiTheme="minorHAnsi" w:eastAsiaTheme="minorEastAsia" w:hAnsiTheme="minorHAnsi" w:cstheme="minorBidi"/>
          <w:color w:val="auto"/>
          <w:sz w:val="20"/>
          <w:szCs w:val="20"/>
          <w:lang w:eastAsia="zh-CN"/>
        </w:rPr>
        <w:t xml:space="preserve"> </w:t>
      </w:r>
      <w:proofErr w:type="spellStart"/>
      <w:r w:rsidRPr="00E467B6">
        <w:rPr>
          <w:rFonts w:asciiTheme="minorHAnsi" w:eastAsiaTheme="minorEastAsia" w:hAnsiTheme="minorHAnsi" w:cstheme="minorBidi"/>
          <w:color w:val="auto"/>
          <w:sz w:val="20"/>
          <w:szCs w:val="20"/>
          <w:lang w:eastAsia="zh-CN"/>
        </w:rPr>
        <w:t>Evaluation</w:t>
      </w:r>
      <w:proofErr w:type="spellEnd"/>
      <w:r w:rsidRPr="00E467B6">
        <w:rPr>
          <w:rFonts w:asciiTheme="minorHAnsi" w:eastAsiaTheme="minorEastAsia" w:hAnsiTheme="minorHAnsi" w:cstheme="minorBidi"/>
          <w:color w:val="auto"/>
          <w:sz w:val="20"/>
          <w:szCs w:val="20"/>
          <w:lang w:eastAsia="zh-CN"/>
        </w:rPr>
        <w:t xml:space="preserve"> </w:t>
      </w:r>
      <w:proofErr w:type="spellStart"/>
      <w:r w:rsidRPr="00E467B6">
        <w:rPr>
          <w:rFonts w:asciiTheme="minorHAnsi" w:eastAsiaTheme="minorEastAsia" w:hAnsiTheme="minorHAnsi" w:cstheme="minorBidi"/>
          <w:color w:val="auto"/>
          <w:sz w:val="20"/>
          <w:szCs w:val="20"/>
          <w:lang w:eastAsia="zh-CN"/>
        </w:rPr>
        <w:t>Engineers</w:t>
      </w:r>
      <w:proofErr w:type="spellEnd"/>
      <w:r w:rsidRPr="00E467B6">
        <w:rPr>
          <w:rFonts w:asciiTheme="minorHAnsi" w:eastAsiaTheme="minorEastAsia" w:hAnsiTheme="minorHAnsi" w:cstheme="minorBidi"/>
          <w:color w:val="auto"/>
          <w:sz w:val="20"/>
          <w:szCs w:val="20"/>
          <w:lang w:eastAsia="zh-CN"/>
        </w:rPr>
        <w:t xml:space="preserve"> (SPEE),</w:t>
      </w:r>
      <w:proofErr w:type="spellStart"/>
      <w:r w:rsidRPr="00E467B6">
        <w:rPr>
          <w:rFonts w:asciiTheme="minorHAnsi" w:eastAsiaTheme="minorEastAsia" w:hAnsiTheme="minorHAnsi" w:cstheme="minorBidi"/>
          <w:color w:val="auto"/>
          <w:sz w:val="20"/>
          <w:szCs w:val="20"/>
          <w:lang w:eastAsia="zh-CN"/>
        </w:rPr>
        <w:t>Society</w:t>
      </w:r>
      <w:proofErr w:type="spellEnd"/>
      <w:r w:rsidRPr="00E467B6">
        <w:rPr>
          <w:rFonts w:asciiTheme="minorHAnsi" w:eastAsiaTheme="minorEastAsia" w:hAnsiTheme="minorHAnsi" w:cstheme="minorBidi"/>
          <w:color w:val="auto"/>
          <w:sz w:val="20"/>
          <w:szCs w:val="20"/>
          <w:lang w:eastAsia="zh-CN"/>
        </w:rPr>
        <w:t xml:space="preserve"> of </w:t>
      </w:r>
      <w:proofErr w:type="spellStart"/>
      <w:r w:rsidRPr="00E467B6">
        <w:rPr>
          <w:rFonts w:asciiTheme="minorHAnsi" w:eastAsiaTheme="minorEastAsia" w:hAnsiTheme="minorHAnsi" w:cstheme="minorBidi"/>
          <w:color w:val="auto"/>
          <w:sz w:val="20"/>
          <w:szCs w:val="20"/>
          <w:lang w:eastAsia="zh-CN"/>
        </w:rPr>
        <w:t>Exploration</w:t>
      </w:r>
      <w:proofErr w:type="spellEnd"/>
      <w:r w:rsidRPr="00E467B6">
        <w:rPr>
          <w:rFonts w:asciiTheme="minorHAnsi" w:eastAsiaTheme="minorEastAsia" w:hAnsiTheme="minorHAnsi" w:cstheme="minorBidi"/>
          <w:color w:val="auto"/>
          <w:sz w:val="20"/>
          <w:szCs w:val="20"/>
          <w:lang w:eastAsia="zh-CN"/>
        </w:rPr>
        <w:t xml:space="preserve"> </w:t>
      </w:r>
      <w:proofErr w:type="spellStart"/>
      <w:r w:rsidRPr="00E467B6">
        <w:rPr>
          <w:rFonts w:asciiTheme="minorHAnsi" w:eastAsiaTheme="minorEastAsia" w:hAnsiTheme="minorHAnsi" w:cstheme="minorBidi"/>
          <w:color w:val="auto"/>
          <w:sz w:val="20"/>
          <w:szCs w:val="20"/>
          <w:lang w:eastAsia="zh-CN"/>
        </w:rPr>
        <w:t>Geophysicists</w:t>
      </w:r>
      <w:proofErr w:type="spellEnd"/>
      <w:r w:rsidRPr="00E467B6">
        <w:rPr>
          <w:rFonts w:asciiTheme="minorHAnsi" w:eastAsiaTheme="minorEastAsia" w:hAnsiTheme="minorHAnsi" w:cstheme="minorBidi"/>
          <w:color w:val="auto"/>
          <w:sz w:val="20"/>
          <w:szCs w:val="20"/>
          <w:lang w:eastAsia="zh-CN"/>
        </w:rPr>
        <w:t xml:space="preserve"> (SEG)</w:t>
      </w:r>
    </w:p>
  </w:footnote>
  <w:footnote w:id="5">
    <w:p w14:paraId="6E946AD5" w14:textId="740B23D4" w:rsidR="008029AF" w:rsidRDefault="008029AF">
      <w:pPr>
        <w:pStyle w:val="Textonotapie"/>
      </w:pPr>
      <w:r>
        <w:rPr>
          <w:rStyle w:val="Refdenotaalpie"/>
        </w:rPr>
        <w:footnoteRef/>
      </w:r>
      <w:r>
        <w:t xml:space="preserve"> Los combustibles sintéticos se obtienen de una mezcla entre monóxido de carbono e hidrógeno derivado de una gasificación de sólidos. Existen diversos métodos para la creación de combustibles sintéticos, entre los que se involucra la utilización de petróleo </w:t>
      </w:r>
      <w:proofErr w:type="spellStart"/>
      <w:r w:rsidRPr="0083210D">
        <w:rPr>
          <w:i/>
        </w:rPr>
        <w:t>shale</w:t>
      </w:r>
      <w:proofErr w:type="spellEnd"/>
      <w:r>
        <w:t xml:space="preserve"> u otros hidrocarburos no convencionales.</w:t>
      </w:r>
    </w:p>
  </w:footnote>
  <w:footnote w:id="6">
    <w:p w14:paraId="5F2FF703" w14:textId="556F59A4" w:rsidR="008029AF" w:rsidRDefault="008029AF">
      <w:pPr>
        <w:pStyle w:val="Textonotapie"/>
      </w:pPr>
      <w:r>
        <w:rPr>
          <w:rStyle w:val="Refdenotaalpie"/>
        </w:rPr>
        <w:footnoteRef/>
      </w:r>
      <w:r>
        <w:t xml:space="preserve"> De acuerdo con la EIA (</w:t>
      </w:r>
      <w:proofErr w:type="spellStart"/>
      <w:r>
        <w:t>Energy</w:t>
      </w:r>
      <w:proofErr w:type="spellEnd"/>
      <w:r>
        <w:t xml:space="preserve"> </w:t>
      </w:r>
      <w:proofErr w:type="spellStart"/>
      <w:r>
        <w:t>Information</w:t>
      </w:r>
      <w:proofErr w:type="spellEnd"/>
      <w:r>
        <w:t xml:space="preserve"> Agency) EE.UU. fue el principal consumidor de energía del mundo con un consumo de </w:t>
      </w:r>
      <w:r w:rsidRPr="00BB5553">
        <w:t>19</w:t>
      </w:r>
      <w:proofErr w:type="gramStart"/>
      <w:r w:rsidRPr="00BB5553">
        <w:t>,531,000</w:t>
      </w:r>
      <w:proofErr w:type="gramEnd"/>
      <w:r w:rsidRPr="00BB5553">
        <w:t xml:space="preserve"> barriles</w:t>
      </w:r>
      <w:r>
        <w:t xml:space="preserve"> en 2015</w:t>
      </w:r>
      <w:r w:rsidRPr="00BB5553">
        <w:t>. El segundo país más consumidor de petróleo es China con 12</w:t>
      </w:r>
      <w:proofErr w:type="gramStart"/>
      <w:r w:rsidRPr="00BB5553">
        <w:t>,020,000</w:t>
      </w:r>
      <w:proofErr w:type="gramEnd"/>
      <w:r w:rsidRPr="00BB5553">
        <w:t xml:space="preserve"> barriles.</w:t>
      </w:r>
    </w:p>
  </w:footnote>
  <w:footnote w:id="7">
    <w:p w14:paraId="49BA7F10" w14:textId="77777777" w:rsidR="008029AF" w:rsidRDefault="008029AF" w:rsidP="00F15B81">
      <w:pPr>
        <w:pStyle w:val="Textonotapie"/>
      </w:pPr>
      <w:r>
        <w:rPr>
          <w:rStyle w:val="Refdenotaalpie"/>
        </w:rPr>
        <w:footnoteRef/>
      </w:r>
      <w:r>
        <w:t xml:space="preserve">La teoría del pico de </w:t>
      </w:r>
      <w:proofErr w:type="spellStart"/>
      <w:r>
        <w:t>Hubbert</w:t>
      </w:r>
      <w:proofErr w:type="spellEnd"/>
      <w:r>
        <w:t xml:space="preserve"> predice el agotamiento del petróleo y otros combustibles fósiles dejarán de producirse ya que llegarán a su cenit y la curva de su producción declinará. Se considera que el factor limitante a la producción es la energía requerida para la extracción.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D6984" w14:textId="0E45BD61" w:rsidR="008029AF" w:rsidRPr="008311A3" w:rsidRDefault="008029AF">
    <w:pPr>
      <w:pStyle w:val="Encabezado"/>
      <w:rPr>
        <w:sz w:val="20"/>
      </w:rPr>
    </w:pPr>
    <w:r w:rsidRPr="008311A3">
      <w:rPr>
        <w:sz w:val="20"/>
      </w:rPr>
      <w:t>Ma. Fernanda Flores Porras</w:t>
    </w:r>
  </w:p>
  <w:p w14:paraId="7C4215A8" w14:textId="32CC7454" w:rsidR="008029AF" w:rsidRDefault="008029AF">
    <w:pPr>
      <w:pStyle w:val="Encabezado"/>
      <w:rPr>
        <w:sz w:val="20"/>
      </w:rPr>
    </w:pPr>
    <w:r w:rsidRPr="008311A3">
      <w:rPr>
        <w:sz w:val="20"/>
      </w:rPr>
      <w:t>Relaciones Internacionales</w:t>
    </w:r>
  </w:p>
  <w:p w14:paraId="689778EE" w14:textId="16072811" w:rsidR="008029AF" w:rsidRDefault="008029AF">
    <w:pPr>
      <w:pStyle w:val="Encabezado"/>
      <w:rPr>
        <w:sz w:val="20"/>
      </w:rPr>
    </w:pPr>
    <w:proofErr w:type="spellStart"/>
    <w:r>
      <w:rPr>
        <w:sz w:val="20"/>
      </w:rPr>
      <w:t>Practicum</w:t>
    </w:r>
    <w:proofErr w:type="spellEnd"/>
    <w:r>
      <w:rPr>
        <w:sz w:val="20"/>
      </w:rPr>
      <w:t xml:space="preserve"> I</w:t>
    </w:r>
  </w:p>
  <w:p w14:paraId="247EE2B8" w14:textId="77777777" w:rsidR="008029AF" w:rsidRDefault="008029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EA9"/>
    <w:multiLevelType w:val="hybridMultilevel"/>
    <w:tmpl w:val="9C84FB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E43D22"/>
    <w:multiLevelType w:val="hybridMultilevel"/>
    <w:tmpl w:val="BB74C2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804571"/>
    <w:multiLevelType w:val="hybridMultilevel"/>
    <w:tmpl w:val="AB80F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277E53"/>
    <w:multiLevelType w:val="hybridMultilevel"/>
    <w:tmpl w:val="803E2C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nsid w:val="23F104D3"/>
    <w:multiLevelType w:val="hybridMultilevel"/>
    <w:tmpl w:val="54BC3A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F52635"/>
    <w:multiLevelType w:val="hybridMultilevel"/>
    <w:tmpl w:val="E40C6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1B4817"/>
    <w:multiLevelType w:val="hybridMultilevel"/>
    <w:tmpl w:val="84B8F0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3E87A77"/>
    <w:multiLevelType w:val="hybridMultilevel"/>
    <w:tmpl w:val="CFB4CD5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4500FC8"/>
    <w:multiLevelType w:val="hybridMultilevel"/>
    <w:tmpl w:val="BB74C22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EEF2366"/>
    <w:multiLevelType w:val="hybridMultilevel"/>
    <w:tmpl w:val="4C0AB08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F7E65A8"/>
    <w:multiLevelType w:val="hybridMultilevel"/>
    <w:tmpl w:val="9C84FB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7FB6F08"/>
    <w:multiLevelType w:val="hybridMultilevel"/>
    <w:tmpl w:val="12C0D2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2"/>
  </w:num>
  <w:num w:numId="5">
    <w:abstractNumId w:val="7"/>
  </w:num>
  <w:num w:numId="6">
    <w:abstractNumId w:val="0"/>
  </w:num>
  <w:num w:numId="7">
    <w:abstractNumId w:val="10"/>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ández Sordo Santiago">
    <w15:presenceInfo w15:providerId="AD" w15:userId="S-1-5-21-1933378212-425144593-312552118-32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212"/>
    <w:rsid w:val="00012ADC"/>
    <w:rsid w:val="000162F6"/>
    <w:rsid w:val="00017795"/>
    <w:rsid w:val="000179B6"/>
    <w:rsid w:val="0002208C"/>
    <w:rsid w:val="0002260A"/>
    <w:rsid w:val="0002756C"/>
    <w:rsid w:val="00040167"/>
    <w:rsid w:val="000553CA"/>
    <w:rsid w:val="00057088"/>
    <w:rsid w:val="000848C6"/>
    <w:rsid w:val="000A00EB"/>
    <w:rsid w:val="000C29DF"/>
    <w:rsid w:val="000C3024"/>
    <w:rsid w:val="000D23D2"/>
    <w:rsid w:val="000D62F7"/>
    <w:rsid w:val="000D71E5"/>
    <w:rsid w:val="000F29A6"/>
    <w:rsid w:val="00113901"/>
    <w:rsid w:val="00130F9F"/>
    <w:rsid w:val="001317AE"/>
    <w:rsid w:val="001372FA"/>
    <w:rsid w:val="00140F6B"/>
    <w:rsid w:val="00150FA4"/>
    <w:rsid w:val="00151746"/>
    <w:rsid w:val="00151C20"/>
    <w:rsid w:val="001621CC"/>
    <w:rsid w:val="0017083F"/>
    <w:rsid w:val="001734FA"/>
    <w:rsid w:val="00187FCB"/>
    <w:rsid w:val="00193545"/>
    <w:rsid w:val="00193780"/>
    <w:rsid w:val="001963CB"/>
    <w:rsid w:val="001A721A"/>
    <w:rsid w:val="001E3090"/>
    <w:rsid w:val="001E37AB"/>
    <w:rsid w:val="001E3E8E"/>
    <w:rsid w:val="001E6E20"/>
    <w:rsid w:val="00201578"/>
    <w:rsid w:val="00216848"/>
    <w:rsid w:val="00221C41"/>
    <w:rsid w:val="00263EED"/>
    <w:rsid w:val="002654F1"/>
    <w:rsid w:val="002727DE"/>
    <w:rsid w:val="002807DD"/>
    <w:rsid w:val="00281D0C"/>
    <w:rsid w:val="002856C5"/>
    <w:rsid w:val="00290132"/>
    <w:rsid w:val="00295F7C"/>
    <w:rsid w:val="002A62E9"/>
    <w:rsid w:val="002C4CB8"/>
    <w:rsid w:val="002C74DA"/>
    <w:rsid w:val="002F6212"/>
    <w:rsid w:val="0030236B"/>
    <w:rsid w:val="00322A56"/>
    <w:rsid w:val="0032632D"/>
    <w:rsid w:val="00337300"/>
    <w:rsid w:val="00340061"/>
    <w:rsid w:val="0034213B"/>
    <w:rsid w:val="00355998"/>
    <w:rsid w:val="0036652C"/>
    <w:rsid w:val="00367E4F"/>
    <w:rsid w:val="00375557"/>
    <w:rsid w:val="00387BD5"/>
    <w:rsid w:val="00395532"/>
    <w:rsid w:val="003A5C93"/>
    <w:rsid w:val="003C4AA4"/>
    <w:rsid w:val="003C5F7E"/>
    <w:rsid w:val="003C7C41"/>
    <w:rsid w:val="003F1749"/>
    <w:rsid w:val="003F6DA8"/>
    <w:rsid w:val="00415BA8"/>
    <w:rsid w:val="004336E9"/>
    <w:rsid w:val="00455595"/>
    <w:rsid w:val="00465577"/>
    <w:rsid w:val="00466CB0"/>
    <w:rsid w:val="0047512E"/>
    <w:rsid w:val="0049166F"/>
    <w:rsid w:val="00492CFA"/>
    <w:rsid w:val="004948F7"/>
    <w:rsid w:val="004C6898"/>
    <w:rsid w:val="004C7A81"/>
    <w:rsid w:val="004E3427"/>
    <w:rsid w:val="004E699A"/>
    <w:rsid w:val="004F5510"/>
    <w:rsid w:val="00504A45"/>
    <w:rsid w:val="005107C0"/>
    <w:rsid w:val="00517867"/>
    <w:rsid w:val="0052360D"/>
    <w:rsid w:val="00532CB0"/>
    <w:rsid w:val="00587E28"/>
    <w:rsid w:val="005920A5"/>
    <w:rsid w:val="005973C3"/>
    <w:rsid w:val="005B6D20"/>
    <w:rsid w:val="005D23CD"/>
    <w:rsid w:val="005D3A15"/>
    <w:rsid w:val="005D7416"/>
    <w:rsid w:val="005E11A3"/>
    <w:rsid w:val="006036C7"/>
    <w:rsid w:val="006076C3"/>
    <w:rsid w:val="00613578"/>
    <w:rsid w:val="00616FF2"/>
    <w:rsid w:val="00630495"/>
    <w:rsid w:val="0063505A"/>
    <w:rsid w:val="006362B4"/>
    <w:rsid w:val="00642B48"/>
    <w:rsid w:val="00657D92"/>
    <w:rsid w:val="00665474"/>
    <w:rsid w:val="00672848"/>
    <w:rsid w:val="006747B8"/>
    <w:rsid w:val="00696338"/>
    <w:rsid w:val="00697A8A"/>
    <w:rsid w:val="006C3A71"/>
    <w:rsid w:val="006E7D1A"/>
    <w:rsid w:val="00706C6C"/>
    <w:rsid w:val="007235C6"/>
    <w:rsid w:val="00741A72"/>
    <w:rsid w:val="007539E3"/>
    <w:rsid w:val="00762B4E"/>
    <w:rsid w:val="007665EB"/>
    <w:rsid w:val="00771C35"/>
    <w:rsid w:val="00771D81"/>
    <w:rsid w:val="00773FBD"/>
    <w:rsid w:val="00777E6E"/>
    <w:rsid w:val="00785719"/>
    <w:rsid w:val="007860D0"/>
    <w:rsid w:val="007C4750"/>
    <w:rsid w:val="007D1A5A"/>
    <w:rsid w:val="007D3B75"/>
    <w:rsid w:val="007D44A9"/>
    <w:rsid w:val="007E14D3"/>
    <w:rsid w:val="008003F0"/>
    <w:rsid w:val="008029AF"/>
    <w:rsid w:val="00807496"/>
    <w:rsid w:val="008105BC"/>
    <w:rsid w:val="00830847"/>
    <w:rsid w:val="008311A3"/>
    <w:rsid w:val="0083210D"/>
    <w:rsid w:val="00843D61"/>
    <w:rsid w:val="00854601"/>
    <w:rsid w:val="00871F1C"/>
    <w:rsid w:val="0087308E"/>
    <w:rsid w:val="0089035C"/>
    <w:rsid w:val="008943BE"/>
    <w:rsid w:val="0089626C"/>
    <w:rsid w:val="008A3A21"/>
    <w:rsid w:val="008D5699"/>
    <w:rsid w:val="008F21BC"/>
    <w:rsid w:val="00910012"/>
    <w:rsid w:val="00910698"/>
    <w:rsid w:val="0092607C"/>
    <w:rsid w:val="00937317"/>
    <w:rsid w:val="00953865"/>
    <w:rsid w:val="00954A06"/>
    <w:rsid w:val="0095662F"/>
    <w:rsid w:val="00974625"/>
    <w:rsid w:val="009925DC"/>
    <w:rsid w:val="009936D2"/>
    <w:rsid w:val="009C04A5"/>
    <w:rsid w:val="009D1320"/>
    <w:rsid w:val="009D5EF6"/>
    <w:rsid w:val="009F1996"/>
    <w:rsid w:val="009F2A77"/>
    <w:rsid w:val="009F2C78"/>
    <w:rsid w:val="009F5FC1"/>
    <w:rsid w:val="00A01228"/>
    <w:rsid w:val="00A54538"/>
    <w:rsid w:val="00A64162"/>
    <w:rsid w:val="00A65B54"/>
    <w:rsid w:val="00A750D1"/>
    <w:rsid w:val="00AB27E6"/>
    <w:rsid w:val="00AB730E"/>
    <w:rsid w:val="00AC177C"/>
    <w:rsid w:val="00AE5BF2"/>
    <w:rsid w:val="00AF0D2B"/>
    <w:rsid w:val="00AF4AFC"/>
    <w:rsid w:val="00B27C1E"/>
    <w:rsid w:val="00B31FDC"/>
    <w:rsid w:val="00B367AA"/>
    <w:rsid w:val="00B524C7"/>
    <w:rsid w:val="00B72CDF"/>
    <w:rsid w:val="00B80992"/>
    <w:rsid w:val="00BB5553"/>
    <w:rsid w:val="00BC09F5"/>
    <w:rsid w:val="00BD54B5"/>
    <w:rsid w:val="00BD60D6"/>
    <w:rsid w:val="00BF3110"/>
    <w:rsid w:val="00C1458A"/>
    <w:rsid w:val="00C569D4"/>
    <w:rsid w:val="00C67945"/>
    <w:rsid w:val="00C67EA4"/>
    <w:rsid w:val="00C7471D"/>
    <w:rsid w:val="00C74BCB"/>
    <w:rsid w:val="00C929F5"/>
    <w:rsid w:val="00C9676E"/>
    <w:rsid w:val="00CB152E"/>
    <w:rsid w:val="00CB351C"/>
    <w:rsid w:val="00CB436E"/>
    <w:rsid w:val="00CD1F6D"/>
    <w:rsid w:val="00CD301A"/>
    <w:rsid w:val="00CE1960"/>
    <w:rsid w:val="00D0164B"/>
    <w:rsid w:val="00D0540A"/>
    <w:rsid w:val="00D11340"/>
    <w:rsid w:val="00D319EB"/>
    <w:rsid w:val="00D4649B"/>
    <w:rsid w:val="00D50ABA"/>
    <w:rsid w:val="00D62A41"/>
    <w:rsid w:val="00DA451C"/>
    <w:rsid w:val="00DB4E50"/>
    <w:rsid w:val="00DF27F9"/>
    <w:rsid w:val="00E066E3"/>
    <w:rsid w:val="00E140AE"/>
    <w:rsid w:val="00E41B83"/>
    <w:rsid w:val="00E436DE"/>
    <w:rsid w:val="00E467B6"/>
    <w:rsid w:val="00E6644C"/>
    <w:rsid w:val="00E67CCC"/>
    <w:rsid w:val="00E81DE9"/>
    <w:rsid w:val="00E9414C"/>
    <w:rsid w:val="00EA7567"/>
    <w:rsid w:val="00EB0E90"/>
    <w:rsid w:val="00EB1E02"/>
    <w:rsid w:val="00EB34DA"/>
    <w:rsid w:val="00EC2EC2"/>
    <w:rsid w:val="00EC7741"/>
    <w:rsid w:val="00ED53B8"/>
    <w:rsid w:val="00ED77CD"/>
    <w:rsid w:val="00EE5260"/>
    <w:rsid w:val="00EE5EE7"/>
    <w:rsid w:val="00EF3303"/>
    <w:rsid w:val="00EF7113"/>
    <w:rsid w:val="00F07219"/>
    <w:rsid w:val="00F15B81"/>
    <w:rsid w:val="00F20630"/>
    <w:rsid w:val="00F47F2D"/>
    <w:rsid w:val="00F51D2B"/>
    <w:rsid w:val="00F67779"/>
    <w:rsid w:val="00F816F2"/>
    <w:rsid w:val="00F90A4E"/>
    <w:rsid w:val="00F928D5"/>
    <w:rsid w:val="00F95783"/>
    <w:rsid w:val="00FB0620"/>
    <w:rsid w:val="00FC2855"/>
    <w:rsid w:val="00FE1DBA"/>
    <w:rsid w:val="00FF165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0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2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2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212"/>
    <w:pPr>
      <w:ind w:left="720"/>
      <w:contextualSpacing/>
    </w:pPr>
  </w:style>
  <w:style w:type="paragraph" w:styleId="Textonotapie">
    <w:name w:val="footnote text"/>
    <w:basedOn w:val="Normal"/>
    <w:link w:val="TextonotapieCar"/>
    <w:uiPriority w:val="99"/>
    <w:semiHidden/>
    <w:unhideWhenUsed/>
    <w:rsid w:val="002F62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6212"/>
    <w:rPr>
      <w:sz w:val="20"/>
      <w:szCs w:val="20"/>
    </w:rPr>
  </w:style>
  <w:style w:type="character" w:styleId="Refdenotaalpie">
    <w:name w:val="footnote reference"/>
    <w:basedOn w:val="Fuentedeprrafopredeter"/>
    <w:uiPriority w:val="99"/>
    <w:semiHidden/>
    <w:unhideWhenUsed/>
    <w:rsid w:val="002F6212"/>
    <w:rPr>
      <w:vertAlign w:val="superscript"/>
    </w:rPr>
  </w:style>
  <w:style w:type="character" w:styleId="Refdecomentario">
    <w:name w:val="annotation reference"/>
    <w:basedOn w:val="Fuentedeprrafopredeter"/>
    <w:uiPriority w:val="99"/>
    <w:semiHidden/>
    <w:unhideWhenUsed/>
    <w:rsid w:val="005973C3"/>
    <w:rPr>
      <w:sz w:val="16"/>
      <w:szCs w:val="16"/>
    </w:rPr>
  </w:style>
  <w:style w:type="paragraph" w:styleId="Textocomentario">
    <w:name w:val="annotation text"/>
    <w:basedOn w:val="Normal"/>
    <w:link w:val="TextocomentarioCar"/>
    <w:uiPriority w:val="99"/>
    <w:semiHidden/>
    <w:unhideWhenUsed/>
    <w:rsid w:val="005973C3"/>
    <w:pPr>
      <w:spacing w:before="180" w:after="0" w:line="240" w:lineRule="auto"/>
      <w:jc w:val="both"/>
    </w:pPr>
    <w:rPr>
      <w:rFonts w:ascii="Arial Narrow" w:eastAsiaTheme="minorHAnsi" w:hAnsi="Arial Narrow"/>
      <w:sz w:val="20"/>
      <w:szCs w:val="20"/>
      <w:lang w:eastAsia="en-US"/>
    </w:rPr>
  </w:style>
  <w:style w:type="character" w:customStyle="1" w:styleId="TextocomentarioCar">
    <w:name w:val="Texto comentario Car"/>
    <w:basedOn w:val="Fuentedeprrafopredeter"/>
    <w:link w:val="Textocomentario"/>
    <w:uiPriority w:val="99"/>
    <w:semiHidden/>
    <w:rsid w:val="005973C3"/>
    <w:rPr>
      <w:rFonts w:ascii="Arial Narrow" w:eastAsiaTheme="minorHAnsi" w:hAnsi="Arial Narrow"/>
      <w:sz w:val="20"/>
      <w:szCs w:val="20"/>
      <w:lang w:eastAsia="en-US"/>
    </w:rPr>
  </w:style>
  <w:style w:type="paragraph" w:styleId="Textodeglobo">
    <w:name w:val="Balloon Text"/>
    <w:basedOn w:val="Normal"/>
    <w:link w:val="TextodegloboCar"/>
    <w:uiPriority w:val="99"/>
    <w:semiHidden/>
    <w:unhideWhenUsed/>
    <w:rsid w:val="005973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3C3"/>
    <w:rPr>
      <w:rFonts w:ascii="Tahoma" w:hAnsi="Tahoma" w:cs="Tahoma"/>
      <w:sz w:val="16"/>
      <w:szCs w:val="16"/>
    </w:rPr>
  </w:style>
  <w:style w:type="paragraph" w:styleId="Encabezado">
    <w:name w:val="header"/>
    <w:basedOn w:val="Normal"/>
    <w:link w:val="EncabezadoCar"/>
    <w:uiPriority w:val="99"/>
    <w:unhideWhenUsed/>
    <w:rsid w:val="00D464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49B"/>
  </w:style>
  <w:style w:type="paragraph" w:styleId="Piedepgina">
    <w:name w:val="footer"/>
    <w:basedOn w:val="Normal"/>
    <w:link w:val="PiedepginaCar"/>
    <w:uiPriority w:val="99"/>
    <w:unhideWhenUsed/>
    <w:rsid w:val="00D464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49B"/>
  </w:style>
  <w:style w:type="paragraph" w:styleId="HTMLconformatoprevio">
    <w:name w:val="HTML Preformatted"/>
    <w:basedOn w:val="Normal"/>
    <w:link w:val="HTMLconformatoprevioCar"/>
    <w:uiPriority w:val="99"/>
    <w:semiHidden/>
    <w:unhideWhenUsed/>
    <w:rsid w:val="008F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21BC"/>
    <w:rPr>
      <w:rFonts w:ascii="Courier New" w:eastAsia="Times New Roman" w:hAnsi="Courier New" w:cs="Courier New"/>
      <w:sz w:val="20"/>
      <w:szCs w:val="20"/>
    </w:rPr>
  </w:style>
  <w:style w:type="character" w:styleId="Hipervnculo">
    <w:name w:val="Hyperlink"/>
    <w:basedOn w:val="Fuentedeprrafopredeter"/>
    <w:uiPriority w:val="99"/>
    <w:unhideWhenUsed/>
    <w:rsid w:val="008F21BC"/>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130F9F"/>
    <w:pPr>
      <w:spacing w:before="0" w:after="200"/>
      <w:jc w:val="left"/>
    </w:pPr>
    <w:rPr>
      <w:rFonts w:asciiTheme="minorHAnsi" w:eastAsiaTheme="minorEastAsia" w:hAnsiTheme="minorHAnsi"/>
      <w:b/>
      <w:bCs/>
      <w:lang w:eastAsia="zh-CN"/>
    </w:rPr>
  </w:style>
  <w:style w:type="character" w:customStyle="1" w:styleId="AsuntodelcomentarioCar">
    <w:name w:val="Asunto del comentario Car"/>
    <w:basedOn w:val="TextocomentarioCar"/>
    <w:link w:val="Asuntodelcomentario"/>
    <w:uiPriority w:val="99"/>
    <w:semiHidden/>
    <w:rsid w:val="00130F9F"/>
    <w:rPr>
      <w:rFonts w:ascii="Arial Narrow" w:eastAsiaTheme="minorHAnsi" w:hAnsi="Arial Narrow"/>
      <w:b/>
      <w:bCs/>
      <w:sz w:val="20"/>
      <w:szCs w:val="20"/>
      <w:lang w:eastAsia="en-US"/>
    </w:rPr>
  </w:style>
  <w:style w:type="paragraph" w:styleId="Textonotaalfinal">
    <w:name w:val="endnote text"/>
    <w:basedOn w:val="Normal"/>
    <w:link w:val="TextonotaalfinalCar"/>
    <w:uiPriority w:val="99"/>
    <w:semiHidden/>
    <w:unhideWhenUsed/>
    <w:rsid w:val="00E066E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066E3"/>
    <w:rPr>
      <w:sz w:val="20"/>
      <w:szCs w:val="20"/>
    </w:rPr>
  </w:style>
  <w:style w:type="character" w:styleId="Refdenotaalfinal">
    <w:name w:val="endnote reference"/>
    <w:basedOn w:val="Fuentedeprrafopredeter"/>
    <w:uiPriority w:val="99"/>
    <w:semiHidden/>
    <w:unhideWhenUsed/>
    <w:rsid w:val="00E066E3"/>
    <w:rPr>
      <w:vertAlign w:val="superscript"/>
    </w:rPr>
  </w:style>
  <w:style w:type="character" w:styleId="Nmerodelnea">
    <w:name w:val="line number"/>
    <w:basedOn w:val="Fuentedeprrafopredeter"/>
    <w:uiPriority w:val="99"/>
    <w:semiHidden/>
    <w:unhideWhenUsed/>
    <w:rsid w:val="00E066E3"/>
  </w:style>
  <w:style w:type="character" w:customStyle="1" w:styleId="votepositive">
    <w:name w:val="vote_positive"/>
    <w:basedOn w:val="Fuentedeprrafopredeter"/>
    <w:rsid w:val="000179B6"/>
  </w:style>
  <w:style w:type="character" w:customStyle="1" w:styleId="votenegative">
    <w:name w:val="vote_negative"/>
    <w:basedOn w:val="Fuentedeprrafopredeter"/>
    <w:rsid w:val="000179B6"/>
  </w:style>
  <w:style w:type="paragraph" w:styleId="Subttulo">
    <w:name w:val="Subtitle"/>
    <w:basedOn w:val="Normal"/>
    <w:next w:val="Normal"/>
    <w:link w:val="SubttuloCar"/>
    <w:uiPriority w:val="11"/>
    <w:qFormat/>
    <w:rsid w:val="005D23CD"/>
    <w:pPr>
      <w:numPr>
        <w:ilvl w:val="1"/>
      </w:numPr>
      <w:spacing w:before="180" w:after="0" w:line="240" w:lineRule="auto"/>
      <w:jc w:val="both"/>
    </w:pPr>
    <w:rPr>
      <w:rFonts w:asciiTheme="majorHAnsi" w:eastAsiaTheme="majorEastAsia" w:hAnsiTheme="majorHAnsi" w:cstheme="majorBidi"/>
      <w:i/>
      <w:iCs/>
      <w:color w:val="4F81BD" w:themeColor="accent1"/>
      <w:spacing w:val="15"/>
      <w:sz w:val="24"/>
      <w:szCs w:val="24"/>
      <w:lang w:eastAsia="en-US"/>
    </w:rPr>
  </w:style>
  <w:style w:type="character" w:customStyle="1" w:styleId="SubttuloCar">
    <w:name w:val="Subtítulo Car"/>
    <w:basedOn w:val="Fuentedeprrafopredeter"/>
    <w:link w:val="Subttulo"/>
    <w:uiPriority w:val="11"/>
    <w:rsid w:val="005D23CD"/>
    <w:rPr>
      <w:rFonts w:asciiTheme="majorHAnsi" w:eastAsiaTheme="majorEastAsia" w:hAnsiTheme="majorHAnsi" w:cstheme="majorBidi"/>
      <w:i/>
      <w:iCs/>
      <w:color w:val="4F81BD" w:themeColor="accent1"/>
      <w:spacing w:val="15"/>
      <w:sz w:val="24"/>
      <w:szCs w:val="24"/>
      <w:lang w:eastAsia="en-US"/>
    </w:rPr>
  </w:style>
  <w:style w:type="paragraph" w:customStyle="1" w:styleId="Default">
    <w:name w:val="Default"/>
    <w:rsid w:val="005D23CD"/>
    <w:pPr>
      <w:autoSpaceDE w:val="0"/>
      <w:autoSpaceDN w:val="0"/>
      <w:adjustRightInd w:val="0"/>
      <w:spacing w:after="0" w:line="240" w:lineRule="auto"/>
    </w:pPr>
    <w:rPr>
      <w:rFonts w:ascii="Code" w:eastAsiaTheme="minorHAnsi" w:hAnsi="Code" w:cs="Code"/>
      <w:color w:val="000000"/>
      <w:sz w:val="24"/>
      <w:szCs w:val="24"/>
      <w:lang w:eastAsia="en-US"/>
    </w:rPr>
  </w:style>
  <w:style w:type="paragraph" w:customStyle="1" w:styleId="m3298948023542153198msolistparagraph">
    <w:name w:val="m_3298948023542153198msolistparagraph"/>
    <w:basedOn w:val="Normal"/>
    <w:rsid w:val="00375557"/>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672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029AF"/>
    <w:pPr>
      <w:spacing w:after="0" w:line="240" w:lineRule="auto"/>
    </w:pPr>
  </w:style>
  <w:style w:type="character" w:customStyle="1" w:styleId="SinespaciadoCar">
    <w:name w:val="Sin espaciado Car"/>
    <w:basedOn w:val="Fuentedeprrafopredeter"/>
    <w:link w:val="Sinespaciado"/>
    <w:uiPriority w:val="1"/>
    <w:rsid w:val="008029AF"/>
  </w:style>
  <w:style w:type="character" w:customStyle="1" w:styleId="Ttulo1Car">
    <w:name w:val="Título 1 Car"/>
    <w:basedOn w:val="Fuentedeprrafopredeter"/>
    <w:link w:val="Ttulo1"/>
    <w:uiPriority w:val="9"/>
    <w:rsid w:val="0029013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90132"/>
    <w:pPr>
      <w:outlineLvl w:val="9"/>
    </w:pPr>
  </w:style>
  <w:style w:type="paragraph" w:styleId="TDC2">
    <w:name w:val="toc 2"/>
    <w:basedOn w:val="Normal"/>
    <w:next w:val="Normal"/>
    <w:autoRedefine/>
    <w:uiPriority w:val="39"/>
    <w:unhideWhenUsed/>
    <w:qFormat/>
    <w:rsid w:val="00290132"/>
    <w:pPr>
      <w:spacing w:after="100"/>
      <w:ind w:left="220"/>
    </w:pPr>
  </w:style>
  <w:style w:type="paragraph" w:styleId="TDC1">
    <w:name w:val="toc 1"/>
    <w:basedOn w:val="Normal"/>
    <w:next w:val="Normal"/>
    <w:autoRedefine/>
    <w:uiPriority w:val="39"/>
    <w:unhideWhenUsed/>
    <w:qFormat/>
    <w:rsid w:val="00290132"/>
    <w:pPr>
      <w:spacing w:after="100"/>
    </w:pPr>
  </w:style>
  <w:style w:type="paragraph" w:styleId="TDC3">
    <w:name w:val="toc 3"/>
    <w:basedOn w:val="Normal"/>
    <w:next w:val="Normal"/>
    <w:autoRedefine/>
    <w:uiPriority w:val="39"/>
    <w:unhideWhenUsed/>
    <w:qFormat/>
    <w:rsid w:val="00290132"/>
    <w:pPr>
      <w:spacing w:after="100"/>
      <w:ind w:left="440"/>
    </w:pPr>
  </w:style>
  <w:style w:type="character" w:customStyle="1" w:styleId="Ttulo2Car">
    <w:name w:val="Título 2 Car"/>
    <w:basedOn w:val="Fuentedeprrafopredeter"/>
    <w:link w:val="Ttulo2"/>
    <w:uiPriority w:val="9"/>
    <w:rsid w:val="00DF27F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27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0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2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2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212"/>
    <w:pPr>
      <w:ind w:left="720"/>
      <w:contextualSpacing/>
    </w:pPr>
  </w:style>
  <w:style w:type="paragraph" w:styleId="Textonotapie">
    <w:name w:val="footnote text"/>
    <w:basedOn w:val="Normal"/>
    <w:link w:val="TextonotapieCar"/>
    <w:uiPriority w:val="99"/>
    <w:semiHidden/>
    <w:unhideWhenUsed/>
    <w:rsid w:val="002F62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6212"/>
    <w:rPr>
      <w:sz w:val="20"/>
      <w:szCs w:val="20"/>
    </w:rPr>
  </w:style>
  <w:style w:type="character" w:styleId="Refdenotaalpie">
    <w:name w:val="footnote reference"/>
    <w:basedOn w:val="Fuentedeprrafopredeter"/>
    <w:uiPriority w:val="99"/>
    <w:semiHidden/>
    <w:unhideWhenUsed/>
    <w:rsid w:val="002F6212"/>
    <w:rPr>
      <w:vertAlign w:val="superscript"/>
    </w:rPr>
  </w:style>
  <w:style w:type="character" w:styleId="Refdecomentario">
    <w:name w:val="annotation reference"/>
    <w:basedOn w:val="Fuentedeprrafopredeter"/>
    <w:uiPriority w:val="99"/>
    <w:semiHidden/>
    <w:unhideWhenUsed/>
    <w:rsid w:val="005973C3"/>
    <w:rPr>
      <w:sz w:val="16"/>
      <w:szCs w:val="16"/>
    </w:rPr>
  </w:style>
  <w:style w:type="paragraph" w:styleId="Textocomentario">
    <w:name w:val="annotation text"/>
    <w:basedOn w:val="Normal"/>
    <w:link w:val="TextocomentarioCar"/>
    <w:uiPriority w:val="99"/>
    <w:semiHidden/>
    <w:unhideWhenUsed/>
    <w:rsid w:val="005973C3"/>
    <w:pPr>
      <w:spacing w:before="180" w:after="0" w:line="240" w:lineRule="auto"/>
      <w:jc w:val="both"/>
    </w:pPr>
    <w:rPr>
      <w:rFonts w:ascii="Arial Narrow" w:eastAsiaTheme="minorHAnsi" w:hAnsi="Arial Narrow"/>
      <w:sz w:val="20"/>
      <w:szCs w:val="20"/>
      <w:lang w:eastAsia="en-US"/>
    </w:rPr>
  </w:style>
  <w:style w:type="character" w:customStyle="1" w:styleId="TextocomentarioCar">
    <w:name w:val="Texto comentario Car"/>
    <w:basedOn w:val="Fuentedeprrafopredeter"/>
    <w:link w:val="Textocomentario"/>
    <w:uiPriority w:val="99"/>
    <w:semiHidden/>
    <w:rsid w:val="005973C3"/>
    <w:rPr>
      <w:rFonts w:ascii="Arial Narrow" w:eastAsiaTheme="minorHAnsi" w:hAnsi="Arial Narrow"/>
      <w:sz w:val="20"/>
      <w:szCs w:val="20"/>
      <w:lang w:eastAsia="en-US"/>
    </w:rPr>
  </w:style>
  <w:style w:type="paragraph" w:styleId="Textodeglobo">
    <w:name w:val="Balloon Text"/>
    <w:basedOn w:val="Normal"/>
    <w:link w:val="TextodegloboCar"/>
    <w:uiPriority w:val="99"/>
    <w:semiHidden/>
    <w:unhideWhenUsed/>
    <w:rsid w:val="005973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3C3"/>
    <w:rPr>
      <w:rFonts w:ascii="Tahoma" w:hAnsi="Tahoma" w:cs="Tahoma"/>
      <w:sz w:val="16"/>
      <w:szCs w:val="16"/>
    </w:rPr>
  </w:style>
  <w:style w:type="paragraph" w:styleId="Encabezado">
    <w:name w:val="header"/>
    <w:basedOn w:val="Normal"/>
    <w:link w:val="EncabezadoCar"/>
    <w:uiPriority w:val="99"/>
    <w:unhideWhenUsed/>
    <w:rsid w:val="00D464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49B"/>
  </w:style>
  <w:style w:type="paragraph" w:styleId="Piedepgina">
    <w:name w:val="footer"/>
    <w:basedOn w:val="Normal"/>
    <w:link w:val="PiedepginaCar"/>
    <w:uiPriority w:val="99"/>
    <w:unhideWhenUsed/>
    <w:rsid w:val="00D464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49B"/>
  </w:style>
  <w:style w:type="paragraph" w:styleId="HTMLconformatoprevio">
    <w:name w:val="HTML Preformatted"/>
    <w:basedOn w:val="Normal"/>
    <w:link w:val="HTMLconformatoprevioCar"/>
    <w:uiPriority w:val="99"/>
    <w:semiHidden/>
    <w:unhideWhenUsed/>
    <w:rsid w:val="008F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21BC"/>
    <w:rPr>
      <w:rFonts w:ascii="Courier New" w:eastAsia="Times New Roman" w:hAnsi="Courier New" w:cs="Courier New"/>
      <w:sz w:val="20"/>
      <w:szCs w:val="20"/>
    </w:rPr>
  </w:style>
  <w:style w:type="character" w:styleId="Hipervnculo">
    <w:name w:val="Hyperlink"/>
    <w:basedOn w:val="Fuentedeprrafopredeter"/>
    <w:uiPriority w:val="99"/>
    <w:unhideWhenUsed/>
    <w:rsid w:val="008F21BC"/>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130F9F"/>
    <w:pPr>
      <w:spacing w:before="0" w:after="200"/>
      <w:jc w:val="left"/>
    </w:pPr>
    <w:rPr>
      <w:rFonts w:asciiTheme="minorHAnsi" w:eastAsiaTheme="minorEastAsia" w:hAnsiTheme="minorHAnsi"/>
      <w:b/>
      <w:bCs/>
      <w:lang w:eastAsia="zh-CN"/>
    </w:rPr>
  </w:style>
  <w:style w:type="character" w:customStyle="1" w:styleId="AsuntodelcomentarioCar">
    <w:name w:val="Asunto del comentario Car"/>
    <w:basedOn w:val="TextocomentarioCar"/>
    <w:link w:val="Asuntodelcomentario"/>
    <w:uiPriority w:val="99"/>
    <w:semiHidden/>
    <w:rsid w:val="00130F9F"/>
    <w:rPr>
      <w:rFonts w:ascii="Arial Narrow" w:eastAsiaTheme="minorHAnsi" w:hAnsi="Arial Narrow"/>
      <w:b/>
      <w:bCs/>
      <w:sz w:val="20"/>
      <w:szCs w:val="20"/>
      <w:lang w:eastAsia="en-US"/>
    </w:rPr>
  </w:style>
  <w:style w:type="paragraph" w:styleId="Textonotaalfinal">
    <w:name w:val="endnote text"/>
    <w:basedOn w:val="Normal"/>
    <w:link w:val="TextonotaalfinalCar"/>
    <w:uiPriority w:val="99"/>
    <w:semiHidden/>
    <w:unhideWhenUsed/>
    <w:rsid w:val="00E066E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066E3"/>
    <w:rPr>
      <w:sz w:val="20"/>
      <w:szCs w:val="20"/>
    </w:rPr>
  </w:style>
  <w:style w:type="character" w:styleId="Refdenotaalfinal">
    <w:name w:val="endnote reference"/>
    <w:basedOn w:val="Fuentedeprrafopredeter"/>
    <w:uiPriority w:val="99"/>
    <w:semiHidden/>
    <w:unhideWhenUsed/>
    <w:rsid w:val="00E066E3"/>
    <w:rPr>
      <w:vertAlign w:val="superscript"/>
    </w:rPr>
  </w:style>
  <w:style w:type="character" w:styleId="Nmerodelnea">
    <w:name w:val="line number"/>
    <w:basedOn w:val="Fuentedeprrafopredeter"/>
    <w:uiPriority w:val="99"/>
    <w:semiHidden/>
    <w:unhideWhenUsed/>
    <w:rsid w:val="00E066E3"/>
  </w:style>
  <w:style w:type="character" w:customStyle="1" w:styleId="votepositive">
    <w:name w:val="vote_positive"/>
    <w:basedOn w:val="Fuentedeprrafopredeter"/>
    <w:rsid w:val="000179B6"/>
  </w:style>
  <w:style w:type="character" w:customStyle="1" w:styleId="votenegative">
    <w:name w:val="vote_negative"/>
    <w:basedOn w:val="Fuentedeprrafopredeter"/>
    <w:rsid w:val="000179B6"/>
  </w:style>
  <w:style w:type="paragraph" w:styleId="Subttulo">
    <w:name w:val="Subtitle"/>
    <w:basedOn w:val="Normal"/>
    <w:next w:val="Normal"/>
    <w:link w:val="SubttuloCar"/>
    <w:uiPriority w:val="11"/>
    <w:qFormat/>
    <w:rsid w:val="005D23CD"/>
    <w:pPr>
      <w:numPr>
        <w:ilvl w:val="1"/>
      </w:numPr>
      <w:spacing w:before="180" w:after="0" w:line="240" w:lineRule="auto"/>
      <w:jc w:val="both"/>
    </w:pPr>
    <w:rPr>
      <w:rFonts w:asciiTheme="majorHAnsi" w:eastAsiaTheme="majorEastAsia" w:hAnsiTheme="majorHAnsi" w:cstheme="majorBidi"/>
      <w:i/>
      <w:iCs/>
      <w:color w:val="4F81BD" w:themeColor="accent1"/>
      <w:spacing w:val="15"/>
      <w:sz w:val="24"/>
      <w:szCs w:val="24"/>
      <w:lang w:eastAsia="en-US"/>
    </w:rPr>
  </w:style>
  <w:style w:type="character" w:customStyle="1" w:styleId="SubttuloCar">
    <w:name w:val="Subtítulo Car"/>
    <w:basedOn w:val="Fuentedeprrafopredeter"/>
    <w:link w:val="Subttulo"/>
    <w:uiPriority w:val="11"/>
    <w:rsid w:val="005D23CD"/>
    <w:rPr>
      <w:rFonts w:asciiTheme="majorHAnsi" w:eastAsiaTheme="majorEastAsia" w:hAnsiTheme="majorHAnsi" w:cstheme="majorBidi"/>
      <w:i/>
      <w:iCs/>
      <w:color w:val="4F81BD" w:themeColor="accent1"/>
      <w:spacing w:val="15"/>
      <w:sz w:val="24"/>
      <w:szCs w:val="24"/>
      <w:lang w:eastAsia="en-US"/>
    </w:rPr>
  </w:style>
  <w:style w:type="paragraph" w:customStyle="1" w:styleId="Default">
    <w:name w:val="Default"/>
    <w:rsid w:val="005D23CD"/>
    <w:pPr>
      <w:autoSpaceDE w:val="0"/>
      <w:autoSpaceDN w:val="0"/>
      <w:adjustRightInd w:val="0"/>
      <w:spacing w:after="0" w:line="240" w:lineRule="auto"/>
    </w:pPr>
    <w:rPr>
      <w:rFonts w:ascii="Code" w:eastAsiaTheme="minorHAnsi" w:hAnsi="Code" w:cs="Code"/>
      <w:color w:val="000000"/>
      <w:sz w:val="24"/>
      <w:szCs w:val="24"/>
      <w:lang w:eastAsia="en-US"/>
    </w:rPr>
  </w:style>
  <w:style w:type="paragraph" w:customStyle="1" w:styleId="m3298948023542153198msolistparagraph">
    <w:name w:val="m_3298948023542153198msolistparagraph"/>
    <w:basedOn w:val="Normal"/>
    <w:rsid w:val="00375557"/>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672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029AF"/>
    <w:pPr>
      <w:spacing w:after="0" w:line="240" w:lineRule="auto"/>
    </w:pPr>
  </w:style>
  <w:style w:type="character" w:customStyle="1" w:styleId="SinespaciadoCar">
    <w:name w:val="Sin espaciado Car"/>
    <w:basedOn w:val="Fuentedeprrafopredeter"/>
    <w:link w:val="Sinespaciado"/>
    <w:uiPriority w:val="1"/>
    <w:rsid w:val="008029AF"/>
  </w:style>
  <w:style w:type="character" w:customStyle="1" w:styleId="Ttulo1Car">
    <w:name w:val="Título 1 Car"/>
    <w:basedOn w:val="Fuentedeprrafopredeter"/>
    <w:link w:val="Ttulo1"/>
    <w:uiPriority w:val="9"/>
    <w:rsid w:val="0029013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90132"/>
    <w:pPr>
      <w:outlineLvl w:val="9"/>
    </w:pPr>
  </w:style>
  <w:style w:type="paragraph" w:styleId="TDC2">
    <w:name w:val="toc 2"/>
    <w:basedOn w:val="Normal"/>
    <w:next w:val="Normal"/>
    <w:autoRedefine/>
    <w:uiPriority w:val="39"/>
    <w:unhideWhenUsed/>
    <w:qFormat/>
    <w:rsid w:val="00290132"/>
    <w:pPr>
      <w:spacing w:after="100"/>
      <w:ind w:left="220"/>
    </w:pPr>
  </w:style>
  <w:style w:type="paragraph" w:styleId="TDC1">
    <w:name w:val="toc 1"/>
    <w:basedOn w:val="Normal"/>
    <w:next w:val="Normal"/>
    <w:autoRedefine/>
    <w:uiPriority w:val="39"/>
    <w:unhideWhenUsed/>
    <w:qFormat/>
    <w:rsid w:val="00290132"/>
    <w:pPr>
      <w:spacing w:after="100"/>
    </w:pPr>
  </w:style>
  <w:style w:type="paragraph" w:styleId="TDC3">
    <w:name w:val="toc 3"/>
    <w:basedOn w:val="Normal"/>
    <w:next w:val="Normal"/>
    <w:autoRedefine/>
    <w:uiPriority w:val="39"/>
    <w:unhideWhenUsed/>
    <w:qFormat/>
    <w:rsid w:val="00290132"/>
    <w:pPr>
      <w:spacing w:after="100"/>
      <w:ind w:left="440"/>
    </w:pPr>
  </w:style>
  <w:style w:type="character" w:customStyle="1" w:styleId="Ttulo2Car">
    <w:name w:val="Título 2 Car"/>
    <w:basedOn w:val="Fuentedeprrafopredeter"/>
    <w:link w:val="Ttulo2"/>
    <w:uiPriority w:val="9"/>
    <w:rsid w:val="00DF27F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27F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407516">
      <w:bodyDiv w:val="1"/>
      <w:marLeft w:val="0"/>
      <w:marRight w:val="0"/>
      <w:marTop w:val="0"/>
      <w:marBottom w:val="0"/>
      <w:divBdr>
        <w:top w:val="none" w:sz="0" w:space="0" w:color="auto"/>
        <w:left w:val="none" w:sz="0" w:space="0" w:color="auto"/>
        <w:bottom w:val="none" w:sz="0" w:space="0" w:color="auto"/>
        <w:right w:val="none" w:sz="0" w:space="0" w:color="auto"/>
      </w:divBdr>
      <w:divsChild>
        <w:div w:id="1769157226">
          <w:marLeft w:val="0"/>
          <w:marRight w:val="0"/>
          <w:marTop w:val="0"/>
          <w:marBottom w:val="0"/>
          <w:divBdr>
            <w:top w:val="none" w:sz="0" w:space="0" w:color="auto"/>
            <w:left w:val="none" w:sz="0" w:space="0" w:color="auto"/>
            <w:bottom w:val="none" w:sz="0" w:space="0" w:color="auto"/>
            <w:right w:val="none" w:sz="0" w:space="0" w:color="auto"/>
          </w:divBdr>
        </w:div>
        <w:div w:id="423569547">
          <w:marLeft w:val="0"/>
          <w:marRight w:val="0"/>
          <w:marTop w:val="0"/>
          <w:marBottom w:val="0"/>
          <w:divBdr>
            <w:top w:val="none" w:sz="0" w:space="0" w:color="auto"/>
            <w:left w:val="none" w:sz="0" w:space="0" w:color="auto"/>
            <w:bottom w:val="none" w:sz="0" w:space="0" w:color="auto"/>
            <w:right w:val="none" w:sz="0" w:space="0" w:color="auto"/>
          </w:divBdr>
        </w:div>
        <w:div w:id="1968654865">
          <w:marLeft w:val="0"/>
          <w:marRight w:val="0"/>
          <w:marTop w:val="0"/>
          <w:marBottom w:val="0"/>
          <w:divBdr>
            <w:top w:val="none" w:sz="0" w:space="0" w:color="auto"/>
            <w:left w:val="none" w:sz="0" w:space="0" w:color="auto"/>
            <w:bottom w:val="none" w:sz="0" w:space="0" w:color="auto"/>
            <w:right w:val="none" w:sz="0" w:space="0" w:color="auto"/>
          </w:divBdr>
        </w:div>
        <w:div w:id="500396063">
          <w:marLeft w:val="0"/>
          <w:marRight w:val="0"/>
          <w:marTop w:val="0"/>
          <w:marBottom w:val="0"/>
          <w:divBdr>
            <w:top w:val="none" w:sz="0" w:space="0" w:color="auto"/>
            <w:left w:val="none" w:sz="0" w:space="0" w:color="auto"/>
            <w:bottom w:val="none" w:sz="0" w:space="0" w:color="auto"/>
            <w:right w:val="none" w:sz="0" w:space="0" w:color="auto"/>
          </w:divBdr>
        </w:div>
        <w:div w:id="2139179232">
          <w:marLeft w:val="0"/>
          <w:marRight w:val="0"/>
          <w:marTop w:val="0"/>
          <w:marBottom w:val="0"/>
          <w:divBdr>
            <w:top w:val="none" w:sz="0" w:space="0" w:color="auto"/>
            <w:left w:val="none" w:sz="0" w:space="0" w:color="auto"/>
            <w:bottom w:val="none" w:sz="0" w:space="0" w:color="auto"/>
            <w:right w:val="none" w:sz="0" w:space="0" w:color="auto"/>
          </w:divBdr>
        </w:div>
        <w:div w:id="1763642606">
          <w:marLeft w:val="0"/>
          <w:marRight w:val="0"/>
          <w:marTop w:val="0"/>
          <w:marBottom w:val="0"/>
          <w:divBdr>
            <w:top w:val="none" w:sz="0" w:space="0" w:color="auto"/>
            <w:left w:val="none" w:sz="0" w:space="0" w:color="auto"/>
            <w:bottom w:val="none" w:sz="0" w:space="0" w:color="auto"/>
            <w:right w:val="none" w:sz="0" w:space="0" w:color="auto"/>
          </w:divBdr>
        </w:div>
        <w:div w:id="84302557">
          <w:marLeft w:val="0"/>
          <w:marRight w:val="0"/>
          <w:marTop w:val="0"/>
          <w:marBottom w:val="0"/>
          <w:divBdr>
            <w:top w:val="none" w:sz="0" w:space="0" w:color="auto"/>
            <w:left w:val="none" w:sz="0" w:space="0" w:color="auto"/>
            <w:bottom w:val="none" w:sz="0" w:space="0" w:color="auto"/>
            <w:right w:val="none" w:sz="0" w:space="0" w:color="auto"/>
          </w:divBdr>
        </w:div>
        <w:div w:id="2063481363">
          <w:marLeft w:val="0"/>
          <w:marRight w:val="0"/>
          <w:marTop w:val="0"/>
          <w:marBottom w:val="0"/>
          <w:divBdr>
            <w:top w:val="none" w:sz="0" w:space="0" w:color="auto"/>
            <w:left w:val="none" w:sz="0" w:space="0" w:color="auto"/>
            <w:bottom w:val="none" w:sz="0" w:space="0" w:color="auto"/>
            <w:right w:val="none" w:sz="0" w:space="0" w:color="auto"/>
          </w:divBdr>
        </w:div>
        <w:div w:id="318995872">
          <w:marLeft w:val="0"/>
          <w:marRight w:val="0"/>
          <w:marTop w:val="0"/>
          <w:marBottom w:val="0"/>
          <w:divBdr>
            <w:top w:val="none" w:sz="0" w:space="0" w:color="auto"/>
            <w:left w:val="none" w:sz="0" w:space="0" w:color="auto"/>
            <w:bottom w:val="none" w:sz="0" w:space="0" w:color="auto"/>
            <w:right w:val="none" w:sz="0" w:space="0" w:color="auto"/>
          </w:divBdr>
        </w:div>
        <w:div w:id="116611320">
          <w:marLeft w:val="0"/>
          <w:marRight w:val="0"/>
          <w:marTop w:val="0"/>
          <w:marBottom w:val="0"/>
          <w:divBdr>
            <w:top w:val="none" w:sz="0" w:space="0" w:color="auto"/>
            <w:left w:val="none" w:sz="0" w:space="0" w:color="auto"/>
            <w:bottom w:val="none" w:sz="0" w:space="0" w:color="auto"/>
            <w:right w:val="none" w:sz="0" w:space="0" w:color="auto"/>
          </w:divBdr>
        </w:div>
        <w:div w:id="1079983859">
          <w:marLeft w:val="0"/>
          <w:marRight w:val="0"/>
          <w:marTop w:val="0"/>
          <w:marBottom w:val="0"/>
          <w:divBdr>
            <w:top w:val="none" w:sz="0" w:space="0" w:color="auto"/>
            <w:left w:val="none" w:sz="0" w:space="0" w:color="auto"/>
            <w:bottom w:val="none" w:sz="0" w:space="0" w:color="auto"/>
            <w:right w:val="none" w:sz="0" w:space="0" w:color="auto"/>
          </w:divBdr>
        </w:div>
        <w:div w:id="218171123">
          <w:marLeft w:val="0"/>
          <w:marRight w:val="0"/>
          <w:marTop w:val="0"/>
          <w:marBottom w:val="0"/>
          <w:divBdr>
            <w:top w:val="none" w:sz="0" w:space="0" w:color="auto"/>
            <w:left w:val="none" w:sz="0" w:space="0" w:color="auto"/>
            <w:bottom w:val="none" w:sz="0" w:space="0" w:color="auto"/>
            <w:right w:val="none" w:sz="0" w:space="0" w:color="auto"/>
          </w:divBdr>
        </w:div>
        <w:div w:id="1935046256">
          <w:marLeft w:val="0"/>
          <w:marRight w:val="0"/>
          <w:marTop w:val="0"/>
          <w:marBottom w:val="200"/>
          <w:divBdr>
            <w:top w:val="none" w:sz="0" w:space="0" w:color="auto"/>
            <w:left w:val="none" w:sz="0" w:space="0" w:color="auto"/>
            <w:bottom w:val="none" w:sz="0" w:space="0" w:color="auto"/>
            <w:right w:val="none" w:sz="0" w:space="0" w:color="auto"/>
          </w:divBdr>
          <w:divsChild>
            <w:div w:id="360403093">
              <w:marLeft w:val="0"/>
              <w:marRight w:val="0"/>
              <w:marTop w:val="0"/>
              <w:marBottom w:val="0"/>
              <w:divBdr>
                <w:top w:val="none" w:sz="0" w:space="0" w:color="auto"/>
                <w:left w:val="none" w:sz="0" w:space="0" w:color="auto"/>
                <w:bottom w:val="none" w:sz="0" w:space="0" w:color="auto"/>
                <w:right w:val="none" w:sz="0" w:space="0" w:color="auto"/>
              </w:divBdr>
            </w:div>
            <w:div w:id="382143795">
              <w:marLeft w:val="0"/>
              <w:marRight w:val="0"/>
              <w:marTop w:val="0"/>
              <w:marBottom w:val="0"/>
              <w:divBdr>
                <w:top w:val="none" w:sz="0" w:space="0" w:color="auto"/>
                <w:left w:val="none" w:sz="0" w:space="0" w:color="auto"/>
                <w:bottom w:val="none" w:sz="0" w:space="0" w:color="auto"/>
                <w:right w:val="none" w:sz="0" w:space="0" w:color="auto"/>
              </w:divBdr>
            </w:div>
            <w:div w:id="1397701782">
              <w:marLeft w:val="0"/>
              <w:marRight w:val="0"/>
              <w:marTop w:val="0"/>
              <w:marBottom w:val="200"/>
              <w:divBdr>
                <w:top w:val="none" w:sz="0" w:space="0" w:color="auto"/>
                <w:left w:val="none" w:sz="0" w:space="0" w:color="auto"/>
                <w:bottom w:val="none" w:sz="0" w:space="0" w:color="auto"/>
                <w:right w:val="none" w:sz="0" w:space="0" w:color="auto"/>
              </w:divBdr>
              <w:divsChild>
                <w:div w:id="16863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1774">
          <w:marLeft w:val="0"/>
          <w:marRight w:val="0"/>
          <w:marTop w:val="0"/>
          <w:marBottom w:val="200"/>
          <w:divBdr>
            <w:top w:val="none" w:sz="0" w:space="0" w:color="auto"/>
            <w:left w:val="none" w:sz="0" w:space="0" w:color="auto"/>
            <w:bottom w:val="none" w:sz="0" w:space="0" w:color="auto"/>
            <w:right w:val="none" w:sz="0" w:space="0" w:color="auto"/>
          </w:divBdr>
          <w:divsChild>
            <w:div w:id="1661537438">
              <w:marLeft w:val="0"/>
              <w:marRight w:val="0"/>
              <w:marTop w:val="0"/>
              <w:marBottom w:val="0"/>
              <w:divBdr>
                <w:top w:val="none" w:sz="0" w:space="0" w:color="auto"/>
                <w:left w:val="none" w:sz="0" w:space="0" w:color="auto"/>
                <w:bottom w:val="none" w:sz="0" w:space="0" w:color="auto"/>
                <w:right w:val="none" w:sz="0" w:space="0" w:color="auto"/>
              </w:divBdr>
            </w:div>
          </w:divsChild>
        </w:div>
        <w:div w:id="1822310069">
          <w:marLeft w:val="0"/>
          <w:marRight w:val="0"/>
          <w:marTop w:val="0"/>
          <w:marBottom w:val="0"/>
          <w:divBdr>
            <w:top w:val="none" w:sz="0" w:space="0" w:color="auto"/>
            <w:left w:val="none" w:sz="0" w:space="0" w:color="auto"/>
            <w:bottom w:val="none" w:sz="0" w:space="0" w:color="auto"/>
            <w:right w:val="none" w:sz="0" w:space="0" w:color="auto"/>
          </w:divBdr>
        </w:div>
        <w:div w:id="864365532">
          <w:marLeft w:val="0"/>
          <w:marRight w:val="0"/>
          <w:marTop w:val="0"/>
          <w:marBottom w:val="0"/>
          <w:divBdr>
            <w:top w:val="none" w:sz="0" w:space="0" w:color="auto"/>
            <w:left w:val="none" w:sz="0" w:space="0" w:color="auto"/>
            <w:bottom w:val="none" w:sz="0" w:space="0" w:color="auto"/>
            <w:right w:val="none" w:sz="0" w:space="0" w:color="auto"/>
          </w:divBdr>
        </w:div>
        <w:div w:id="829372589">
          <w:marLeft w:val="0"/>
          <w:marRight w:val="0"/>
          <w:marTop w:val="0"/>
          <w:marBottom w:val="0"/>
          <w:divBdr>
            <w:top w:val="none" w:sz="0" w:space="0" w:color="auto"/>
            <w:left w:val="none" w:sz="0" w:space="0" w:color="auto"/>
            <w:bottom w:val="none" w:sz="0" w:space="0" w:color="auto"/>
            <w:right w:val="none" w:sz="0" w:space="0" w:color="auto"/>
          </w:divBdr>
        </w:div>
        <w:div w:id="1587690144">
          <w:marLeft w:val="0"/>
          <w:marRight w:val="0"/>
          <w:marTop w:val="0"/>
          <w:marBottom w:val="0"/>
          <w:divBdr>
            <w:top w:val="none" w:sz="0" w:space="0" w:color="auto"/>
            <w:left w:val="none" w:sz="0" w:space="0" w:color="auto"/>
            <w:bottom w:val="none" w:sz="0" w:space="0" w:color="auto"/>
            <w:right w:val="none" w:sz="0" w:space="0" w:color="auto"/>
          </w:divBdr>
        </w:div>
        <w:div w:id="1657614665">
          <w:marLeft w:val="0"/>
          <w:marRight w:val="0"/>
          <w:marTop w:val="0"/>
          <w:marBottom w:val="200"/>
          <w:divBdr>
            <w:top w:val="none" w:sz="0" w:space="0" w:color="auto"/>
            <w:left w:val="none" w:sz="0" w:space="0" w:color="auto"/>
            <w:bottom w:val="none" w:sz="0" w:space="0" w:color="auto"/>
            <w:right w:val="none" w:sz="0" w:space="0" w:color="auto"/>
          </w:divBdr>
          <w:divsChild>
            <w:div w:id="369769855">
              <w:marLeft w:val="0"/>
              <w:marRight w:val="0"/>
              <w:marTop w:val="0"/>
              <w:marBottom w:val="0"/>
              <w:divBdr>
                <w:top w:val="none" w:sz="0" w:space="0" w:color="auto"/>
                <w:left w:val="none" w:sz="0" w:space="0" w:color="auto"/>
                <w:bottom w:val="none" w:sz="0" w:space="0" w:color="auto"/>
                <w:right w:val="none" w:sz="0" w:space="0" w:color="auto"/>
              </w:divBdr>
            </w:div>
            <w:div w:id="1695229540">
              <w:marLeft w:val="0"/>
              <w:marRight w:val="0"/>
              <w:marTop w:val="0"/>
              <w:marBottom w:val="200"/>
              <w:divBdr>
                <w:top w:val="none" w:sz="0" w:space="0" w:color="auto"/>
                <w:left w:val="none" w:sz="0" w:space="0" w:color="auto"/>
                <w:bottom w:val="none" w:sz="0" w:space="0" w:color="auto"/>
                <w:right w:val="none" w:sz="0" w:space="0" w:color="auto"/>
              </w:divBdr>
              <w:divsChild>
                <w:div w:id="1051729988">
                  <w:marLeft w:val="0"/>
                  <w:marRight w:val="0"/>
                  <w:marTop w:val="0"/>
                  <w:marBottom w:val="0"/>
                  <w:divBdr>
                    <w:top w:val="none" w:sz="0" w:space="0" w:color="auto"/>
                    <w:left w:val="none" w:sz="0" w:space="0" w:color="auto"/>
                    <w:bottom w:val="none" w:sz="0" w:space="0" w:color="auto"/>
                    <w:right w:val="none" w:sz="0" w:space="0" w:color="auto"/>
                  </w:divBdr>
                </w:div>
                <w:div w:id="105124634">
                  <w:marLeft w:val="0"/>
                  <w:marRight w:val="0"/>
                  <w:marTop w:val="0"/>
                  <w:marBottom w:val="200"/>
                  <w:divBdr>
                    <w:top w:val="none" w:sz="0" w:space="0" w:color="auto"/>
                    <w:left w:val="none" w:sz="0" w:space="0" w:color="auto"/>
                    <w:bottom w:val="none" w:sz="0" w:space="0" w:color="auto"/>
                    <w:right w:val="none" w:sz="0" w:space="0" w:color="auto"/>
                  </w:divBdr>
                  <w:divsChild>
                    <w:div w:id="1643998569">
                      <w:marLeft w:val="0"/>
                      <w:marRight w:val="0"/>
                      <w:marTop w:val="0"/>
                      <w:marBottom w:val="0"/>
                      <w:divBdr>
                        <w:top w:val="none" w:sz="0" w:space="0" w:color="auto"/>
                        <w:left w:val="none" w:sz="0" w:space="0" w:color="auto"/>
                        <w:bottom w:val="none" w:sz="0" w:space="0" w:color="auto"/>
                        <w:right w:val="none" w:sz="0" w:space="0" w:color="auto"/>
                      </w:divBdr>
                    </w:div>
                    <w:div w:id="18155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764">
          <w:marLeft w:val="0"/>
          <w:marRight w:val="0"/>
          <w:marTop w:val="0"/>
          <w:marBottom w:val="200"/>
          <w:divBdr>
            <w:top w:val="none" w:sz="0" w:space="0" w:color="auto"/>
            <w:left w:val="none" w:sz="0" w:space="0" w:color="auto"/>
            <w:bottom w:val="none" w:sz="0" w:space="0" w:color="auto"/>
            <w:right w:val="none" w:sz="0" w:space="0" w:color="auto"/>
          </w:divBdr>
          <w:divsChild>
            <w:div w:id="1628200589">
              <w:marLeft w:val="0"/>
              <w:marRight w:val="0"/>
              <w:marTop w:val="0"/>
              <w:marBottom w:val="0"/>
              <w:divBdr>
                <w:top w:val="none" w:sz="0" w:space="0" w:color="auto"/>
                <w:left w:val="none" w:sz="0" w:space="0" w:color="auto"/>
                <w:bottom w:val="none" w:sz="0" w:space="0" w:color="auto"/>
                <w:right w:val="none" w:sz="0" w:space="0" w:color="auto"/>
              </w:divBdr>
            </w:div>
            <w:div w:id="1543977996">
              <w:marLeft w:val="0"/>
              <w:marRight w:val="0"/>
              <w:marTop w:val="0"/>
              <w:marBottom w:val="0"/>
              <w:divBdr>
                <w:top w:val="none" w:sz="0" w:space="0" w:color="auto"/>
                <w:left w:val="none" w:sz="0" w:space="0" w:color="auto"/>
                <w:bottom w:val="none" w:sz="0" w:space="0" w:color="auto"/>
                <w:right w:val="none" w:sz="0" w:space="0" w:color="auto"/>
              </w:divBdr>
            </w:div>
            <w:div w:id="698359708">
              <w:marLeft w:val="0"/>
              <w:marRight w:val="0"/>
              <w:marTop w:val="0"/>
              <w:marBottom w:val="200"/>
              <w:divBdr>
                <w:top w:val="none" w:sz="0" w:space="0" w:color="auto"/>
                <w:left w:val="none" w:sz="0" w:space="0" w:color="auto"/>
                <w:bottom w:val="none" w:sz="0" w:space="0" w:color="auto"/>
                <w:right w:val="none" w:sz="0" w:space="0" w:color="auto"/>
              </w:divBdr>
              <w:divsChild>
                <w:div w:id="643311888">
                  <w:marLeft w:val="0"/>
                  <w:marRight w:val="0"/>
                  <w:marTop w:val="0"/>
                  <w:marBottom w:val="0"/>
                  <w:divBdr>
                    <w:top w:val="none" w:sz="0" w:space="0" w:color="auto"/>
                    <w:left w:val="none" w:sz="0" w:space="0" w:color="auto"/>
                    <w:bottom w:val="none" w:sz="0" w:space="0" w:color="auto"/>
                    <w:right w:val="none" w:sz="0" w:space="0" w:color="auto"/>
                  </w:divBdr>
                </w:div>
                <w:div w:id="1770347234">
                  <w:marLeft w:val="0"/>
                  <w:marRight w:val="0"/>
                  <w:marTop w:val="0"/>
                  <w:marBottom w:val="0"/>
                  <w:divBdr>
                    <w:top w:val="none" w:sz="0" w:space="0" w:color="auto"/>
                    <w:left w:val="none" w:sz="0" w:space="0" w:color="auto"/>
                    <w:bottom w:val="none" w:sz="0" w:space="0" w:color="auto"/>
                    <w:right w:val="none" w:sz="0" w:space="0" w:color="auto"/>
                  </w:divBdr>
                </w:div>
                <w:div w:id="1096174861">
                  <w:marLeft w:val="0"/>
                  <w:marRight w:val="0"/>
                  <w:marTop w:val="0"/>
                  <w:marBottom w:val="0"/>
                  <w:divBdr>
                    <w:top w:val="none" w:sz="0" w:space="0" w:color="auto"/>
                    <w:left w:val="none" w:sz="0" w:space="0" w:color="auto"/>
                    <w:bottom w:val="none" w:sz="0" w:space="0" w:color="auto"/>
                    <w:right w:val="none" w:sz="0" w:space="0" w:color="auto"/>
                  </w:divBdr>
                </w:div>
                <w:div w:id="2065981526">
                  <w:marLeft w:val="0"/>
                  <w:marRight w:val="0"/>
                  <w:marTop w:val="0"/>
                  <w:marBottom w:val="0"/>
                  <w:divBdr>
                    <w:top w:val="none" w:sz="0" w:space="0" w:color="auto"/>
                    <w:left w:val="none" w:sz="0" w:space="0" w:color="auto"/>
                    <w:bottom w:val="none" w:sz="0" w:space="0" w:color="auto"/>
                    <w:right w:val="none" w:sz="0" w:space="0" w:color="auto"/>
                  </w:divBdr>
                </w:div>
                <w:div w:id="1847744001">
                  <w:marLeft w:val="0"/>
                  <w:marRight w:val="0"/>
                  <w:marTop w:val="0"/>
                  <w:marBottom w:val="0"/>
                  <w:divBdr>
                    <w:top w:val="none" w:sz="0" w:space="0" w:color="auto"/>
                    <w:left w:val="none" w:sz="0" w:space="0" w:color="auto"/>
                    <w:bottom w:val="none" w:sz="0" w:space="0" w:color="auto"/>
                    <w:right w:val="none" w:sz="0" w:space="0" w:color="auto"/>
                  </w:divBdr>
                </w:div>
                <w:div w:id="115762809">
                  <w:marLeft w:val="0"/>
                  <w:marRight w:val="0"/>
                  <w:marTop w:val="0"/>
                  <w:marBottom w:val="0"/>
                  <w:divBdr>
                    <w:top w:val="none" w:sz="0" w:space="0" w:color="auto"/>
                    <w:left w:val="none" w:sz="0" w:space="0" w:color="auto"/>
                    <w:bottom w:val="none" w:sz="0" w:space="0" w:color="auto"/>
                    <w:right w:val="none" w:sz="0" w:space="0" w:color="auto"/>
                  </w:divBdr>
                </w:div>
                <w:div w:id="1025449270">
                  <w:marLeft w:val="0"/>
                  <w:marRight w:val="0"/>
                  <w:marTop w:val="0"/>
                  <w:marBottom w:val="200"/>
                  <w:divBdr>
                    <w:top w:val="none" w:sz="0" w:space="0" w:color="auto"/>
                    <w:left w:val="none" w:sz="0" w:space="0" w:color="auto"/>
                    <w:bottom w:val="none" w:sz="0" w:space="0" w:color="auto"/>
                    <w:right w:val="none" w:sz="0" w:space="0" w:color="auto"/>
                  </w:divBdr>
                  <w:divsChild>
                    <w:div w:id="11954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3153">
      <w:bodyDiv w:val="1"/>
      <w:marLeft w:val="0"/>
      <w:marRight w:val="0"/>
      <w:marTop w:val="0"/>
      <w:marBottom w:val="0"/>
      <w:divBdr>
        <w:top w:val="none" w:sz="0" w:space="0" w:color="auto"/>
        <w:left w:val="none" w:sz="0" w:space="0" w:color="auto"/>
        <w:bottom w:val="none" w:sz="0" w:space="0" w:color="auto"/>
        <w:right w:val="none" w:sz="0" w:space="0" w:color="auto"/>
      </w:divBdr>
    </w:div>
    <w:div w:id="161332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opensecrets.org/pacs/lookup2.php?strID=C00348524&amp;cycle=2006" TargetMode="External"/><Relationship Id="rId39" Type="http://schemas.openxmlformats.org/officeDocument/2006/relationships/hyperlink" Target="https://www.opensecrets.org/orgs/toprecips.php?id=D000000308&amp;cycle=2006" TargetMode="External"/><Relationship Id="rId3" Type="http://schemas.openxmlformats.org/officeDocument/2006/relationships/numbering" Target="numbering.xml"/><Relationship Id="rId21" Type="http://schemas.openxmlformats.org/officeDocument/2006/relationships/hyperlink" Target="http://clerk.house.gov/evs/2005/roll445.xml" TargetMode="External"/><Relationship Id="rId34" Type="http://schemas.openxmlformats.org/officeDocument/2006/relationships/hyperlink" Target="https://www.opensecrets.org/orgs/toprecips.php?id=D000000600&amp;cycle=2006" TargetMode="External"/><Relationship Id="rId42" Type="http://schemas.openxmlformats.org/officeDocument/2006/relationships/hyperlink" Target="https://www.opensecrets.org/orgs/toprecips.php?id=D000000244&amp;cycle=2018" TargetMode="External"/><Relationship Id="rId47" Type="http://schemas.openxmlformats.org/officeDocument/2006/relationships/hyperlink" Target="http://www.ceri-mines.org/documents/A13c-BobRandall-paper.pdf"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opensecrets.org/orgs/toprecips.php?id=D000020856&amp;cycle=2006" TargetMode="External"/><Relationship Id="rId33" Type="http://schemas.openxmlformats.org/officeDocument/2006/relationships/hyperlink" Target="https://www.opensecrets.org/orgs/toprecips.php?id=D000036680&amp;cycle=2006" TargetMode="External"/><Relationship Id="rId38" Type="http://schemas.openxmlformats.org/officeDocument/2006/relationships/hyperlink" Target="https://www.opensecrets.org/pacs/lookup2.php?strID=C00348524&amp;cycle=2006" TargetMode="External"/><Relationship Id="rId46" Type="http://schemas.openxmlformats.org/officeDocument/2006/relationships/hyperlink" Target="http://www.businessinsider.com/annotated-history-crude-oil-prices-since-1861-2014-12" TargetMode="External"/><Relationship Id="rId2" Type="http://schemas.openxmlformats.org/officeDocument/2006/relationships/customXml" Target="../customXml/item2.xml"/><Relationship Id="rId16" Type="http://schemas.openxmlformats.org/officeDocument/2006/relationships/hyperlink" Target="https://books.google.com.mx/books?id=sxFANCQHQhIC&amp;pg=PA57&amp;lpg=PA57&amp;dq=synthetic+fuels+corporation+achievements&amp;source=bl&amp;ots=2wv_b5B4XP&amp;sig=6NkAxKfYzykaV-szLQCLTiokOKk&amp;hl=es-419&amp;sa=X&amp;ved=0CCQQ6AEwAWoVChMI9O_sxZejyAIVRm0eCh0E1wCw" TargetMode="External"/><Relationship Id="rId20" Type="http://schemas.openxmlformats.org/officeDocument/2006/relationships/image" Target="media/image6.png"/><Relationship Id="rId29" Type="http://schemas.openxmlformats.org/officeDocument/2006/relationships/hyperlink" Target="https://www.opensecrets.org/orgs/toprecips.php?id=D000021697&amp;cycle=2006" TargetMode="External"/><Relationship Id="rId41" Type="http://schemas.openxmlformats.org/officeDocument/2006/relationships/hyperlink" Target="https://www.opensecrets.org/orgs/toprecips.php?id=D000000091&amp;cycle=2018"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aura.porras\Desktop\anahuac%202017\Completo%2011%2011%20(revisi&#243;n%20SFS).docx" TargetMode="External"/><Relationship Id="rId24" Type="http://schemas.openxmlformats.org/officeDocument/2006/relationships/hyperlink" Target="http://www.senate.gov/legislative/LIS/roll_call_lists/roll_call_vote_cfm.cfm?congress=109&amp;session=1&amp;vote=00213" TargetMode="External"/><Relationship Id="rId32" Type="http://schemas.openxmlformats.org/officeDocument/2006/relationships/hyperlink" Target="https://www.opensecrets.org/orgs/toprecips.php?id=D000022329&amp;cycle=2006" TargetMode="External"/><Relationship Id="rId37" Type="http://schemas.openxmlformats.org/officeDocument/2006/relationships/hyperlink" Target="https://www.opensecrets.org/orgs/toprecips.php?id=D000000368&amp;cycle=2006" TargetMode="External"/><Relationship Id="rId40" Type="http://schemas.openxmlformats.org/officeDocument/2006/relationships/hyperlink" Target="https://www.opensecrets.org/orgs/toprecips.php?id=D000020856&amp;cycle=2018" TargetMode="External"/><Relationship Id="rId45" Type="http://schemas.openxmlformats.org/officeDocument/2006/relationships/hyperlink" Target="https://www.opensecrets.org/orgs/toprecips.php?id=D000022123&amp;cycle=2006" TargetMode="External"/><Relationship Id="rId53"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yperlink" Target="https://books.google.com.mx/books?id=sxFANCQHQhIC&amp;pg=PA57&amp;lpg=PA57&amp;dq=synthetic+fuels+corporation+achievements&amp;source=bl&amp;ots=2wv_b5B4XP&amp;sig=6NkAxKfYzykaV-szLQCLTiokOKk&amp;hl=es-419&amp;sa=X&amp;ved=0CCQQ6AEwAWoVChMI9O_sxZejyAIVRm0eCh0E1wCw" TargetMode="External"/><Relationship Id="rId23" Type="http://schemas.openxmlformats.org/officeDocument/2006/relationships/image" Target="media/image7.png"/><Relationship Id="rId28" Type="http://schemas.openxmlformats.org/officeDocument/2006/relationships/hyperlink" Target="https://www.opensecrets.org/orgs/toprecips.php?id=D000000186&amp;cycle=2006" TargetMode="External"/><Relationship Id="rId36" Type="http://schemas.openxmlformats.org/officeDocument/2006/relationships/hyperlink" Target="https://www.opensecrets.org/orgs/toprecips.php?id=D000019258&amp;cycle=2006" TargetMode="External"/><Relationship Id="rId49" Type="http://schemas.openxmlformats.org/officeDocument/2006/relationships/hyperlink" Target="https://www.govtrack.us/congress/votes/109-2005/s213"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opensecrets.org/orgs/toprecips.php?id=D000030509&amp;cycle=2006" TargetMode="External"/><Relationship Id="rId44" Type="http://schemas.openxmlformats.org/officeDocument/2006/relationships/hyperlink" Target="https://www.opensecrets.org/orgs/toprecips.php?id=D000037604&amp;cycle=2006"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clerk.house.gov/evs/2005/roll445.xml" TargetMode="External"/><Relationship Id="rId27" Type="http://schemas.openxmlformats.org/officeDocument/2006/relationships/hyperlink" Target="https://www.opensecrets.org/orgs/toprecips.php?id=D000022041&amp;cycle=2006" TargetMode="External"/><Relationship Id="rId30" Type="http://schemas.openxmlformats.org/officeDocument/2006/relationships/hyperlink" Target="https://www.opensecrets.org/orgs/toprecips.php?id=D000027760&amp;cycle=2006" TargetMode="External"/><Relationship Id="rId35" Type="http://schemas.openxmlformats.org/officeDocument/2006/relationships/hyperlink" Target="https://www.opensecrets.org/orgs/toprecips.php?id=D000000459&amp;cycle=2006" TargetMode="External"/><Relationship Id="rId43" Type="http://schemas.openxmlformats.org/officeDocument/2006/relationships/hyperlink" Target="https://www.opensecrets.org/orgs/toprecips.php?id=D000021697&amp;cycle=2006" TargetMode="External"/><Relationship Id="rId48" Type="http://schemas.openxmlformats.org/officeDocument/2006/relationships/hyperlink" Target="https://www.opensecrets.org/members-of" TargetMode="External"/><Relationship Id="rId8" Type="http://schemas.openxmlformats.org/officeDocument/2006/relationships/footnotes" Target="foot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090BED148F4F308BF8FA23E7FF2C31"/>
        <w:category>
          <w:name w:val="General"/>
          <w:gallery w:val="placeholder"/>
        </w:category>
        <w:types>
          <w:type w:val="bbPlcHdr"/>
        </w:types>
        <w:behaviors>
          <w:behavior w:val="content"/>
        </w:behaviors>
        <w:guid w:val="{2BD71216-293A-4645-915E-B6A5B7F47F83}"/>
      </w:docPartPr>
      <w:docPartBody>
        <w:p w:rsidR="005121E3" w:rsidRDefault="005121E3" w:rsidP="005121E3">
          <w:pPr>
            <w:pStyle w:val="1F090BED148F4F308BF8FA23E7FF2C31"/>
          </w:pPr>
          <w:r>
            <w:rPr>
              <w:rFonts w:asciiTheme="majorHAnsi" w:eastAsiaTheme="majorEastAsia" w:hAnsiTheme="majorHAnsi" w:cstheme="majorBidi"/>
              <w:caps/>
              <w:lang w:val="es-ES"/>
            </w:rPr>
            <w:t>[Escriba el nombre de la compañía]</w:t>
          </w:r>
        </w:p>
      </w:docPartBody>
    </w:docPart>
    <w:docPart>
      <w:docPartPr>
        <w:name w:val="CE1F4C2F16F9444F8B494CA4ACF2C53D"/>
        <w:category>
          <w:name w:val="General"/>
          <w:gallery w:val="placeholder"/>
        </w:category>
        <w:types>
          <w:type w:val="bbPlcHdr"/>
        </w:types>
        <w:behaviors>
          <w:behavior w:val="content"/>
        </w:behaviors>
        <w:guid w:val="{366001EF-6552-4532-9009-7FF0828CFB4F}"/>
      </w:docPartPr>
      <w:docPartBody>
        <w:p w:rsidR="005121E3" w:rsidRDefault="005121E3" w:rsidP="005121E3">
          <w:pPr>
            <w:pStyle w:val="CE1F4C2F16F9444F8B494CA4ACF2C53D"/>
          </w:pPr>
          <w:r>
            <w:rPr>
              <w:rFonts w:asciiTheme="majorHAnsi" w:eastAsiaTheme="majorEastAsia" w:hAnsiTheme="majorHAnsi" w:cstheme="majorBidi"/>
              <w:sz w:val="80"/>
              <w:szCs w:val="80"/>
              <w:lang w:val="es-ES"/>
            </w:rPr>
            <w:t>[Escriba el título del documento]</w:t>
          </w:r>
        </w:p>
      </w:docPartBody>
    </w:docPart>
    <w:docPart>
      <w:docPartPr>
        <w:name w:val="561B2F0C5BB44FB982577B522BCF145B"/>
        <w:category>
          <w:name w:val="General"/>
          <w:gallery w:val="placeholder"/>
        </w:category>
        <w:types>
          <w:type w:val="bbPlcHdr"/>
        </w:types>
        <w:behaviors>
          <w:behavior w:val="content"/>
        </w:behaviors>
        <w:guid w:val="{6D6C1386-CEE8-4783-8031-6A710D9A1FC3}"/>
      </w:docPartPr>
      <w:docPartBody>
        <w:p w:rsidR="005121E3" w:rsidRDefault="005121E3" w:rsidP="005121E3">
          <w:pPr>
            <w:pStyle w:val="561B2F0C5BB44FB982577B522BCF145B"/>
          </w:pPr>
          <w:r>
            <w:rPr>
              <w:b/>
              <w:bCs/>
              <w:lang w:val="es-ES"/>
            </w:rPr>
            <w:t>[Escriba el nombre del autor]</w:t>
          </w:r>
        </w:p>
      </w:docPartBody>
    </w:docPart>
    <w:docPart>
      <w:docPartPr>
        <w:name w:val="47E40500FF084184905AE6CA6BF53F36"/>
        <w:category>
          <w:name w:val="General"/>
          <w:gallery w:val="placeholder"/>
        </w:category>
        <w:types>
          <w:type w:val="bbPlcHdr"/>
        </w:types>
        <w:behaviors>
          <w:behavior w:val="content"/>
        </w:behaviors>
        <w:guid w:val="{0D926071-71E5-4020-882B-8D953AFECE7D}"/>
      </w:docPartPr>
      <w:docPartBody>
        <w:p w:rsidR="005121E3" w:rsidRDefault="005121E3" w:rsidP="005121E3">
          <w:pPr>
            <w:pStyle w:val="47E40500FF084184905AE6CA6BF53F36"/>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E3"/>
    <w:rsid w:val="005121E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90BED148F4F308BF8FA23E7FF2C31">
    <w:name w:val="1F090BED148F4F308BF8FA23E7FF2C31"/>
    <w:rsid w:val="005121E3"/>
  </w:style>
  <w:style w:type="paragraph" w:customStyle="1" w:styleId="CE1F4C2F16F9444F8B494CA4ACF2C53D">
    <w:name w:val="CE1F4C2F16F9444F8B494CA4ACF2C53D"/>
    <w:rsid w:val="005121E3"/>
  </w:style>
  <w:style w:type="paragraph" w:customStyle="1" w:styleId="32460A8C19DC475585D4EA87A1B112D5">
    <w:name w:val="32460A8C19DC475585D4EA87A1B112D5"/>
    <w:rsid w:val="005121E3"/>
  </w:style>
  <w:style w:type="paragraph" w:customStyle="1" w:styleId="561B2F0C5BB44FB982577B522BCF145B">
    <w:name w:val="561B2F0C5BB44FB982577B522BCF145B"/>
    <w:rsid w:val="005121E3"/>
  </w:style>
  <w:style w:type="paragraph" w:customStyle="1" w:styleId="47E40500FF084184905AE6CA6BF53F36">
    <w:name w:val="47E40500FF084184905AE6CA6BF53F36"/>
    <w:rsid w:val="005121E3"/>
  </w:style>
  <w:style w:type="paragraph" w:customStyle="1" w:styleId="7625FE92A313403CA8E067FC11B1CE44">
    <w:name w:val="7625FE92A313403CA8E067FC11B1CE44"/>
    <w:rsid w:val="005121E3"/>
  </w:style>
  <w:style w:type="paragraph" w:customStyle="1" w:styleId="AA2094DFBD4749EDB1FDE182BAD4D373">
    <w:name w:val="AA2094DFBD4749EDB1FDE182BAD4D373"/>
    <w:rsid w:val="005121E3"/>
  </w:style>
  <w:style w:type="paragraph" w:customStyle="1" w:styleId="A02FA0D70BA6489AA881E543CA3893F3">
    <w:name w:val="A02FA0D70BA6489AA881E543CA3893F3"/>
    <w:rsid w:val="005121E3"/>
  </w:style>
  <w:style w:type="paragraph" w:customStyle="1" w:styleId="9826618EAE73440699DCD5E924520BC5">
    <w:name w:val="9826618EAE73440699DCD5E924520BC5"/>
    <w:rsid w:val="005121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90BED148F4F308BF8FA23E7FF2C31">
    <w:name w:val="1F090BED148F4F308BF8FA23E7FF2C31"/>
    <w:rsid w:val="005121E3"/>
  </w:style>
  <w:style w:type="paragraph" w:customStyle="1" w:styleId="CE1F4C2F16F9444F8B494CA4ACF2C53D">
    <w:name w:val="CE1F4C2F16F9444F8B494CA4ACF2C53D"/>
    <w:rsid w:val="005121E3"/>
  </w:style>
  <w:style w:type="paragraph" w:customStyle="1" w:styleId="32460A8C19DC475585D4EA87A1B112D5">
    <w:name w:val="32460A8C19DC475585D4EA87A1B112D5"/>
    <w:rsid w:val="005121E3"/>
  </w:style>
  <w:style w:type="paragraph" w:customStyle="1" w:styleId="561B2F0C5BB44FB982577B522BCF145B">
    <w:name w:val="561B2F0C5BB44FB982577B522BCF145B"/>
    <w:rsid w:val="005121E3"/>
  </w:style>
  <w:style w:type="paragraph" w:customStyle="1" w:styleId="47E40500FF084184905AE6CA6BF53F36">
    <w:name w:val="47E40500FF084184905AE6CA6BF53F36"/>
    <w:rsid w:val="005121E3"/>
  </w:style>
  <w:style w:type="paragraph" w:customStyle="1" w:styleId="7625FE92A313403CA8E067FC11B1CE44">
    <w:name w:val="7625FE92A313403CA8E067FC11B1CE44"/>
    <w:rsid w:val="005121E3"/>
  </w:style>
  <w:style w:type="paragraph" w:customStyle="1" w:styleId="AA2094DFBD4749EDB1FDE182BAD4D373">
    <w:name w:val="AA2094DFBD4749EDB1FDE182BAD4D373"/>
    <w:rsid w:val="005121E3"/>
  </w:style>
  <w:style w:type="paragraph" w:customStyle="1" w:styleId="A02FA0D70BA6489AA881E543CA3893F3">
    <w:name w:val="A02FA0D70BA6489AA881E543CA3893F3"/>
    <w:rsid w:val="005121E3"/>
  </w:style>
  <w:style w:type="paragraph" w:customStyle="1" w:styleId="9826618EAE73440699DCD5E924520BC5">
    <w:name w:val="9826618EAE73440699DCD5E924520BC5"/>
    <w:rsid w:val="00512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7B798-4648-48A1-9EAA-9F166D6B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7066</TotalTime>
  <Pages>52</Pages>
  <Words>15139</Words>
  <Characters>83270</Characters>
  <Application>Microsoft Office Word</Application>
  <DocSecurity>0</DocSecurity>
  <Lines>693</Lines>
  <Paragraphs>196</Paragraphs>
  <ScaleCrop>false</ScaleCrop>
  <HeadingPairs>
    <vt:vector size="2" baseType="variant">
      <vt:variant>
        <vt:lpstr>Título</vt:lpstr>
      </vt:variant>
      <vt:variant>
        <vt:i4>1</vt:i4>
      </vt:variant>
    </vt:vector>
  </HeadingPairs>
  <TitlesOfParts>
    <vt:vector size="1" baseType="lpstr">
      <vt:lpstr/>
    </vt:vector>
  </TitlesOfParts>
  <Company>universidad anáhuac</Company>
  <LinksUpToDate>false</LinksUpToDate>
  <CharactersWithSpaces>98213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Desarrollo de la Industria del Petróleo no convencional en EE.UU.</dc:title>
  <dc:creator>María Fernanda Flores</dc:creator>
  <cp:lastModifiedBy>Aura Violeta Porras Mena</cp:lastModifiedBy>
  <cp:revision>38</cp:revision>
  <dcterms:created xsi:type="dcterms:W3CDTF">2017-11-11T16:37:00Z</dcterms:created>
  <dcterms:modified xsi:type="dcterms:W3CDTF">2017-12-02T01:04:00Z</dcterms:modified>
</cp:coreProperties>
</file>