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54A" w:rsidRDefault="00962B22" w:rsidP="00962B22">
      <w:pPr>
        <w:spacing w:after="0" w:line="240" w:lineRule="auto"/>
        <w:jc w:val="center"/>
        <w:rPr>
          <w:rFonts w:ascii="Arial" w:eastAsia="Cambria" w:hAnsi="Arial" w:cs="Times New Roman"/>
          <w:b/>
          <w:noProof/>
          <w:sz w:val="36"/>
          <w:szCs w:val="24"/>
        </w:rPr>
      </w:pPr>
      <w:r w:rsidRPr="00213C65">
        <w:rPr>
          <w:rFonts w:ascii="Arial" w:eastAsia="Cambria" w:hAnsi="Arial" w:cs="Times New Roman"/>
          <w:b/>
          <w:noProof/>
          <w:sz w:val="36"/>
          <w:szCs w:val="24"/>
        </w:rPr>
        <w:t xml:space="preserve">Informe Ejecutivo </w:t>
      </w:r>
      <w:r w:rsidR="00C0000E">
        <w:rPr>
          <w:rFonts w:ascii="Arial" w:eastAsia="Cambria" w:hAnsi="Arial" w:cs="Times New Roman"/>
          <w:b/>
          <w:noProof/>
          <w:sz w:val="36"/>
          <w:szCs w:val="24"/>
        </w:rPr>
        <w:t>Trimestral</w:t>
      </w:r>
    </w:p>
    <w:p w:rsidR="00521E63" w:rsidRPr="00213C65" w:rsidRDefault="00962B22" w:rsidP="00962B22">
      <w:pPr>
        <w:spacing w:after="0" w:line="240" w:lineRule="auto"/>
        <w:jc w:val="center"/>
        <w:rPr>
          <w:rFonts w:ascii="Arial" w:eastAsia="Cambria" w:hAnsi="Arial" w:cs="Times New Roman"/>
          <w:b/>
          <w:noProof/>
          <w:sz w:val="36"/>
          <w:szCs w:val="24"/>
        </w:rPr>
      </w:pPr>
      <w:r w:rsidRPr="00213C65">
        <w:rPr>
          <w:rFonts w:ascii="Arial" w:eastAsia="Cambria" w:hAnsi="Arial" w:cs="Times New Roman"/>
          <w:b/>
          <w:noProof/>
          <w:sz w:val="36"/>
          <w:szCs w:val="24"/>
        </w:rPr>
        <w:t>del Plan Operativo Anual</w:t>
      </w:r>
    </w:p>
    <w:p w:rsidR="00962B22" w:rsidRPr="00962B22" w:rsidRDefault="00962B22" w:rsidP="00962B22">
      <w:pPr>
        <w:spacing w:after="0" w:line="240" w:lineRule="auto"/>
        <w:jc w:val="center"/>
        <w:rPr>
          <w:rFonts w:ascii="Arial" w:eastAsia="Cambria" w:hAnsi="Arial" w:cs="Times New Roman"/>
          <w:b/>
          <w:noProof/>
          <w:color w:val="ED7D31" w:themeColor="accent2"/>
          <w:sz w:val="36"/>
          <w:szCs w:val="24"/>
        </w:rPr>
      </w:pPr>
      <w:r w:rsidRPr="00213C65">
        <w:rPr>
          <w:rFonts w:ascii="Arial" w:eastAsia="Cambria" w:hAnsi="Arial" w:cs="Times New Roman"/>
          <w:b/>
          <w:noProof/>
          <w:sz w:val="36"/>
          <w:szCs w:val="24"/>
        </w:rPr>
        <w:t>(</w:t>
      </w:r>
      <w:r w:rsidR="00B658EA">
        <w:rPr>
          <w:rFonts w:ascii="Arial" w:eastAsia="Cambria" w:hAnsi="Arial" w:cs="Times New Roman"/>
          <w:b/>
          <w:noProof/>
          <w:sz w:val="36"/>
          <w:szCs w:val="24"/>
        </w:rPr>
        <w:t>Enero a m</w:t>
      </w:r>
      <w:r w:rsidR="00626667">
        <w:rPr>
          <w:rFonts w:ascii="Arial" w:eastAsia="Cambria" w:hAnsi="Arial" w:cs="Times New Roman"/>
          <w:b/>
          <w:noProof/>
          <w:sz w:val="36"/>
          <w:szCs w:val="24"/>
        </w:rPr>
        <w:t>arzo</w:t>
      </w:r>
      <w:r w:rsidR="00C0000E">
        <w:rPr>
          <w:rFonts w:ascii="Arial" w:eastAsia="Cambria" w:hAnsi="Arial" w:cs="Times New Roman"/>
          <w:b/>
          <w:noProof/>
          <w:sz w:val="36"/>
          <w:szCs w:val="24"/>
        </w:rPr>
        <w:t xml:space="preserve"> 2018</w:t>
      </w:r>
      <w:r w:rsidRPr="00213C65">
        <w:rPr>
          <w:rFonts w:ascii="Arial" w:eastAsia="Cambria" w:hAnsi="Arial" w:cs="Times New Roman"/>
          <w:b/>
          <w:noProof/>
          <w:sz w:val="36"/>
          <w:szCs w:val="24"/>
        </w:rPr>
        <w:t>)</w:t>
      </w:r>
    </w:p>
    <w:p w:rsidR="00962B22" w:rsidRDefault="00962B22" w:rsidP="00962B22">
      <w:pPr>
        <w:jc w:val="center"/>
        <w:rPr>
          <w:b/>
          <w:sz w:val="24"/>
        </w:rPr>
      </w:pPr>
    </w:p>
    <w:p w:rsidR="00962B22" w:rsidRDefault="004D752D" w:rsidP="00962B22">
      <w:pPr>
        <w:jc w:val="center"/>
        <w:rPr>
          <w:rFonts w:ascii="Arial" w:eastAsia="Cambria" w:hAnsi="Arial" w:cs="Times New Roman"/>
          <w:b/>
          <w:noProof/>
          <w:color w:val="ED7D31" w:themeColor="accent2"/>
          <w:sz w:val="36"/>
          <w:szCs w:val="24"/>
        </w:rPr>
      </w:pPr>
      <w:r>
        <w:rPr>
          <w:rFonts w:ascii="Arial" w:eastAsia="Cambria" w:hAnsi="Arial" w:cs="Times New Roman"/>
          <w:b/>
          <w:noProof/>
          <w:color w:val="ED7D31" w:themeColor="accent2"/>
          <w:sz w:val="36"/>
          <w:szCs w:val="24"/>
        </w:rPr>
        <w:t>Pastoral Universitaria campus Norte</w:t>
      </w:r>
    </w:p>
    <w:p w:rsidR="00962B22" w:rsidRDefault="00962B22" w:rsidP="00962B22">
      <w:pPr>
        <w:jc w:val="both"/>
        <w:rPr>
          <w:b/>
          <w:sz w:val="24"/>
        </w:rPr>
      </w:pPr>
    </w:p>
    <w:p w:rsidR="00962B22" w:rsidRPr="00962B22" w:rsidRDefault="00962B22" w:rsidP="00962B22">
      <w:pPr>
        <w:pBdr>
          <w:bottom w:val="single" w:sz="4" w:space="1" w:color="auto"/>
        </w:pBdr>
        <w:spacing w:after="0" w:line="240" w:lineRule="auto"/>
        <w:outlineLvl w:val="0"/>
        <w:rPr>
          <w:rFonts w:ascii="Arial" w:eastAsia="Cambria" w:hAnsi="Arial" w:cs="Times New Roman"/>
          <w:b/>
          <w:noProof/>
          <w:color w:val="7F7F7F"/>
          <w:sz w:val="24"/>
          <w:szCs w:val="24"/>
        </w:rPr>
      </w:pPr>
      <w:r w:rsidRPr="00962B22">
        <w:rPr>
          <w:rFonts w:ascii="Arial" w:eastAsia="Cambria" w:hAnsi="Arial" w:cs="Times New Roman"/>
          <w:b/>
          <w:noProof/>
          <w:color w:val="7F7F7F"/>
          <w:sz w:val="24"/>
          <w:szCs w:val="24"/>
        </w:rPr>
        <w:t>1. Formación Integral para todos.</w:t>
      </w:r>
    </w:p>
    <w:p w:rsidR="00096B4B" w:rsidRPr="00B658EA" w:rsidRDefault="00962B22" w:rsidP="00B658EA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Logros</w:t>
      </w:r>
    </w:p>
    <w:p w:rsidR="00962B22" w:rsidRDefault="00962B22" w:rsidP="002526DF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962B22">
        <w:rPr>
          <w:sz w:val="24"/>
        </w:rPr>
        <w:t>Áreas de oportunidad</w:t>
      </w:r>
    </w:p>
    <w:p w:rsidR="00962B22" w:rsidRDefault="003E3D08" w:rsidP="003E3D08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Diagnóstico</w:t>
      </w:r>
    </w:p>
    <w:p w:rsidR="003E3D08" w:rsidRDefault="003E3D08" w:rsidP="003E3D08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Conclusiones</w:t>
      </w:r>
    </w:p>
    <w:p w:rsidR="00962B22" w:rsidRDefault="00962B22" w:rsidP="00962B22">
      <w:pPr>
        <w:pBdr>
          <w:bottom w:val="single" w:sz="4" w:space="1" w:color="auto"/>
        </w:pBdr>
        <w:spacing w:after="0" w:line="240" w:lineRule="auto"/>
        <w:outlineLvl w:val="0"/>
        <w:rPr>
          <w:sz w:val="24"/>
        </w:rPr>
      </w:pPr>
      <w:r w:rsidRPr="00962B22">
        <w:rPr>
          <w:rFonts w:ascii="Arial" w:eastAsia="Cambria" w:hAnsi="Arial" w:cs="Times New Roman"/>
          <w:b/>
          <w:noProof/>
          <w:color w:val="7F7F7F"/>
          <w:sz w:val="24"/>
          <w:szCs w:val="24"/>
        </w:rPr>
        <w:t>2. Integración de la comunidad Anáhuac México.</w:t>
      </w:r>
    </w:p>
    <w:p w:rsidR="003E3D08" w:rsidRDefault="003E3D08" w:rsidP="003E3D08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Logros</w:t>
      </w:r>
    </w:p>
    <w:p w:rsidR="00B658EA" w:rsidRDefault="00B658EA" w:rsidP="00B658EA">
      <w:pPr>
        <w:pStyle w:val="Prrafodelista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Apostolados: Sonríe conmigo (3 visitas a hospitales, 120 voluntarios), Vico Valores (1 visita al colegio, 20 voluntarios), Integra (3 visitas al basurero, 65 voluntarios), Misiones de Semana Santa (promoción-capacitación)</w:t>
      </w:r>
    </w:p>
    <w:p w:rsidR="00B658EA" w:rsidRDefault="00B658EA" w:rsidP="00B658EA">
      <w:pPr>
        <w:pStyle w:val="Prrafodelista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Formación: </w:t>
      </w:r>
      <w:proofErr w:type="spellStart"/>
      <w:r>
        <w:rPr>
          <w:sz w:val="24"/>
        </w:rPr>
        <w:t>Cineforum</w:t>
      </w:r>
      <w:proofErr w:type="spellEnd"/>
      <w:r>
        <w:rPr>
          <w:sz w:val="24"/>
        </w:rPr>
        <w:t xml:space="preserve"> (2 encuentros, 55 participantes), curso Crecer en el Amor de Dios (25 participantes entre alumnos y administrativos), Curso prematrimonial (2 cursos, 22 parejas), conferencia “Hombre de la Sábana Santa” (30 participantes)</w:t>
      </w:r>
    </w:p>
    <w:p w:rsidR="00B658EA" w:rsidRDefault="00B658EA" w:rsidP="00B658EA">
      <w:pPr>
        <w:pStyle w:val="Prrafodelista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Espiritual: retiro </w:t>
      </w:r>
      <w:proofErr w:type="spellStart"/>
      <w:r>
        <w:rPr>
          <w:sz w:val="24"/>
        </w:rPr>
        <w:t>Ignite</w:t>
      </w:r>
      <w:proofErr w:type="spellEnd"/>
      <w:r>
        <w:rPr>
          <w:sz w:val="24"/>
        </w:rPr>
        <w:t xml:space="preserve"> con las secciones de </w:t>
      </w:r>
      <w:proofErr w:type="spellStart"/>
      <w:r>
        <w:rPr>
          <w:sz w:val="24"/>
        </w:rPr>
        <w:t>Regnum</w:t>
      </w:r>
      <w:proofErr w:type="spellEnd"/>
      <w:r>
        <w:rPr>
          <w:sz w:val="24"/>
        </w:rPr>
        <w:t xml:space="preserve"> Christi (65 alumnos), retiro </w:t>
      </w:r>
      <w:proofErr w:type="spellStart"/>
      <w:r>
        <w:rPr>
          <w:sz w:val="24"/>
        </w:rPr>
        <w:t>Search</w:t>
      </w:r>
      <w:proofErr w:type="spellEnd"/>
      <w:r>
        <w:rPr>
          <w:sz w:val="24"/>
        </w:rPr>
        <w:t xml:space="preserve"> (85 alumnos), peregrinación a la Villa (1,300 participantes), </w:t>
      </w:r>
      <w:proofErr w:type="gramStart"/>
      <w:r>
        <w:rPr>
          <w:sz w:val="24"/>
        </w:rPr>
        <w:t>Miércoles</w:t>
      </w:r>
      <w:proofErr w:type="gramEnd"/>
      <w:r>
        <w:rPr>
          <w:sz w:val="24"/>
        </w:rPr>
        <w:t xml:space="preserve"> de ceniza (3,600 participantes), </w:t>
      </w:r>
      <w:r w:rsidR="00335DAF">
        <w:rPr>
          <w:sz w:val="24"/>
        </w:rPr>
        <w:t xml:space="preserve">plática de Cuaresma (135 participantes), </w:t>
      </w:r>
      <w:proofErr w:type="spellStart"/>
      <w:r>
        <w:rPr>
          <w:sz w:val="24"/>
        </w:rPr>
        <w:t>Via</w:t>
      </w:r>
      <w:proofErr w:type="spellEnd"/>
      <w:r>
        <w:rPr>
          <w:sz w:val="24"/>
        </w:rPr>
        <w:t xml:space="preserve"> Crucis (250 alumnos / 25 administrativos), </w:t>
      </w:r>
      <w:r w:rsidR="00335DAF">
        <w:rPr>
          <w:sz w:val="24"/>
        </w:rPr>
        <w:t>misiones dentro de la Anáhuac (confesiones y misioneros americanos FOCUS 2 días).</w:t>
      </w:r>
    </w:p>
    <w:p w:rsidR="003E3D08" w:rsidRDefault="003E3D08" w:rsidP="003E3D0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962B22">
        <w:rPr>
          <w:sz w:val="24"/>
        </w:rPr>
        <w:t>Áreas de oportunidad</w:t>
      </w:r>
    </w:p>
    <w:p w:rsidR="003E3D08" w:rsidRDefault="00335DAF" w:rsidP="003E3D08">
      <w:pPr>
        <w:pStyle w:val="Prrafodelista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Promoción de nuestros eventos, en cuanto la ubicación de la marca Rema como eventos atractivos y pertinentes para la comunidad universitaria.</w:t>
      </w:r>
    </w:p>
    <w:p w:rsidR="003E3D08" w:rsidRDefault="003E3D08" w:rsidP="003E3D08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Diagnóstico</w:t>
      </w:r>
    </w:p>
    <w:p w:rsidR="003E3D08" w:rsidRDefault="00335DAF" w:rsidP="003E3D08">
      <w:pPr>
        <w:pStyle w:val="Prrafodelista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Entre la organización de la peregrinación a la Villa, el </w:t>
      </w:r>
      <w:proofErr w:type="spellStart"/>
      <w:r>
        <w:rPr>
          <w:sz w:val="24"/>
        </w:rPr>
        <w:t>Via</w:t>
      </w:r>
      <w:proofErr w:type="spellEnd"/>
      <w:r>
        <w:rPr>
          <w:sz w:val="24"/>
        </w:rPr>
        <w:t xml:space="preserve"> Crucis y las misiones de Semana Santa, el equipo se ha visto con mucha carga. Rebeca Tallabs se siente agobiada y sobrecargada con proyectos y tareas en cuanto atención a administrativos y equipos de evangelización.</w:t>
      </w:r>
    </w:p>
    <w:p w:rsidR="00335DAF" w:rsidRDefault="00335DAF" w:rsidP="003E3D08">
      <w:pPr>
        <w:pStyle w:val="Prrafodelista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La sinergia con las secciones juveniles de </w:t>
      </w:r>
      <w:proofErr w:type="spellStart"/>
      <w:r>
        <w:rPr>
          <w:sz w:val="24"/>
        </w:rPr>
        <w:t>Regnum</w:t>
      </w:r>
      <w:proofErr w:type="spellEnd"/>
      <w:r>
        <w:rPr>
          <w:sz w:val="24"/>
        </w:rPr>
        <w:t xml:space="preserve"> Christi ha permitido mucho más impacto en la evangelización y oferta atractiva para la comunidad.</w:t>
      </w:r>
    </w:p>
    <w:p w:rsidR="00335DAF" w:rsidRDefault="00335DAF" w:rsidP="003E3D08">
      <w:pPr>
        <w:pStyle w:val="Prrafodelista"/>
        <w:numPr>
          <w:ilvl w:val="1"/>
          <w:numId w:val="1"/>
        </w:numPr>
        <w:jc w:val="both"/>
        <w:rPr>
          <w:sz w:val="24"/>
        </w:rPr>
      </w:pPr>
      <w:proofErr w:type="gramStart"/>
      <w:r>
        <w:rPr>
          <w:sz w:val="24"/>
        </w:rPr>
        <w:lastRenderedPageBreak/>
        <w:t>Viendo  el</w:t>
      </w:r>
      <w:proofErr w:type="gramEnd"/>
      <w:r>
        <w:rPr>
          <w:sz w:val="24"/>
        </w:rPr>
        <w:t xml:space="preserve"> impacto y logros del retiro </w:t>
      </w:r>
      <w:proofErr w:type="spellStart"/>
      <w:r>
        <w:rPr>
          <w:sz w:val="24"/>
        </w:rPr>
        <w:t>Search</w:t>
      </w:r>
      <w:proofErr w:type="spellEnd"/>
      <w:r>
        <w:rPr>
          <w:sz w:val="24"/>
        </w:rPr>
        <w:t xml:space="preserve">, interesa promoverlo más entre los alumnos, y trabajar con el equipo de los retiros </w:t>
      </w:r>
      <w:proofErr w:type="spellStart"/>
      <w:r>
        <w:rPr>
          <w:sz w:val="24"/>
        </w:rPr>
        <w:t>Effetá</w:t>
      </w:r>
      <w:proofErr w:type="spellEnd"/>
      <w:r>
        <w:rPr>
          <w:sz w:val="24"/>
        </w:rPr>
        <w:t xml:space="preserve"> para dar seguimiento a sus retiros, como </w:t>
      </w:r>
      <w:proofErr w:type="spellStart"/>
      <w:r>
        <w:rPr>
          <w:sz w:val="24"/>
        </w:rPr>
        <w:t>Search</w:t>
      </w:r>
      <w:proofErr w:type="spellEnd"/>
      <w:r>
        <w:rPr>
          <w:sz w:val="24"/>
        </w:rPr>
        <w:t xml:space="preserve"> lo hace.</w:t>
      </w:r>
    </w:p>
    <w:p w:rsidR="003E3D08" w:rsidRDefault="003E3D08" w:rsidP="003E3D08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Conclusiones</w:t>
      </w:r>
    </w:p>
    <w:p w:rsidR="003E3D08" w:rsidRPr="00962B22" w:rsidRDefault="00335DAF" w:rsidP="003E3D08">
      <w:pPr>
        <w:pStyle w:val="Prrafodelista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Ha sido un trimestre lleno de actividades. Pasando la Pascua se prevé menos actividades de mucha organización, para poder hacer la labor más personal de dar seguimiento a los voluntarios y miembros de los diversos programas.</w:t>
      </w:r>
      <w:bookmarkStart w:id="0" w:name="_GoBack"/>
      <w:bookmarkEnd w:id="0"/>
    </w:p>
    <w:p w:rsidR="00962B22" w:rsidRDefault="00962B22" w:rsidP="00962B22">
      <w:pPr>
        <w:pBdr>
          <w:bottom w:val="single" w:sz="4" w:space="1" w:color="auto"/>
        </w:pBdr>
        <w:spacing w:after="0" w:line="240" w:lineRule="auto"/>
        <w:outlineLvl w:val="0"/>
        <w:rPr>
          <w:sz w:val="24"/>
        </w:rPr>
      </w:pPr>
      <w:r w:rsidRPr="00962B22">
        <w:rPr>
          <w:rFonts w:ascii="Arial" w:eastAsia="Cambria" w:hAnsi="Arial" w:cs="Times New Roman"/>
          <w:b/>
          <w:noProof/>
          <w:color w:val="7F7F7F"/>
          <w:sz w:val="24"/>
          <w:szCs w:val="24"/>
        </w:rPr>
        <w:t>3. Consolidar el liderazgo de la presencia Anáhuac en la zona metropolitana de la Ciudad de México.</w:t>
      </w:r>
    </w:p>
    <w:p w:rsidR="003E3D08" w:rsidRDefault="003E3D08" w:rsidP="003E3D08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Logros</w:t>
      </w:r>
    </w:p>
    <w:p w:rsidR="003E3D08" w:rsidRDefault="003E3D08" w:rsidP="003E3D08">
      <w:pPr>
        <w:pStyle w:val="Prrafodelista"/>
        <w:numPr>
          <w:ilvl w:val="1"/>
          <w:numId w:val="1"/>
        </w:numPr>
        <w:jc w:val="both"/>
        <w:rPr>
          <w:sz w:val="24"/>
        </w:rPr>
      </w:pPr>
    </w:p>
    <w:p w:rsidR="003E3D08" w:rsidRDefault="003E3D08" w:rsidP="003E3D0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962B22">
        <w:rPr>
          <w:sz w:val="24"/>
        </w:rPr>
        <w:t>Áreas de oportunidad</w:t>
      </w:r>
    </w:p>
    <w:p w:rsidR="003E3D08" w:rsidRDefault="003E3D08" w:rsidP="003E3D08">
      <w:pPr>
        <w:pStyle w:val="Prrafodelista"/>
        <w:numPr>
          <w:ilvl w:val="1"/>
          <w:numId w:val="1"/>
        </w:numPr>
        <w:jc w:val="both"/>
        <w:rPr>
          <w:sz w:val="24"/>
        </w:rPr>
      </w:pPr>
    </w:p>
    <w:p w:rsidR="003E3D08" w:rsidRDefault="003E3D08" w:rsidP="003E3D08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Diagnóstico</w:t>
      </w:r>
    </w:p>
    <w:p w:rsidR="003E3D08" w:rsidRDefault="003E3D08" w:rsidP="003E3D08">
      <w:pPr>
        <w:pStyle w:val="Prrafodelista"/>
        <w:numPr>
          <w:ilvl w:val="1"/>
          <w:numId w:val="1"/>
        </w:numPr>
        <w:jc w:val="both"/>
        <w:rPr>
          <w:sz w:val="24"/>
        </w:rPr>
      </w:pPr>
    </w:p>
    <w:p w:rsidR="003E3D08" w:rsidRDefault="003E3D08" w:rsidP="003E3D08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Conclusiones</w:t>
      </w:r>
    </w:p>
    <w:p w:rsidR="003E3D08" w:rsidRPr="00962B22" w:rsidRDefault="003E3D08" w:rsidP="003E3D08">
      <w:pPr>
        <w:pStyle w:val="Prrafodelista"/>
        <w:numPr>
          <w:ilvl w:val="1"/>
          <w:numId w:val="1"/>
        </w:numPr>
        <w:jc w:val="both"/>
        <w:rPr>
          <w:sz w:val="24"/>
        </w:rPr>
      </w:pPr>
    </w:p>
    <w:p w:rsidR="00962B22" w:rsidRDefault="00962B22" w:rsidP="00962B22">
      <w:pPr>
        <w:pBdr>
          <w:bottom w:val="single" w:sz="4" w:space="1" w:color="auto"/>
        </w:pBdr>
        <w:spacing w:after="0" w:line="240" w:lineRule="auto"/>
        <w:outlineLvl w:val="0"/>
        <w:rPr>
          <w:sz w:val="24"/>
        </w:rPr>
      </w:pPr>
      <w:r w:rsidRPr="00962B22">
        <w:rPr>
          <w:rFonts w:ascii="Arial" w:eastAsia="Cambria" w:hAnsi="Arial" w:cs="Times New Roman"/>
          <w:b/>
          <w:noProof/>
          <w:color w:val="7F7F7F"/>
          <w:sz w:val="24"/>
          <w:szCs w:val="24"/>
        </w:rPr>
        <w:t>4. Profundización y mejoramiento del modelo educativo Anáhuac.</w:t>
      </w:r>
    </w:p>
    <w:p w:rsidR="003E3D08" w:rsidRDefault="003E3D08" w:rsidP="003E3D08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Logros</w:t>
      </w:r>
    </w:p>
    <w:p w:rsidR="003E3D08" w:rsidRDefault="003E3D08" w:rsidP="003E3D08">
      <w:pPr>
        <w:pStyle w:val="Prrafodelista"/>
        <w:numPr>
          <w:ilvl w:val="1"/>
          <w:numId w:val="1"/>
        </w:numPr>
        <w:jc w:val="both"/>
        <w:rPr>
          <w:sz w:val="24"/>
        </w:rPr>
      </w:pPr>
    </w:p>
    <w:p w:rsidR="003E3D08" w:rsidRDefault="003E3D08" w:rsidP="003E3D0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962B22">
        <w:rPr>
          <w:sz w:val="24"/>
        </w:rPr>
        <w:t>Áreas de oportunidad</w:t>
      </w:r>
    </w:p>
    <w:p w:rsidR="003E3D08" w:rsidRDefault="003E3D08" w:rsidP="003E3D08">
      <w:pPr>
        <w:pStyle w:val="Prrafodelista"/>
        <w:numPr>
          <w:ilvl w:val="1"/>
          <w:numId w:val="1"/>
        </w:numPr>
        <w:jc w:val="both"/>
        <w:rPr>
          <w:sz w:val="24"/>
        </w:rPr>
      </w:pPr>
    </w:p>
    <w:p w:rsidR="003E3D08" w:rsidRDefault="003E3D08" w:rsidP="003E3D08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Diagnóstico</w:t>
      </w:r>
    </w:p>
    <w:p w:rsidR="003E3D08" w:rsidRDefault="003E3D08" w:rsidP="003E3D08">
      <w:pPr>
        <w:pStyle w:val="Prrafodelista"/>
        <w:numPr>
          <w:ilvl w:val="1"/>
          <w:numId w:val="1"/>
        </w:numPr>
        <w:jc w:val="both"/>
        <w:rPr>
          <w:sz w:val="24"/>
        </w:rPr>
      </w:pPr>
    </w:p>
    <w:p w:rsidR="003E3D08" w:rsidRDefault="003E3D08" w:rsidP="003E3D08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Conclusiones</w:t>
      </w:r>
    </w:p>
    <w:p w:rsidR="003E3D08" w:rsidRPr="00962B22" w:rsidRDefault="003E3D08" w:rsidP="003E3D08">
      <w:pPr>
        <w:pStyle w:val="Prrafodelista"/>
        <w:numPr>
          <w:ilvl w:val="1"/>
          <w:numId w:val="1"/>
        </w:numPr>
        <w:jc w:val="both"/>
        <w:rPr>
          <w:sz w:val="24"/>
        </w:rPr>
      </w:pPr>
    </w:p>
    <w:p w:rsidR="00962B22" w:rsidRDefault="00962B22" w:rsidP="00962B22">
      <w:pPr>
        <w:pBdr>
          <w:bottom w:val="single" w:sz="4" w:space="1" w:color="auto"/>
        </w:pBdr>
        <w:spacing w:after="0" w:line="240" w:lineRule="auto"/>
        <w:outlineLvl w:val="0"/>
        <w:rPr>
          <w:sz w:val="24"/>
        </w:rPr>
      </w:pPr>
      <w:r w:rsidRPr="00962B22">
        <w:rPr>
          <w:rFonts w:ascii="Arial" w:eastAsia="Cambria" w:hAnsi="Arial" w:cs="Times New Roman"/>
          <w:b/>
          <w:noProof/>
          <w:color w:val="7F7F7F"/>
          <w:sz w:val="24"/>
          <w:szCs w:val="24"/>
        </w:rPr>
        <w:t>5. Vinculación estratégica con los sectores productivo y social.</w:t>
      </w:r>
    </w:p>
    <w:p w:rsidR="003E3D08" w:rsidRDefault="003E3D08" w:rsidP="003E3D08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Logros</w:t>
      </w:r>
    </w:p>
    <w:p w:rsidR="003E3D08" w:rsidRDefault="003E3D08" w:rsidP="003E3D08">
      <w:pPr>
        <w:pStyle w:val="Prrafodelista"/>
        <w:numPr>
          <w:ilvl w:val="1"/>
          <w:numId w:val="1"/>
        </w:numPr>
        <w:jc w:val="both"/>
        <w:rPr>
          <w:sz w:val="24"/>
        </w:rPr>
      </w:pPr>
    </w:p>
    <w:p w:rsidR="003E3D08" w:rsidRDefault="003E3D08" w:rsidP="003E3D0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962B22">
        <w:rPr>
          <w:sz w:val="24"/>
        </w:rPr>
        <w:t>Áreas de oportunidad</w:t>
      </w:r>
    </w:p>
    <w:p w:rsidR="003E3D08" w:rsidRDefault="003E3D08" w:rsidP="003E3D08">
      <w:pPr>
        <w:pStyle w:val="Prrafodelista"/>
        <w:numPr>
          <w:ilvl w:val="1"/>
          <w:numId w:val="1"/>
        </w:numPr>
        <w:jc w:val="both"/>
        <w:rPr>
          <w:sz w:val="24"/>
        </w:rPr>
      </w:pPr>
    </w:p>
    <w:p w:rsidR="003E3D08" w:rsidRDefault="003E3D08" w:rsidP="003E3D08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Diagnóstico</w:t>
      </w:r>
    </w:p>
    <w:p w:rsidR="003E3D08" w:rsidRDefault="003E3D08" w:rsidP="003E3D08">
      <w:pPr>
        <w:pStyle w:val="Prrafodelista"/>
        <w:numPr>
          <w:ilvl w:val="1"/>
          <w:numId w:val="1"/>
        </w:numPr>
        <w:jc w:val="both"/>
        <w:rPr>
          <w:sz w:val="24"/>
        </w:rPr>
      </w:pPr>
    </w:p>
    <w:p w:rsidR="003E3D08" w:rsidRDefault="003E3D08" w:rsidP="003E3D08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Conclusiones</w:t>
      </w:r>
    </w:p>
    <w:p w:rsidR="003E3D08" w:rsidRPr="00962B22" w:rsidRDefault="003E3D08" w:rsidP="003E3D08">
      <w:pPr>
        <w:pStyle w:val="Prrafodelista"/>
        <w:numPr>
          <w:ilvl w:val="1"/>
          <w:numId w:val="1"/>
        </w:numPr>
        <w:jc w:val="both"/>
        <w:rPr>
          <w:sz w:val="24"/>
        </w:rPr>
      </w:pPr>
    </w:p>
    <w:p w:rsidR="00962B22" w:rsidRDefault="00962B22" w:rsidP="00962B22">
      <w:pPr>
        <w:pBdr>
          <w:bottom w:val="single" w:sz="4" w:space="1" w:color="auto"/>
        </w:pBdr>
        <w:spacing w:after="0" w:line="240" w:lineRule="auto"/>
        <w:outlineLvl w:val="0"/>
        <w:rPr>
          <w:sz w:val="24"/>
        </w:rPr>
      </w:pPr>
      <w:r w:rsidRPr="00962B22">
        <w:rPr>
          <w:rFonts w:ascii="Arial" w:eastAsia="Cambria" w:hAnsi="Arial" w:cs="Times New Roman"/>
          <w:b/>
          <w:noProof/>
          <w:color w:val="7F7F7F"/>
          <w:sz w:val="24"/>
          <w:szCs w:val="24"/>
        </w:rPr>
        <w:t>6. Investigación con impacto social.</w:t>
      </w:r>
    </w:p>
    <w:p w:rsidR="003E3D08" w:rsidRDefault="003E3D08" w:rsidP="003E3D08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Logros</w:t>
      </w:r>
    </w:p>
    <w:p w:rsidR="003E3D08" w:rsidRDefault="003E3D08" w:rsidP="003E3D08">
      <w:pPr>
        <w:pStyle w:val="Prrafodelista"/>
        <w:numPr>
          <w:ilvl w:val="1"/>
          <w:numId w:val="1"/>
        </w:numPr>
        <w:jc w:val="both"/>
        <w:rPr>
          <w:sz w:val="24"/>
        </w:rPr>
      </w:pPr>
    </w:p>
    <w:p w:rsidR="003E3D08" w:rsidRDefault="003E3D08" w:rsidP="003E3D0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962B22">
        <w:rPr>
          <w:sz w:val="24"/>
        </w:rPr>
        <w:lastRenderedPageBreak/>
        <w:t>Áreas de oportunidad</w:t>
      </w:r>
    </w:p>
    <w:p w:rsidR="003E3D08" w:rsidRDefault="003E3D08" w:rsidP="003E3D08">
      <w:pPr>
        <w:pStyle w:val="Prrafodelista"/>
        <w:numPr>
          <w:ilvl w:val="1"/>
          <w:numId w:val="1"/>
        </w:numPr>
        <w:jc w:val="both"/>
        <w:rPr>
          <w:sz w:val="24"/>
        </w:rPr>
      </w:pPr>
    </w:p>
    <w:p w:rsidR="003E3D08" w:rsidRDefault="003E3D08" w:rsidP="003E3D08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Diagnóstico</w:t>
      </w:r>
    </w:p>
    <w:p w:rsidR="003E3D08" w:rsidRDefault="003E3D08" w:rsidP="003E3D08">
      <w:pPr>
        <w:pStyle w:val="Prrafodelista"/>
        <w:numPr>
          <w:ilvl w:val="1"/>
          <w:numId w:val="1"/>
        </w:numPr>
        <w:jc w:val="both"/>
        <w:rPr>
          <w:sz w:val="24"/>
        </w:rPr>
      </w:pPr>
    </w:p>
    <w:p w:rsidR="003E3D08" w:rsidRDefault="003E3D08" w:rsidP="003E3D08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Conclusiones</w:t>
      </w:r>
    </w:p>
    <w:p w:rsidR="003E3D08" w:rsidRPr="00962B22" w:rsidRDefault="003E3D08" w:rsidP="003E3D08">
      <w:pPr>
        <w:pStyle w:val="Prrafodelista"/>
        <w:numPr>
          <w:ilvl w:val="1"/>
          <w:numId w:val="1"/>
        </w:numPr>
        <w:jc w:val="both"/>
        <w:rPr>
          <w:sz w:val="24"/>
        </w:rPr>
      </w:pPr>
    </w:p>
    <w:p w:rsidR="00962B22" w:rsidRDefault="00962B22" w:rsidP="00962B22">
      <w:pPr>
        <w:pBdr>
          <w:bottom w:val="single" w:sz="4" w:space="1" w:color="auto"/>
        </w:pBdr>
        <w:spacing w:after="0" w:line="240" w:lineRule="auto"/>
        <w:outlineLvl w:val="0"/>
        <w:rPr>
          <w:sz w:val="24"/>
        </w:rPr>
      </w:pPr>
      <w:r w:rsidRPr="00962B22">
        <w:rPr>
          <w:rFonts w:ascii="Arial" w:eastAsia="Cambria" w:hAnsi="Arial" w:cs="Times New Roman"/>
          <w:b/>
          <w:noProof/>
          <w:color w:val="7F7F7F"/>
          <w:sz w:val="24"/>
          <w:szCs w:val="24"/>
        </w:rPr>
        <w:t>7. Internacionalización.</w:t>
      </w:r>
    </w:p>
    <w:p w:rsidR="003E3D08" w:rsidRDefault="003E3D08" w:rsidP="003E3D08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Logros</w:t>
      </w:r>
    </w:p>
    <w:p w:rsidR="003E3D08" w:rsidRDefault="003E3D08" w:rsidP="003E3D08">
      <w:pPr>
        <w:pStyle w:val="Prrafodelista"/>
        <w:numPr>
          <w:ilvl w:val="1"/>
          <w:numId w:val="1"/>
        </w:numPr>
        <w:jc w:val="both"/>
        <w:rPr>
          <w:sz w:val="24"/>
        </w:rPr>
      </w:pPr>
    </w:p>
    <w:p w:rsidR="003E3D08" w:rsidRDefault="003E3D08" w:rsidP="003E3D08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962B22">
        <w:rPr>
          <w:sz w:val="24"/>
        </w:rPr>
        <w:t>Áreas de oportunidad</w:t>
      </w:r>
    </w:p>
    <w:p w:rsidR="003E3D08" w:rsidRDefault="003E3D08" w:rsidP="003E3D08">
      <w:pPr>
        <w:pStyle w:val="Prrafodelista"/>
        <w:numPr>
          <w:ilvl w:val="1"/>
          <w:numId w:val="1"/>
        </w:numPr>
        <w:jc w:val="both"/>
        <w:rPr>
          <w:sz w:val="24"/>
        </w:rPr>
      </w:pPr>
    </w:p>
    <w:p w:rsidR="003E3D08" w:rsidRDefault="003E3D08" w:rsidP="003E3D08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Diagnóstico</w:t>
      </w:r>
    </w:p>
    <w:p w:rsidR="003E3D08" w:rsidRDefault="003E3D08" w:rsidP="003E3D08">
      <w:pPr>
        <w:pStyle w:val="Prrafodelista"/>
        <w:numPr>
          <w:ilvl w:val="1"/>
          <w:numId w:val="1"/>
        </w:numPr>
        <w:jc w:val="both"/>
        <w:rPr>
          <w:sz w:val="24"/>
        </w:rPr>
      </w:pPr>
    </w:p>
    <w:p w:rsidR="003E3D08" w:rsidRDefault="003E3D08" w:rsidP="003E3D08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Conclusiones</w:t>
      </w:r>
    </w:p>
    <w:p w:rsidR="003E3D08" w:rsidRPr="00962B22" w:rsidRDefault="003E3D08" w:rsidP="003E3D08">
      <w:pPr>
        <w:pStyle w:val="Prrafodelista"/>
        <w:numPr>
          <w:ilvl w:val="1"/>
          <w:numId w:val="1"/>
        </w:numPr>
        <w:jc w:val="both"/>
        <w:rPr>
          <w:sz w:val="24"/>
        </w:rPr>
      </w:pPr>
    </w:p>
    <w:p w:rsidR="00962B22" w:rsidRPr="003E3D08" w:rsidRDefault="0089454A" w:rsidP="000248D4">
      <w:pPr>
        <w:jc w:val="both"/>
        <w:rPr>
          <w:rFonts w:ascii="Arial" w:eastAsia="Cambria" w:hAnsi="Arial" w:cs="Times New Roman"/>
          <w:b/>
          <w:noProof/>
          <w:color w:val="ED7D31" w:themeColor="accent2"/>
          <w:sz w:val="24"/>
          <w:szCs w:val="24"/>
        </w:rPr>
      </w:pPr>
      <w:r>
        <w:rPr>
          <w:rFonts w:ascii="Arial" w:eastAsia="Cambria" w:hAnsi="Arial" w:cs="Times New Roman"/>
          <w:b/>
          <w:noProof/>
          <w:color w:val="ED7D31" w:themeColor="accent2"/>
          <w:sz w:val="24"/>
          <w:szCs w:val="24"/>
        </w:rPr>
        <w:t>(Colocar en el siguiente apartado (si lo considera necesario) algún área de oportunidad institucional que usted considere importante se deba atender)</w:t>
      </w:r>
    </w:p>
    <w:p w:rsidR="00055DE5" w:rsidRDefault="00055DE5" w:rsidP="00055DE5">
      <w:pPr>
        <w:pBdr>
          <w:bottom w:val="single" w:sz="4" w:space="1" w:color="auto"/>
        </w:pBdr>
        <w:spacing w:after="0" w:line="240" w:lineRule="auto"/>
        <w:outlineLvl w:val="0"/>
        <w:rPr>
          <w:sz w:val="24"/>
        </w:rPr>
      </w:pPr>
      <w:r>
        <w:rPr>
          <w:rFonts w:ascii="Arial" w:eastAsia="Cambria" w:hAnsi="Arial" w:cs="Times New Roman"/>
          <w:b/>
          <w:noProof/>
          <w:color w:val="7F7F7F"/>
          <w:sz w:val="24"/>
          <w:szCs w:val="24"/>
        </w:rPr>
        <w:t>(</w:t>
      </w:r>
      <w:r w:rsidR="003E3D08">
        <w:rPr>
          <w:rFonts w:ascii="Arial" w:eastAsia="Cambria" w:hAnsi="Arial" w:cs="Times New Roman"/>
          <w:b/>
          <w:noProof/>
          <w:color w:val="7F7F7F"/>
          <w:sz w:val="24"/>
          <w:szCs w:val="24"/>
        </w:rPr>
        <w:t>…</w:t>
      </w:r>
      <w:r>
        <w:rPr>
          <w:rFonts w:ascii="Arial" w:eastAsia="Cambria" w:hAnsi="Arial" w:cs="Times New Roman"/>
          <w:b/>
          <w:noProof/>
          <w:color w:val="7F7F7F"/>
          <w:sz w:val="24"/>
          <w:szCs w:val="24"/>
        </w:rPr>
        <w:t>)</w:t>
      </w:r>
    </w:p>
    <w:p w:rsidR="00055DE5" w:rsidRPr="0089454A" w:rsidRDefault="00055DE5" w:rsidP="00055DE5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(</w:t>
      </w:r>
      <w:r w:rsidR="003E3D08">
        <w:rPr>
          <w:sz w:val="24"/>
        </w:rPr>
        <w:t>Explicación</w:t>
      </w:r>
      <w:r>
        <w:rPr>
          <w:sz w:val="24"/>
        </w:rPr>
        <w:t>)</w:t>
      </w:r>
    </w:p>
    <w:sectPr w:rsidR="00055DE5" w:rsidRPr="008945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338F2"/>
    <w:multiLevelType w:val="hybridMultilevel"/>
    <w:tmpl w:val="AEB00B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249F8"/>
    <w:multiLevelType w:val="hybridMultilevel"/>
    <w:tmpl w:val="371C8F80"/>
    <w:lvl w:ilvl="0" w:tplc="E048BB34">
      <w:start w:val="7"/>
      <w:numFmt w:val="bullet"/>
      <w:lvlText w:val="-"/>
      <w:lvlJc w:val="left"/>
      <w:pPr>
        <w:ind w:left="720" w:hanging="360"/>
      </w:pPr>
      <w:rPr>
        <w:rFonts w:ascii="Arial" w:eastAsia="Cambria" w:hAnsi="Arial" w:cs="Arial" w:hint="default"/>
        <w:b/>
        <w:color w:val="ED7D31" w:themeColor="accent2"/>
        <w:sz w:val="3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DB"/>
    <w:rsid w:val="000248D4"/>
    <w:rsid w:val="00055DE5"/>
    <w:rsid w:val="00096B4B"/>
    <w:rsid w:val="00213C65"/>
    <w:rsid w:val="002D1BDB"/>
    <w:rsid w:val="00335DAF"/>
    <w:rsid w:val="003E3D08"/>
    <w:rsid w:val="00452632"/>
    <w:rsid w:val="004D752D"/>
    <w:rsid w:val="00521E63"/>
    <w:rsid w:val="00626667"/>
    <w:rsid w:val="0089454A"/>
    <w:rsid w:val="00962B22"/>
    <w:rsid w:val="00A24920"/>
    <w:rsid w:val="00B658EA"/>
    <w:rsid w:val="00C0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3186"/>
  <w15:chartTrackingRefBased/>
  <w15:docId w15:val="{1F1417EB-30C3-4CC8-BC9D-B29C8C0E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2B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945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454A"/>
    <w:rPr>
      <w:rFonts w:ascii="Segoe UI" w:hAnsi="Segoe UI" w:cs="Segoe UI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Martínez Chávez Edgar Adrían</dc:creator>
  <cp:keywords/>
  <dc:description/>
  <cp:lastModifiedBy>Mullan Peter LC.</cp:lastModifiedBy>
  <cp:revision>3</cp:revision>
  <cp:lastPrinted>2017-01-26T19:09:00Z</cp:lastPrinted>
  <dcterms:created xsi:type="dcterms:W3CDTF">2018-03-22T17:33:00Z</dcterms:created>
  <dcterms:modified xsi:type="dcterms:W3CDTF">2018-03-22T17:48:00Z</dcterms:modified>
</cp:coreProperties>
</file>