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3B0" w:rsidRDefault="00785D73">
      <w:hyperlink r:id="rId4" w:history="1">
        <w:r>
          <w:rPr>
            <w:rStyle w:val="Hipervnculo"/>
            <w:lang w:val="es-ES_tradnl"/>
          </w:rPr>
          <w:t>https://canaljudicial.mx/es/programa/derecho-la-proteccion-de-la-salud-parte-1-y-2</w:t>
        </w:r>
      </w:hyperlink>
      <w:bookmarkStart w:id="0" w:name="_GoBack"/>
      <w:bookmarkEnd w:id="0"/>
    </w:p>
    <w:sectPr w:rsidR="00A71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D73"/>
    <w:rsid w:val="0005788C"/>
    <w:rsid w:val="00785D73"/>
    <w:rsid w:val="00A0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C92A7-1CB6-4FAF-8796-7067EF66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85D7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naljudicial.mx/es/programa/derecho-la-proteccion-de-la-salud-parte-1-y-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Solalinde Carlos Alberto</dc:creator>
  <cp:keywords/>
  <dc:description/>
  <cp:lastModifiedBy>Ortiz Solalinde Carlos Alberto</cp:lastModifiedBy>
  <cp:revision>1</cp:revision>
  <dcterms:created xsi:type="dcterms:W3CDTF">2018-04-05T19:08:00Z</dcterms:created>
  <dcterms:modified xsi:type="dcterms:W3CDTF">2018-04-05T19:09:00Z</dcterms:modified>
</cp:coreProperties>
</file>