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1163" w14:textId="11646718" w:rsidR="001014EE" w:rsidRPr="00FC79D7" w:rsidRDefault="001014EE" w:rsidP="001014EE">
      <w:pPr>
        <w:pStyle w:val="Caption"/>
      </w:pPr>
      <w:commentRangeStart w:id="0"/>
      <w:r>
        <w:t xml:space="preserve"> Final inclusion framework, showing the domain, impact area, related Sustainable Development Goal (SDG) and source</w:t>
      </w:r>
      <w:commentRangeEnd w:id="0"/>
      <w:r w:rsidRPr="00FC79D7">
        <w:rPr>
          <w:rStyle w:val="CommentReference"/>
          <w:sz w:val="24"/>
          <w:szCs w:val="18"/>
        </w:rPr>
        <w:commentReference w:id="0"/>
      </w:r>
    </w:p>
    <w:p w14:paraId="566ECDD1" w14:textId="77777777" w:rsidR="001014EE" w:rsidRPr="00FC79D7" w:rsidRDefault="001014EE" w:rsidP="001014EE">
      <w:pPr>
        <w:rPr>
          <w:rFonts w:ascii="Calibri" w:hAnsi="Calibri" w:cs="Calibri"/>
          <w:sz w:val="20"/>
          <w:szCs w:val="20"/>
        </w:rPr>
      </w:pPr>
    </w:p>
    <w:tbl>
      <w:tblPr>
        <w:tblStyle w:val="PlainTable3"/>
        <w:tblW w:w="13887" w:type="dxa"/>
        <w:tblLayout w:type="fixed"/>
        <w:tblLook w:val="0680" w:firstRow="0" w:lastRow="0" w:firstColumn="1" w:lastColumn="0" w:noHBand="1" w:noVBand="1"/>
      </w:tblPr>
      <w:tblGrid>
        <w:gridCol w:w="2655"/>
        <w:gridCol w:w="2302"/>
        <w:gridCol w:w="5103"/>
        <w:gridCol w:w="1701"/>
        <w:gridCol w:w="2126"/>
      </w:tblGrid>
      <w:tr w:rsidR="001014EE" w:rsidRPr="00FC79D7" w14:paraId="6A2A29BF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tcBorders>
              <w:top w:val="single" w:sz="4" w:space="0" w:color="auto"/>
            </w:tcBorders>
          </w:tcPr>
          <w:p w14:paraId="73DAB65F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</w:rPr>
              <w:t xml:space="preserve">Inclusion Domain             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</w:t>
            </w:r>
            <w:r w:rsidRPr="00FC79D7"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                     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</w:t>
            </w:r>
          </w:p>
        </w:tc>
        <w:tc>
          <w:tcPr>
            <w:tcW w:w="2302" w:type="dxa"/>
            <w:tcBorders>
              <w:top w:val="single" w:sz="4" w:space="0" w:color="auto"/>
            </w:tcBorders>
          </w:tcPr>
          <w:p w14:paraId="2893467C" w14:textId="77777777" w:rsidR="001014EE" w:rsidRPr="00422BD5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22BD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IMPACT AREA                                </w:t>
            </w:r>
          </w:p>
        </w:tc>
        <w:tc>
          <w:tcPr>
            <w:tcW w:w="5103" w:type="dxa"/>
            <w:tcBorders>
              <w:top w:val="single" w:sz="4" w:space="0" w:color="auto"/>
            </w:tcBorders>
          </w:tcPr>
          <w:p w14:paraId="3503D325" w14:textId="77777777" w:rsidR="001014EE" w:rsidRPr="00422BD5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22BD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INDICATORS       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EC812F2" w14:textId="77777777" w:rsidR="001014EE" w:rsidRPr="00422BD5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22BD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RELATED SDGS                          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C8BCC52" w14:textId="77777777" w:rsidR="001014EE" w:rsidRPr="00422BD5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22BD5">
              <w:rPr>
                <w:rFonts w:ascii="Calibri" w:hAnsi="Calibri" w:cs="Calibri"/>
                <w:b/>
                <w:bCs/>
                <w:sz w:val="20"/>
                <w:szCs w:val="20"/>
              </w:rPr>
              <w:t>SOURCE</w:t>
            </w:r>
          </w:p>
        </w:tc>
      </w:tr>
      <w:tr w:rsidR="001014EE" w:rsidRPr="00FC79D7" w14:paraId="1B49AE70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tcBorders>
              <w:top w:val="single" w:sz="4" w:space="0" w:color="auto"/>
            </w:tcBorders>
          </w:tcPr>
          <w:p w14:paraId="6E907AEC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  <w:tcBorders>
              <w:top w:val="single" w:sz="4" w:space="0" w:color="auto"/>
            </w:tcBorders>
          </w:tcPr>
          <w:p w14:paraId="37C89736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Equitable access </w:t>
            </w:r>
          </w:p>
          <w:p w14:paraId="255DC69D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</w:tcPr>
          <w:p w14:paraId="19994044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1.1 Targeted access to land, tools, or infrastructure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7433244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1, 2, 10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7EC3212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(2025, 2023)</w:t>
            </w:r>
          </w:p>
        </w:tc>
      </w:tr>
      <w:tr w:rsidR="001014EE" w:rsidRPr="00FC79D7" w14:paraId="79DD00F4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</w:tcPr>
          <w:p w14:paraId="74B5C69E" w14:textId="77777777" w:rsidR="001014EE" w:rsidRDefault="001014EE" w:rsidP="007518ED">
            <w:pPr>
              <w:rPr>
                <w:rFonts w:ascii="Calibri" w:hAnsi="Calibri" w:cs="Calibri"/>
                <w:b w:val="0"/>
                <w:bCs w:val="0"/>
                <w:caps w:val="0"/>
                <w:sz w:val="20"/>
                <w:szCs w:val="20"/>
                <w:lang w:val="en-US"/>
              </w:rPr>
            </w:pPr>
          </w:p>
          <w:p w14:paraId="7C91839F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Access &amp; Resources</w:t>
            </w:r>
          </w:p>
        </w:tc>
        <w:tc>
          <w:tcPr>
            <w:tcW w:w="2302" w:type="dxa"/>
          </w:tcPr>
          <w:p w14:paraId="75735E13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Prompts &amp; promotions</w:t>
            </w:r>
          </w:p>
        </w:tc>
        <w:tc>
          <w:tcPr>
            <w:tcW w:w="5103" w:type="dxa"/>
          </w:tcPr>
          <w:p w14:paraId="65ECEDB8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1.2 Provision of services for excluded participants</w:t>
            </w:r>
          </w:p>
          <w:p w14:paraId="4D689E8F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197B14F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37A09F9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2, 11</w:t>
            </w:r>
          </w:p>
        </w:tc>
        <w:tc>
          <w:tcPr>
            <w:tcW w:w="2126" w:type="dxa"/>
          </w:tcPr>
          <w:p w14:paraId="2BDD9357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(2025, 2023)</w:t>
            </w:r>
          </w:p>
          <w:p w14:paraId="6E6A2A13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(Hawkes et al. 2024)</w:t>
            </w:r>
          </w:p>
        </w:tc>
      </w:tr>
      <w:tr w:rsidR="001014EE" w:rsidRPr="00FC79D7" w14:paraId="16CA111F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tcBorders>
              <w:bottom w:val="single" w:sz="4" w:space="0" w:color="auto"/>
            </w:tcBorders>
          </w:tcPr>
          <w:p w14:paraId="2E7A799E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  <w:tcBorders>
              <w:bottom w:val="single" w:sz="4" w:space="0" w:color="auto"/>
            </w:tcBorders>
          </w:tcPr>
          <w:p w14:paraId="2B98684F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Physical &amp; digital access / Ease of Availability 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0E6643C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1.3 Accessibility of services and spaces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1A01AD9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9, 10, 11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632FADC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(2025, 2023)</w:t>
            </w:r>
          </w:p>
          <w:p w14:paraId="0CCE7F59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7AA7FA50">
              <w:rPr>
                <w:rFonts w:ascii="Calibri" w:hAnsi="Calibri" w:cs="Calibri"/>
                <w:sz w:val="20"/>
                <w:szCs w:val="20"/>
                <w:lang w:val="en-US"/>
              </w:rPr>
              <w:t>(Hawkes et al. 2024)</w:t>
            </w:r>
          </w:p>
          <w:p w14:paraId="68F8405D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1014EE" w:rsidRPr="00FC79D7" w14:paraId="782395D4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tcBorders>
              <w:top w:val="single" w:sz="4" w:space="0" w:color="auto"/>
            </w:tcBorders>
          </w:tcPr>
          <w:p w14:paraId="60FF83DD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  <w:tcBorders>
              <w:top w:val="single" w:sz="4" w:space="0" w:color="auto"/>
            </w:tcBorders>
          </w:tcPr>
          <w:p w14:paraId="45729891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Community voice</w:t>
            </w:r>
          </w:p>
        </w:tc>
        <w:tc>
          <w:tcPr>
            <w:tcW w:w="5103" w:type="dxa"/>
            <w:tcBorders>
              <w:top w:val="single" w:sz="4" w:space="0" w:color="auto"/>
            </w:tcBorders>
          </w:tcPr>
          <w:p w14:paraId="5853C000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2.1 Representation in decision-making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FF9AB3A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82A80C6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5, 10, 16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19B0852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  <w:p w14:paraId="539AE3D7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</w:rPr>
              <w:t>(Mackenzie and Davies, 2019)</w:t>
            </w:r>
          </w:p>
        </w:tc>
      </w:tr>
      <w:tr w:rsidR="001014EE" w:rsidRPr="00FC79D7" w14:paraId="55A54608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</w:tcPr>
          <w:p w14:paraId="0837E758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Participation &amp; Representation</w:t>
            </w:r>
          </w:p>
        </w:tc>
        <w:tc>
          <w:tcPr>
            <w:tcW w:w="2302" w:type="dxa"/>
          </w:tcPr>
          <w:p w14:paraId="63B2E213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Co-creation &amp; feedback</w:t>
            </w:r>
          </w:p>
        </w:tc>
        <w:tc>
          <w:tcPr>
            <w:tcW w:w="5103" w:type="dxa"/>
          </w:tcPr>
          <w:p w14:paraId="6097DB33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2.2 Participation in design/implementation of initiatives </w:t>
            </w:r>
          </w:p>
        </w:tc>
        <w:tc>
          <w:tcPr>
            <w:tcW w:w="1701" w:type="dxa"/>
          </w:tcPr>
          <w:p w14:paraId="3CC12DBC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A0468F3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11, 16, 17</w:t>
            </w:r>
          </w:p>
        </w:tc>
        <w:tc>
          <w:tcPr>
            <w:tcW w:w="2126" w:type="dxa"/>
          </w:tcPr>
          <w:p w14:paraId="763B2271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 (MUFPP 2021)</w:t>
            </w:r>
          </w:p>
        </w:tc>
      </w:tr>
      <w:tr w:rsidR="001014EE" w:rsidRPr="00FC79D7" w14:paraId="2ECCC5F3" w14:textId="77777777" w:rsidTr="007518ED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tcBorders>
              <w:bottom w:val="single" w:sz="4" w:space="0" w:color="auto"/>
            </w:tcBorders>
          </w:tcPr>
          <w:p w14:paraId="407C79D9" w14:textId="77777777" w:rsidR="001014EE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25B449D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  <w:tcBorders>
              <w:bottom w:val="single" w:sz="4" w:space="0" w:color="auto"/>
            </w:tcBorders>
          </w:tcPr>
          <w:p w14:paraId="0263F928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05A16E6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Policy influence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2B2D5C34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637033F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2.3 Involvement in governance platforms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7843EE3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76D4A60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16, 17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6CB42C1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(2025, 2023) (MUFPP 2021)</w:t>
            </w:r>
          </w:p>
        </w:tc>
      </w:tr>
      <w:tr w:rsidR="001014EE" w:rsidRPr="00FC79D7" w14:paraId="5DA866C5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tcBorders>
              <w:top w:val="single" w:sz="4" w:space="0" w:color="auto"/>
            </w:tcBorders>
          </w:tcPr>
          <w:p w14:paraId="00D2BAF8" w14:textId="77777777" w:rsidR="001014EE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F5B7EB5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  <w:tcBorders>
              <w:top w:val="single" w:sz="4" w:space="0" w:color="auto"/>
            </w:tcBorders>
          </w:tcPr>
          <w:p w14:paraId="6418AB96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17B89ED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Rights recognition</w:t>
            </w:r>
          </w:p>
        </w:tc>
        <w:tc>
          <w:tcPr>
            <w:tcW w:w="5103" w:type="dxa"/>
            <w:tcBorders>
              <w:top w:val="single" w:sz="4" w:space="0" w:color="auto"/>
            </w:tcBorders>
          </w:tcPr>
          <w:p w14:paraId="1B66FE99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9420195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3.1 Commitment to equity/anti-discrimination</w:t>
            </w:r>
          </w:p>
          <w:p w14:paraId="54438E57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EB877F2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5DE5EAC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5, 10, 16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EE2CB91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</w:tc>
      </w:tr>
      <w:tr w:rsidR="001014EE" w:rsidRPr="00FC79D7" w14:paraId="0FD30759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</w:tcPr>
          <w:p w14:paraId="207B7F64" w14:textId="77777777" w:rsidR="001014EE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CD2E16A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Equity &amp; Rights</w:t>
            </w:r>
          </w:p>
        </w:tc>
        <w:tc>
          <w:tcPr>
            <w:tcW w:w="2302" w:type="dxa"/>
          </w:tcPr>
          <w:p w14:paraId="011E814B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A52CF4D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Tracking inclusion / </w:t>
            </w:r>
            <w:r w:rsidRPr="00FC79D7">
              <w:rPr>
                <w:rFonts w:ascii="Calibri" w:hAnsi="Calibri" w:cs="Calibri"/>
                <w:sz w:val="20"/>
                <w:szCs w:val="20"/>
              </w:rPr>
              <w:t xml:space="preserve">Increasing appreciation of different cultures across and within communities </w:t>
            </w:r>
          </w:p>
          <w:p w14:paraId="25E7612B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103" w:type="dxa"/>
          </w:tcPr>
          <w:p w14:paraId="38876355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CFA989F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3.2 Use of disaggregated demographic data</w:t>
            </w:r>
          </w:p>
          <w:p w14:paraId="74BDDABC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27D495F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B748AB8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5, 10, 11</w:t>
            </w:r>
          </w:p>
        </w:tc>
        <w:tc>
          <w:tcPr>
            <w:tcW w:w="2126" w:type="dxa"/>
          </w:tcPr>
          <w:p w14:paraId="10FA7A15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  <w:p w14:paraId="742A24CF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</w:rPr>
              <w:t>(Mackenzie and Davies, 2019)</w:t>
            </w:r>
          </w:p>
        </w:tc>
      </w:tr>
      <w:tr w:rsidR="001014EE" w:rsidRPr="00FC79D7" w14:paraId="53D64163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tcBorders>
              <w:bottom w:val="single" w:sz="4" w:space="0" w:color="auto"/>
            </w:tcBorders>
          </w:tcPr>
          <w:p w14:paraId="2DCD9542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  <w:tcBorders>
              <w:bottom w:val="single" w:sz="4" w:space="0" w:color="auto"/>
            </w:tcBorders>
          </w:tcPr>
          <w:p w14:paraId="42E3DA18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Outreach to excluded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A32B1BF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3.3 Targeted inclusion of </w:t>
            </w:r>
            <w:proofErr w:type="spellStart"/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marginalised</w:t>
            </w:r>
            <w:proofErr w:type="spellEnd"/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groups</w:t>
            </w:r>
          </w:p>
          <w:p w14:paraId="45D9BCDC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D2F20E8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1, 10, 11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40E4E15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</w:tc>
      </w:tr>
      <w:tr w:rsidR="001014EE" w:rsidRPr="00FC79D7" w14:paraId="25F174AB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tcBorders>
              <w:top w:val="single" w:sz="4" w:space="0" w:color="auto"/>
            </w:tcBorders>
          </w:tcPr>
          <w:p w14:paraId="5D9750EC" w14:textId="77777777" w:rsidR="001014EE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1086566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  <w:tcBorders>
              <w:top w:val="single" w:sz="4" w:space="0" w:color="auto"/>
            </w:tcBorders>
          </w:tcPr>
          <w:p w14:paraId="0A26B09B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951E6C8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Education and training</w:t>
            </w:r>
          </w:p>
        </w:tc>
        <w:tc>
          <w:tcPr>
            <w:tcW w:w="5103" w:type="dxa"/>
            <w:tcBorders>
              <w:top w:val="single" w:sz="4" w:space="0" w:color="auto"/>
            </w:tcBorders>
          </w:tcPr>
          <w:p w14:paraId="260F2A2D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ED1B792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4.1 Skills-building opportunities</w:t>
            </w:r>
          </w:p>
          <w:p w14:paraId="3E7C30DC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D6B3313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49340DC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4, 8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02C1369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</w:tc>
      </w:tr>
      <w:tr w:rsidR="001014EE" w:rsidRPr="00FC79D7" w14:paraId="76E1ABB5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</w:tcPr>
          <w:p w14:paraId="3B158F93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Empowerment &amp; Capacity Building</w:t>
            </w:r>
          </w:p>
        </w:tc>
        <w:tc>
          <w:tcPr>
            <w:tcW w:w="2302" w:type="dxa"/>
          </w:tcPr>
          <w:p w14:paraId="4531D0DF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Personal agency</w:t>
            </w:r>
          </w:p>
        </w:tc>
        <w:tc>
          <w:tcPr>
            <w:tcW w:w="5103" w:type="dxa"/>
          </w:tcPr>
          <w:p w14:paraId="2326C604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4.2 </w:t>
            </w:r>
            <w:r w:rsidRPr="00FC79D7">
              <w:rPr>
                <w:rFonts w:ascii="Calibri" w:hAnsi="Calibri" w:cs="Calibri"/>
                <w:sz w:val="20"/>
                <w:szCs w:val="20"/>
              </w:rPr>
              <w:t>Increased participant leadership roles or responsibilities</w:t>
            </w:r>
          </w:p>
        </w:tc>
        <w:tc>
          <w:tcPr>
            <w:tcW w:w="1701" w:type="dxa"/>
          </w:tcPr>
          <w:p w14:paraId="21875A7A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5, 10</w:t>
            </w:r>
          </w:p>
        </w:tc>
        <w:tc>
          <w:tcPr>
            <w:tcW w:w="2126" w:type="dxa"/>
          </w:tcPr>
          <w:p w14:paraId="60A6B7AF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</w:tc>
      </w:tr>
      <w:tr w:rsidR="001014EE" w:rsidRPr="00FC79D7" w14:paraId="51BAF1F1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</w:tcPr>
          <w:p w14:paraId="4A85379D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</w:tcPr>
          <w:p w14:paraId="73B35B6C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Livelihoods &amp; jobs</w:t>
            </w:r>
          </w:p>
        </w:tc>
        <w:tc>
          <w:tcPr>
            <w:tcW w:w="5103" w:type="dxa"/>
          </w:tcPr>
          <w:p w14:paraId="42C732D3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4.3 Support for income-generating activities</w:t>
            </w:r>
          </w:p>
        </w:tc>
        <w:tc>
          <w:tcPr>
            <w:tcW w:w="1701" w:type="dxa"/>
          </w:tcPr>
          <w:p w14:paraId="6EF59467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1, 8</w:t>
            </w:r>
          </w:p>
        </w:tc>
        <w:tc>
          <w:tcPr>
            <w:tcW w:w="2126" w:type="dxa"/>
          </w:tcPr>
          <w:p w14:paraId="5E4B25C2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  <w:p w14:paraId="03F4645D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1014EE" w:rsidRPr="00FC79D7" w14:paraId="470952D2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tcBorders>
              <w:top w:val="single" w:sz="4" w:space="0" w:color="auto"/>
            </w:tcBorders>
          </w:tcPr>
          <w:p w14:paraId="0BE08033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  <w:tcBorders>
              <w:top w:val="single" w:sz="4" w:space="0" w:color="auto"/>
            </w:tcBorders>
          </w:tcPr>
          <w:p w14:paraId="3EA2C93E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Environmental practice</w:t>
            </w:r>
          </w:p>
        </w:tc>
        <w:tc>
          <w:tcPr>
            <w:tcW w:w="5103" w:type="dxa"/>
            <w:tcBorders>
              <w:top w:val="single" w:sz="4" w:space="0" w:color="auto"/>
            </w:tcBorders>
          </w:tcPr>
          <w:p w14:paraId="060F2984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5.1 Circular/sustainable practices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EB86634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12, 13, 15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33583AD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</w:tc>
      </w:tr>
      <w:tr w:rsidR="001014EE" w:rsidRPr="00FC79D7" w14:paraId="0E1B6EFE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</w:tcPr>
          <w:p w14:paraId="4BBB2D5C" w14:textId="77777777" w:rsidR="001014EE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6C811EA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Resilience &amp; Sustainability</w:t>
            </w:r>
          </w:p>
        </w:tc>
        <w:tc>
          <w:tcPr>
            <w:tcW w:w="2302" w:type="dxa"/>
          </w:tcPr>
          <w:p w14:paraId="246422A3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0919EE2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Crisis response</w:t>
            </w:r>
          </w:p>
        </w:tc>
        <w:tc>
          <w:tcPr>
            <w:tcW w:w="5103" w:type="dxa"/>
          </w:tcPr>
          <w:p w14:paraId="5D890B82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D8B5809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5.2 Continuity/resilience planning</w:t>
            </w:r>
          </w:p>
        </w:tc>
        <w:tc>
          <w:tcPr>
            <w:tcW w:w="1701" w:type="dxa"/>
          </w:tcPr>
          <w:p w14:paraId="15BD3AFF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78D0781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11, 13</w:t>
            </w:r>
          </w:p>
        </w:tc>
        <w:tc>
          <w:tcPr>
            <w:tcW w:w="2126" w:type="dxa"/>
          </w:tcPr>
          <w:p w14:paraId="1865A28D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E19C807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</w:tc>
      </w:tr>
      <w:tr w:rsidR="001014EE" w:rsidRPr="00FC79D7" w14:paraId="42312DA7" w14:textId="77777777" w:rsidTr="0075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</w:tcPr>
          <w:p w14:paraId="4D7DAD76" w14:textId="77777777" w:rsidR="001014EE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97461A1" w14:textId="77777777" w:rsidR="001014EE" w:rsidRPr="00FC79D7" w:rsidRDefault="001014EE" w:rsidP="007518E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302" w:type="dxa"/>
          </w:tcPr>
          <w:p w14:paraId="30D24E8E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F1C7B1A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Systems integration / Social Relations / Fostering a wider food sharing culture</w:t>
            </w:r>
          </w:p>
          <w:p w14:paraId="52AB3BEF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0E270F1A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B7B12AB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5.3 Integration with wider food systems</w:t>
            </w:r>
          </w:p>
          <w:p w14:paraId="0B87E2C5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7135F54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3D3D0976" w14:textId="77777777" w:rsidR="001014EE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9A0B594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9, 2, 11, 17</w:t>
            </w:r>
          </w:p>
        </w:tc>
        <w:tc>
          <w:tcPr>
            <w:tcW w:w="2126" w:type="dxa"/>
          </w:tcPr>
          <w:p w14:paraId="5562D411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FAO (2025)</w:t>
            </w:r>
          </w:p>
          <w:p w14:paraId="4B6E8031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FC79D7">
              <w:rPr>
                <w:rFonts w:ascii="Calibri" w:hAnsi="Calibri" w:cs="Calibri"/>
                <w:sz w:val="20"/>
                <w:szCs w:val="20"/>
              </w:rPr>
              <w:t>(Mackenzie and Davies, 2019)</w:t>
            </w:r>
          </w:p>
          <w:p w14:paraId="6938C6D8" w14:textId="77777777" w:rsidR="001014EE" w:rsidRPr="00FC79D7" w:rsidRDefault="001014EE" w:rsidP="00751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79D7">
              <w:rPr>
                <w:rFonts w:ascii="Calibri" w:hAnsi="Calibri" w:cs="Calibri"/>
                <w:sz w:val="20"/>
                <w:szCs w:val="20"/>
                <w:lang w:val="en-US"/>
              </w:rPr>
              <w:t>(Hawkes et al. 2024)</w:t>
            </w:r>
          </w:p>
        </w:tc>
      </w:tr>
    </w:tbl>
    <w:p w14:paraId="2A7D3603" w14:textId="77777777" w:rsidR="001A6CF0" w:rsidRDefault="001A6CF0"/>
    <w:sectPr w:rsidR="001A6CF0" w:rsidSect="001014E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ullen, Anne" w:date="2026-01-27T07:13:00Z" w:initials="AM">
    <w:p w14:paraId="73B129B2" w14:textId="77777777" w:rsidR="001014EE" w:rsidRDefault="001014EE" w:rsidP="001014EE">
      <w:pPr>
        <w:pStyle w:val="CommentText"/>
      </w:pPr>
      <w:r>
        <w:rPr>
          <w:rStyle w:val="CommentReference"/>
        </w:rPr>
        <w:annotationRef/>
      </w:r>
      <w:r>
        <w:t xml:space="preserve">This is really nice Claire. The Column, ‘inclusion domain’ should present each domain name just once (rather than 3 times).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B129B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DEC78F" w16cex:dateUtc="2026-01-27T07:13:00Z">
    <w16cex:extLst>
      <w16:ext w16:uri="{CE6994B0-6A32-4C9F-8C6B-6E91EDA988CE}">
        <cr:reactions xmlns:cr="http://schemas.microsoft.com/office/comments/2020/reactions">
          <cr:reaction reactionType="1">
            <cr:reactionInfo dateUtc="2026-01-29T13:32:29Z">
              <cr:user userId="S::C.Davey8@universityofgalway.ie::675c6654-84b0-4611-a806-e0229e730024" userProvider="AD" userName="Davey, Claire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B129B2" w16cid:durableId="49DEC78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llen, Anne">
    <w15:presenceInfo w15:providerId="AD" w15:userId="S::0129674S@universityofgalway.ie::e5f91104-14bb-42cf-bb7b-ade9bd308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EE"/>
    <w:rsid w:val="000150C4"/>
    <w:rsid w:val="000A0151"/>
    <w:rsid w:val="001014EE"/>
    <w:rsid w:val="001171F2"/>
    <w:rsid w:val="00126287"/>
    <w:rsid w:val="00156A56"/>
    <w:rsid w:val="0018746E"/>
    <w:rsid w:val="001A6CF0"/>
    <w:rsid w:val="001E10FE"/>
    <w:rsid w:val="002075CE"/>
    <w:rsid w:val="0022428E"/>
    <w:rsid w:val="00280C5A"/>
    <w:rsid w:val="002F40D7"/>
    <w:rsid w:val="003200A5"/>
    <w:rsid w:val="003249F0"/>
    <w:rsid w:val="003737A3"/>
    <w:rsid w:val="00382C35"/>
    <w:rsid w:val="003923DA"/>
    <w:rsid w:val="003A7E41"/>
    <w:rsid w:val="003B359E"/>
    <w:rsid w:val="003B3F0D"/>
    <w:rsid w:val="003E22A2"/>
    <w:rsid w:val="00406B4E"/>
    <w:rsid w:val="00431267"/>
    <w:rsid w:val="004633AF"/>
    <w:rsid w:val="0047193C"/>
    <w:rsid w:val="00477D15"/>
    <w:rsid w:val="004A4CFB"/>
    <w:rsid w:val="004D08C5"/>
    <w:rsid w:val="004D62A8"/>
    <w:rsid w:val="0051470F"/>
    <w:rsid w:val="005149D1"/>
    <w:rsid w:val="00565469"/>
    <w:rsid w:val="00577B25"/>
    <w:rsid w:val="005B62BD"/>
    <w:rsid w:val="005E78BC"/>
    <w:rsid w:val="005F0AFD"/>
    <w:rsid w:val="005F11DD"/>
    <w:rsid w:val="006103F6"/>
    <w:rsid w:val="006366E6"/>
    <w:rsid w:val="00641B93"/>
    <w:rsid w:val="00696C4D"/>
    <w:rsid w:val="00716AE9"/>
    <w:rsid w:val="007216F6"/>
    <w:rsid w:val="00744F74"/>
    <w:rsid w:val="00801480"/>
    <w:rsid w:val="008014AF"/>
    <w:rsid w:val="00822D65"/>
    <w:rsid w:val="00836916"/>
    <w:rsid w:val="00843CD1"/>
    <w:rsid w:val="00844EA1"/>
    <w:rsid w:val="00863EE4"/>
    <w:rsid w:val="00870223"/>
    <w:rsid w:val="008933B3"/>
    <w:rsid w:val="008A200F"/>
    <w:rsid w:val="008A4E8E"/>
    <w:rsid w:val="008A707C"/>
    <w:rsid w:val="008B38EC"/>
    <w:rsid w:val="008C3975"/>
    <w:rsid w:val="0090377F"/>
    <w:rsid w:val="00912DE8"/>
    <w:rsid w:val="009263F3"/>
    <w:rsid w:val="009714A8"/>
    <w:rsid w:val="0098729A"/>
    <w:rsid w:val="009A359B"/>
    <w:rsid w:val="009E2113"/>
    <w:rsid w:val="009E2544"/>
    <w:rsid w:val="009F527E"/>
    <w:rsid w:val="00A1585E"/>
    <w:rsid w:val="00A32505"/>
    <w:rsid w:val="00A53445"/>
    <w:rsid w:val="00A56488"/>
    <w:rsid w:val="00A723A6"/>
    <w:rsid w:val="00A733E3"/>
    <w:rsid w:val="00A81FF9"/>
    <w:rsid w:val="00A8410D"/>
    <w:rsid w:val="00A902C0"/>
    <w:rsid w:val="00A97330"/>
    <w:rsid w:val="00AE5DB5"/>
    <w:rsid w:val="00B22338"/>
    <w:rsid w:val="00B4679E"/>
    <w:rsid w:val="00B77954"/>
    <w:rsid w:val="00B869BF"/>
    <w:rsid w:val="00C004C9"/>
    <w:rsid w:val="00C0257E"/>
    <w:rsid w:val="00C0351F"/>
    <w:rsid w:val="00C427E0"/>
    <w:rsid w:val="00C602A1"/>
    <w:rsid w:val="00C67D54"/>
    <w:rsid w:val="00C84688"/>
    <w:rsid w:val="00CE62E2"/>
    <w:rsid w:val="00CF3076"/>
    <w:rsid w:val="00D01239"/>
    <w:rsid w:val="00D672BE"/>
    <w:rsid w:val="00D8550B"/>
    <w:rsid w:val="00DB2574"/>
    <w:rsid w:val="00DB4426"/>
    <w:rsid w:val="00DC1741"/>
    <w:rsid w:val="00E5412E"/>
    <w:rsid w:val="00E80D0D"/>
    <w:rsid w:val="00E86192"/>
    <w:rsid w:val="00E87A7B"/>
    <w:rsid w:val="00EA224D"/>
    <w:rsid w:val="00EC6F74"/>
    <w:rsid w:val="00EE43B2"/>
    <w:rsid w:val="00EE70E1"/>
    <w:rsid w:val="00F3059C"/>
    <w:rsid w:val="00F50DDE"/>
    <w:rsid w:val="00F533C3"/>
    <w:rsid w:val="00F56322"/>
    <w:rsid w:val="00F56D7E"/>
    <w:rsid w:val="00F65094"/>
    <w:rsid w:val="00F9294A"/>
    <w:rsid w:val="00F9484D"/>
    <w:rsid w:val="00FA0C61"/>
    <w:rsid w:val="00FA4673"/>
    <w:rsid w:val="00FB36AD"/>
    <w:rsid w:val="00FE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ED192"/>
  <w15:chartTrackingRefBased/>
  <w15:docId w15:val="{05CB2601-84E0-584B-B611-9E830122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4E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4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4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4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4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4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4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4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4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4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8014AF"/>
    <w:pPr>
      <w:spacing w:before="120"/>
    </w:pPr>
    <w:rPr>
      <w:rFonts w:ascii="Calibri" w:hAnsi="Calibri"/>
      <w:b/>
      <w:bCs/>
      <w:i/>
      <w:iCs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01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4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4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4EE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1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4EE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1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4EE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101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1014EE"/>
    <w:pPr>
      <w:spacing w:after="200"/>
    </w:pPr>
    <w:rPr>
      <w:rFonts w:ascii="Calibri" w:hAnsi="Calibri"/>
      <w:b/>
      <w:i/>
      <w:iCs/>
      <w:color w:val="0E2841" w:themeColor="text2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014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14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14EE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Davey, Claire</dc:creator>
  <cp:keywords/>
  <dc:description/>
  <cp:lastModifiedBy>Davey, Claire</cp:lastModifiedBy>
  <cp:revision>1</cp:revision>
  <dcterms:created xsi:type="dcterms:W3CDTF">2026-02-05T11:30:00Z</dcterms:created>
  <dcterms:modified xsi:type="dcterms:W3CDTF">2026-02-05T11:30:00Z</dcterms:modified>
</cp:coreProperties>
</file>