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0e8278f61085626944b1cc1f8b9c6175208910"/>
    <w:p>
      <w:pPr>
        <w:pStyle w:val="Heading1"/>
      </w:pPr>
      <w:r>
        <w:t xml:space="preserve">L-MNLFA of Pubertal Development: Progress Update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advisor review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puberty (L-MNLFA) component only. The fMRI materials currently in the same project folder belong to a separate study and will be relocated; they are not part of this update.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update summarizes the steps taken so far toward a longitudinal moderated nonlinear factor analysis (L-MNLFA) of pubertal development, extending Chen &amp; Bauer (2024,</w:t>
      </w:r>
      <w:r>
        <w:t xml:space="preserve"> </w:t>
      </w:r>
      <w:r>
        <w:rPr>
          <w:i/>
          <w:iCs/>
        </w:rPr>
        <w:t xml:space="preserve">Psychological Methods</w:t>
      </w:r>
      <w:r>
        <w:t xml:space="preserve">) in several specific ways. Below I separate what’s consistent with their proposed model from what genuinely deviates from it, then cover current status. I’d like your review of the model code (Stan + R driver scripts) alongside this summary.</w:t>
      </w:r>
    </w:p>
    <w:bookmarkEnd w:id="20"/>
    <w:bookmarkStart w:id="21" w:name="whats-consistent-with-chen-bauer-2024"/>
    <w:p>
      <w:pPr>
        <w:pStyle w:val="Heading2"/>
      </w:pPr>
      <w:r>
        <w:t xml:space="preserve">What’s consistent with Chen &amp; Bauer (2024)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Bayesian estimation via Stan.</w:t>
      </w:r>
      <w:r>
        <w:t xml:space="preserve"> </w:t>
      </w:r>
      <w:r>
        <w:t xml:space="preserve">Chen &amp; Bauer’s own model is fit with Bayesian methods in</w:t>
      </w:r>
      <w:r>
        <w:t xml:space="preserve"> </w:t>
      </w:r>
      <w:r>
        <w:rPr>
          <w:rStyle w:val="VerbatimChar"/>
        </w:rPr>
        <w:t xml:space="preserve">rstan</w:t>
      </w:r>
      <w:r>
        <w:t xml:space="preserve">, motivated by the same reason ours is: avoiding the exponential blow-up of maximum-likelihood numerical integration as the number of latent dimensions grows. Our use of</w:t>
      </w:r>
      <w:r>
        <w:t xml:space="preserve"> </w:t>
      </w:r>
      <w:r>
        <w:rPr>
          <w:rStyle w:val="VerbatimChar"/>
        </w:rPr>
        <w:t xml:space="preserve">cmdstanr</w:t>
      </w:r>
      <w:r>
        <w:t xml:space="preserve"> </w:t>
      </w:r>
      <w:r>
        <w:t xml:space="preserve">is the same approach, different R interface.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Continuous-time treatment.</w:t>
      </w:r>
      <w:r>
        <w:t xml:space="preserve"> </w:t>
      </w:r>
      <w:r>
        <w:t xml:space="preserve">Their whole motivation for moving beyond the second-order growth curve (SGC) model is treating time (age) continuously in both the measurement and growth components, rather than as discrete wave-specific snapshots. Our model does this too — age enters as each person’s own continuous, occasion-specific value, not a wave index.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Growth-factor impact on the mean structure.</w:t>
      </w:r>
      <w:r>
        <w:t xml:space="preserve"> </w:t>
      </w:r>
      <w:r>
        <w:t xml:space="preserve">Their structural model regresses growth-factor means on time-invariant covariates (Equations 2–4 in the paper); our impact structure (race/WHtR predicting the growth factors) follows the same logic, just applied to different growth parameters (see below).</w:t>
      </w:r>
    </w:p>
    <w:bookmarkEnd w:id="21"/>
    <w:bookmarkStart w:id="27" w:name="where-our-model-deviates-and-why"/>
    <w:p>
      <w:pPr>
        <w:pStyle w:val="Heading2"/>
      </w:pPr>
      <w:r>
        <w:t xml:space="preserve">Where our model deviates, and why</w:t>
      </w:r>
    </w:p>
    <w:bookmarkStart w:id="22" w:name="X1dfc71373c1db3778a3ac4020011901550c520b"/>
    <w:p>
      <w:pPr>
        <w:pStyle w:val="Heading3"/>
      </w:pPr>
      <w:r>
        <w:t xml:space="preserve">1. Growth curve form: sigmoidal, not polynomial</w:t>
      </w:r>
    </w:p>
    <w:p>
      <w:pPr>
        <w:pStyle w:val="FirstParagraph"/>
      </w:pPr>
      <w:r>
        <w:t xml:space="preserve">Chen &amp; Bauer’s own empirical model extends linear growth with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quadratic term (no random quadratic effect:</w:t>
      </w:r>
      <w:r>
        <w:t xml:space="preserve"> </w:t>
      </w:r>
      <w:r>
        <w:t xml:space="preserve">“random quadratic effects are often negligible”</w:t>
      </w:r>
      <w:r>
        <w:t xml:space="preserve">) — still an unbounded polynomial trajectory. We instead model puberty as a</w:t>
      </w:r>
      <w:r>
        <w:t xml:space="preserve"> </w:t>
      </w:r>
      <w:r>
        <w:rPr>
          <w:b/>
          <w:bCs/>
        </w:rPr>
        <w:t xml:space="preserve">logistic (sigmoidal) growth curve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fixed floor (1) and ceiling (5)</w:t>
      </w:r>
      <w:r>
        <w:t xml:space="preserve">, matching the natural bounds of the Pubertal Development Scale (PDS), since puberty is a bounded biological process rather than one that increases indefinitely. Each person has two correlated random effects instead of intercept/slope: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Log-rate</w:t>
      </w:r>
      <w:r>
        <w:t xml:space="preserve"> </w:t>
      </w:r>
      <w:r>
        <w:t xml:space="preserve">(tempo): how quickly they move through the transition once it starts.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Inflection age</w:t>
      </w:r>
      <w:r>
        <w:t xml:space="preserve"> </w:t>
      </w:r>
      <w:r>
        <w:t xml:space="preserve">(timing): the age at which they are halfway through — the curve’s true midpoint.</w:t>
      </w:r>
    </w:p>
    <w:bookmarkEnd w:id="22"/>
    <w:bookmarkStart w:id="23" w:name="ordinal-items-not-binary"/>
    <w:p>
      <w:pPr>
        <w:pStyle w:val="Heading3"/>
      </w:pPr>
      <w:r>
        <w:t xml:space="preserve">2. Ordinal items, not binary</w:t>
      </w:r>
    </w:p>
    <w:p>
      <w:pPr>
        <w:pStyle w:val="FirstParagraph"/>
      </w:pPr>
      <w:r>
        <w:t xml:space="preserve">Chen &amp; Bauer state they</w:t>
      </w:r>
      <w:r>
        <w:t xml:space="preserve"> </w:t>
      </w:r>
      <w:r>
        <w:t xml:space="preserve">“focus on the common case of binary item-level data (extensions to ordered-categorical items are straightforward),”</w:t>
      </w:r>
      <w:r>
        <w:t xml:space="preserve"> </w:t>
      </w:r>
      <w:r>
        <w:t xml:space="preserve">and their own worked example dichotomizes items. Our four PDS items are genuinely ordinal (1–4), modeled via an ordered-logistic response function: growth spurt, body hair, skin changes, and a sex-specific fourth item (breast growth for females, voice changes for males). Both parent and youth reports are modeled as separate informant-level rows, so informant-related measurement bias can be tested directly as DIF.</w:t>
      </w:r>
    </w:p>
    <w:bookmarkEnd w:id="23"/>
    <w:bookmarkStart w:id="24" w:name="X4cae0a0eb99b81b386af6b95415cc75ff5cc79f"/>
    <w:p>
      <w:pPr>
        <w:pStyle w:val="Heading3"/>
      </w:pPr>
      <w:r>
        <w:t xml:space="preserve">3. DIF selection: staged BH-FDR, not spike-and-slab regularization</w:t>
      </w:r>
    </w:p>
    <w:p>
      <w:pPr>
        <w:pStyle w:val="FirstParagraph"/>
      </w:pPr>
      <w:r>
        <w:t xml:space="preserve">This is the largest methodological departure. Chen &amp; Bauer’s central contribution is</w:t>
      </w:r>
      <w:r>
        <w:t xml:space="preserve"> </w:t>
      </w:r>
      <w:r>
        <w:rPr>
          <w:b/>
          <w:bCs/>
        </w:rPr>
        <w:t xml:space="preserve">Bayesian regularization via spike-and-slab priors (SSP)</w:t>
      </w:r>
      <w:r>
        <w:t xml:space="preserve">: all DIF effects are freely estimated under a shrinkage prior in a single model and selected via an inclusion-probability threshold (they use 0.7–0.8), with</w:t>
      </w:r>
      <w:r>
        <w:t xml:space="preserve"> </w:t>
      </w:r>
      <w:r>
        <w:rPr>
          <w:b/>
          <w:bCs/>
        </w:rPr>
        <w:t xml:space="preserve">no anchor items declared in advance</w:t>
      </w:r>
      <w:r>
        <w:t xml:space="preserve"> </w:t>
      </w:r>
      <w:r>
        <w:t xml:space="preserve">and no separate staging of impact versus DIF.</w:t>
      </w:r>
    </w:p>
    <w:p>
      <w:pPr>
        <w:pStyle w:val="BodyText"/>
      </w:pPr>
      <w:r>
        <w:t xml:space="preserve">We instead use a</w:t>
      </w:r>
      <w:r>
        <w:t xml:space="preserve"> </w:t>
      </w:r>
      <w:r>
        <w:rPr>
          <w:b/>
          <w:bCs/>
        </w:rPr>
        <w:t xml:space="preserve">three-stage design</w:t>
      </w:r>
      <w:r>
        <w:t xml:space="preserve">, adopted after a saturated joint model (impact and DIF estimated together) produced severe non-convergence (R̂ &gt; 1.3, very low ESS despite zero divergences) — a covariate’s effect on item responses is only weakly separable between</w:t>
      </w:r>
      <w:r>
        <w:t xml:space="preserve"> </w:t>
      </w:r>
      <w:r>
        <w:t xml:space="preserve">“real impact”</w:t>
      </w:r>
      <w:r>
        <w:t xml:space="preserve"> </w:t>
      </w:r>
      <w:r>
        <w:t xml:space="preserve">and</w:t>
      </w:r>
      <w:r>
        <w:t xml:space="preserve"> </w:t>
      </w:r>
      <w:r>
        <w:t xml:space="preserve">“DIF”</w:t>
      </w:r>
      <w:r>
        <w:t xml:space="preserve"> </w:t>
      </w:r>
      <w:r>
        <w:t xml:space="preserve">when both are free at once: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A (impact only):</w:t>
      </w:r>
      <w:r>
        <w:t xml:space="preserve"> </w:t>
      </w:r>
      <w:r>
        <w:t xml:space="preserve">race/ethnicity and waist-to-height ratio (WtHR) effects on the growth factors, no DIF terms at 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B (DIF screening):</w:t>
      </w:r>
      <w:r>
        <w:t xml:space="preserve"> </w:t>
      </w:r>
      <w:r>
        <w:t xml:space="preserve">impact fixed at Stage A’s posterior means; every item × covariate DIF term (loading and intercept) estimated freely, screened via</w:t>
      </w:r>
      <w:r>
        <w:t xml:space="preserve"> </w:t>
      </w:r>
      <w:r>
        <w:rPr>
          <w:b/>
          <w:bCs/>
        </w:rPr>
        <w:t xml:space="preserve">Benjamini-Hochberg FDR (q = .05) plus a minimum-magnitude floor (|effect| &gt; .05)</w:t>
      </w:r>
      <w:r>
        <w:t xml:space="preserve"> </w:t>
      </w:r>
      <w:r>
        <w:t xml:space="preserve">— not spike-and-slab shrinkage.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C (final):</w:t>
      </w:r>
      <w:r>
        <w:t xml:space="preserve"> </w:t>
      </w:r>
      <w:r>
        <w:t xml:space="preserve">impact free again, DIF restricted to the item × covariate cells retained by Stage B.</w:t>
      </w:r>
    </w:p>
    <w:p>
      <w:pPr>
        <w:pStyle w:val="FirstParagraph"/>
      </w:pPr>
      <w:r>
        <w:t xml:space="preserve">Worth discussing with you directly: whether the staged BH-FDR approach is an adequate substitute for their regularization method here, or whether it’s worth implementing spike-and-slab priors to more closely follow their proposed procedure.</w:t>
      </w:r>
    </w:p>
    <w:bookmarkEnd w:id="24"/>
    <w:bookmarkStart w:id="25" w:name="identification-no-anchor-item"/>
    <w:p>
      <w:pPr>
        <w:pStyle w:val="Heading3"/>
      </w:pPr>
      <w:r>
        <w:t xml:space="preserve">4. Identification: no anchor item</w:t>
      </w:r>
    </w:p>
    <w:p>
      <w:pPr>
        <w:pStyle w:val="FirstParagraph"/>
      </w:pPr>
      <w:r>
        <w:t xml:space="preserve">Chen &amp; Bauer’s model still requires at least one anchor item (loading and intercept held invariant) to link the latent scale over time —</w:t>
      </w:r>
      <w:r>
        <w:t xml:space="preserve"> </w:t>
      </w:r>
      <w:r>
        <w:t xml:space="preserve">“only if one is confident in the selection of anchor items… should the estimated means, variances, and covariances of the latent trait be inspected.”</w:t>
      </w:r>
      <w:r>
        <w:t xml:space="preserve"> </w:t>
      </w:r>
      <w:r>
        <w:t xml:space="preserve">Because our sigmoid’s floor and ceiling are fixed numeric constants, they anchor the latent scale on their own; no marker item is needed, and all item loadings are freely estimated. This is a deliberate departure specific to the bounded-growth-curve design, not an oversight.</w:t>
      </w:r>
    </w:p>
    <w:bookmarkEnd w:id="25"/>
    <w:bookmarkStart w:id="26" w:name="X3266307a2f665af2261b2f6baaa811392384377"/>
    <w:p>
      <w:pPr>
        <w:pStyle w:val="Heading3"/>
      </w:pPr>
      <w:r>
        <w:t xml:space="preserve">5. DIF covariate specification: main effects only, no interactions or quadratic terms</w:t>
      </w:r>
    </w:p>
    <w:p>
      <w:pPr>
        <w:pStyle w:val="FirstParagraph"/>
      </w:pPr>
      <w:r>
        <w:t xml:space="preserve">Chen &amp; Bauer’s worked example tests DIF from age, age², sex, and their interactions (Age × Sex, Age² × Sex). Our current DIF specification tests only main effects — age, race, WHtR, and informant — with no interaction or quadratic terms. An age × informant interaction (does reporter divergence itself change across adolescence?) is a natural next extension that would bring us closer to the richness of their design, and is something I’ve been considering.</w:t>
      </w:r>
    </w:p>
    <w:bookmarkEnd w:id="26"/>
    <w:bookmarkEnd w:id="27"/>
    <w:bookmarkStart w:id="28" w:name="covariate-roles-our-design"/>
    <w:p>
      <w:pPr>
        <w:pStyle w:val="Heading2"/>
      </w:pPr>
      <w:r>
        <w:t xml:space="preserve">Covariate roles (our design)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Growth-factor impact covariates:</w:t>
      </w:r>
      <w:r>
        <w:t xml:space="preserve"> </w:t>
      </w:r>
      <w:r>
        <w:t xml:space="preserve">race/ethnicity (effect-coded, 4 groups) and baseline WtHR.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 covariates:</w:t>
      </w:r>
      <w:r>
        <w:t xml:space="preserve"> </w:t>
      </w:r>
      <w:r>
        <w:t xml:space="preserve">age, race, WtHR (occasion-specific value), and informant (parent vs. youth).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 is not an impact covariate.</w:t>
      </w:r>
      <w:r>
        <w:t xml:space="preserve"> </w:t>
      </w:r>
      <w:r>
        <w:t xml:space="preserve">Age is already the growth curve’s own axis, so its role in the trajectory is captured directly by the curve itself; age is tested only as a DIF covariate.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WtHR plays a dual role:</w:t>
      </w:r>
      <w:r>
        <w:t xml:space="preserve"> </w:t>
      </w:r>
      <w:r>
        <w:t xml:space="preserve">baseline WtHR predicts the growth factors (a between-person question about adiposity and trajectory), while occasion-specific WtHR is tested separately as a DIF covariate (a within-occasion question).</w:t>
      </w:r>
    </w:p>
    <w:bookmarkEnd w:id="28"/>
    <w:bookmarkStart w:id="29" w:name="current-status"/>
    <w:p>
      <w:pPr>
        <w:pStyle w:val="Heading2"/>
      </w:pPr>
      <w:r>
        <w:t xml:space="preserve">Current status</w:t>
      </w:r>
    </w:p>
    <w:p>
      <w:pPr>
        <w:pStyle w:val="Compact"/>
        <w:numPr>
          <w:ilvl w:val="0"/>
          <w:numId w:val="1005"/>
        </w:numPr>
      </w:pPr>
      <w:r>
        <w:t xml:space="preserve">Both sexes (female and male) have completed all three stages with clean convergence: 0 divergent transitions, 0 max-treedepth hits, and R̂ ≤ 1.03 across all growth and measurement parameters.</w:t>
      </w:r>
    </w:p>
    <w:p>
      <w:pPr>
        <w:pStyle w:val="Compact"/>
        <w:numPr>
          <w:ilvl w:val="0"/>
          <w:numId w:val="1005"/>
        </w:numPr>
      </w:pPr>
      <w:r>
        <w:t xml:space="preserve">Retained DIF is substantial and informative: age and informant DIF are retained on nearly every item for both sexes, meaning</w:t>
      </w:r>
      <w:r>
        <w:t xml:space="preserve"> </w:t>
      </w:r>
      <w:r>
        <w:rPr>
          <w:b/>
          <w:bCs/>
        </w:rPr>
        <w:t xml:space="preserve">unadjusted PDS sums would not be directly comparable across ages or reporters</w:t>
      </w:r>
      <w:r>
        <w:t xml:space="preserve"> </w:t>
      </w:r>
      <w:r>
        <w:t xml:space="preserve">in this sample — a central motivation for the whole approach, and consistent with Chen &amp; Bauer’s own delinquency example, where the mean-score model produced a nearly invisible quadratic age trend compared to their MNLFA-based result.</w:t>
      </w:r>
    </w:p>
    <w:p>
      <w:pPr>
        <w:pStyle w:val="Compact"/>
        <w:numPr>
          <w:ilvl w:val="0"/>
          <w:numId w:val="1005"/>
        </w:numPr>
      </w:pPr>
      <w:r>
        <w:t xml:space="preserve">Population-average inflection age (the modeled</w:t>
      </w:r>
      <w:r>
        <w:t xml:space="preserve"> </w:t>
      </w:r>
      <w:r>
        <w:t xml:space="preserve">“midpoint”</w:t>
      </w:r>
      <w:r>
        <w:t xml:space="preserve"> </w:t>
      </w:r>
      <w:r>
        <w:t xml:space="preserve">of puberty) is nearly identical across sexes (~13.3 years for females, ~13.4 for males), while the rate parameter differs more — males are modeled as moving through the transition somewhat faster on average.</w:t>
      </w:r>
    </w:p>
    <w:p>
      <w:pPr>
        <w:pStyle w:val="Compact"/>
        <w:numPr>
          <w:ilvl w:val="0"/>
          <w:numId w:val="1005"/>
        </w:numPr>
      </w:pPr>
      <w:r>
        <w:t xml:space="preserve">Diagnostic figures (growth trajectories by covariate, DIF item-characteristic curves, a combined DIF-retention heatmap) and a rendered HTML summary report have been built to make results easy to review without re-running anything.</w:t>
      </w:r>
    </w:p>
    <w:bookmarkEnd w:id="29"/>
    <w:bookmarkStart w:id="30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I’d like to walk through the Stan model code and staging logic with you (impact / DIF-screening / final scripts), particularly the identification strategy for the sigmoidal form and whether the staged BH-FDR selection rule should be replaced with (or validated against) Chen &amp; Bauer’s spike-and-slab regularization approach, before moving to full-sample estimation.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2026-09-16T21:55:36Z</dcterms:created>
  <dcterms:modified xsi:type="dcterms:W3CDTF">2026-09-16T21:55:36Z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