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 w:rsidR="00C10001">
      <w:pPr>
        <w:tabs>
          <w:tab w:val="left" w:pos="2880"/>
        </w:tabs>
      </w:pPr>
      <w:r>
        <w:rPr>
          <w:b/>
        </w:rPr>
        <w:t>Name of Patient</w:t>
      </w:r>
      <w:r>
        <w:tab/>
      </w:r>
      <w:r>
        <w:t>[child's full name]</w:t>
      </w:r>
    </w:p>
    <w:p w:rsidR="00C10002">
      <w:pPr>
        <w:tabs>
          <w:tab w:val="left" w:pos="2880"/>
        </w:tabs>
      </w:pPr>
      <w:r>
        <w:rPr>
          <w:b/>
        </w:rPr>
        <w:t>Date of Birth</w:t>
      </w:r>
      <w:r>
        <w:tab/>
      </w:r>
      <w:r>
        <w:t>[date of birth]</w:t>
      </w:r>
    </w:p>
    <w:p w:rsidR="00C10003">
      <w:pPr>
        <w:tabs>
          <w:tab w:val="left" w:pos="1440"/>
          <w:tab w:val="left" w:pos="2880"/>
        </w:tabs>
      </w:pPr>
      <w:r>
        <w:rPr>
          <w:b/>
        </w:rPr>
        <w:t>Age</w:t>
      </w:r>
      <w:r>
        <w:tab/>
      </w:r>
      <w:r>
        <w:tab/>
      </w:r>
      <w:r>
        <w:t>[number years, number months]</w:t>
      </w:r>
    </w:p>
    <w:p w:rsidR="00C10004"/>
    <w:p w:rsidR="00C10005">
      <w:r>
        <w:rPr>
          <w:b/>
        </w:rPr>
        <w:t>Reason for Referral</w:t>
      </w:r>
    </w:p>
    <w:p w:rsidR="00C10006">
      <w:pPr>
        <w:outlineLvl w:val="0"/>
      </w:pPr>
      <w:r>
        <w:rPr>
          <w:i/>
        </w:rPr>
        <w:t>[a one sentence statement of the referral question]</w:t>
      </w:r>
    </w:p>
    <w:p w:rsidR="00C10007"/>
    <w:p w:rsidR="00C10008">
      <w:r>
        <w:rPr>
          <w:b/>
        </w:rPr>
        <w:t>Background Information</w:t>
      </w:r>
    </w:p>
    <w:p w:rsidR="00C10009">
      <w:pPr>
        <w:outlineLvl w:val="0"/>
      </w:pPr>
      <w:r>
        <w:rPr>
          <w:rFonts w:ascii="Garamond" w:hAnsi="Garamond"/>
        </w:rPr>
        <w:t>Summarize the family, educational, and medical background reported by the guardian.</w:t>
      </w:r>
    </w:p>
    <w:p w:rsidR="00C1000A">
      <w:r>
        <w:rPr>
          <w:b/>
        </w:rPr>
        <w:t>Assessment Procedures</w:t>
      </w:r>
    </w:p>
    <w:p w:rsidR="00C1000B">
      <w:r>
        <w:rPr>
          <w:u w:val="single"/>
        </w:rPr>
        <w:t>Conners Continuous Performance Test third edition (Conners CPT3)</w:t>
      </w:r>
    </w:p>
    <w:p w:rsidR="00C1000C">
      <w:r>
        <w:rPr>
          <w:u w:val="single"/>
        </w:rPr>
        <w:t>Vineland Adaptive Behavior Scales Third Edition (Vineland-3)</w:t>
      </w:r>
    </w:p>
    <w:p w:rsidR="00C1000D">
      <w:r>
        <w:rPr>
          <w:b/>
        </w:rPr>
        <w:t>Results</w:t>
      </w:r>
    </w:p>
    <w:p w:rsidR="00C1000E">
      <w:pPr>
        <w:outlineLvl w:val="1"/>
      </w:pPr>
      <w:r>
        <w:rPr>
          <w:i/>
        </w:rPr>
        <w:t>[delete the subsections of the tests that were not administered]</w:t>
      </w:r>
    </w:p>
    <w:tbl>
      <w:tblPr>
        <w:tblStyle w:val="TableGrid"/>
        <w:tblW w:w="0" w:type="auto"/>
      </w:tblPr>
      <w:tblGrid>
        <w:gridCol w:w="4675"/>
        <w:gridCol w:w="4675"/>
      </w:tblGrid>
      <w:tr>
        <w:tc>
          <w:tcPr>
            <w:shd w:val="clear" w:fill="D9D9D9"/>
          </w:tcPr>
          <w:p>
            <w:r>
              <w:rPr>
                <w:b/>
              </w:rPr>
              <w:t>Conners CPT3 Scale</w:t>
            </w:r>
          </w:p>
        </w:tc>
        <w:tc>
          <w:tcPr>
            <w:shd w:val="clear" w:fill="D9D9D9"/>
          </w:tcPr>
          <w:p>
            <w:r>
              <w:rPr>
                <w:b/>
              </w:rPr>
              <w:t>T-Score</w:t>
            </w:r>
          </w:p>
        </w:tc>
      </w:tr>
      <w:tr>
        <w:tc>
          <w:p>
            <w:r>
              <w:rPr>
                <w:rFonts w:ascii="Garamond" w:hAnsi="Garamond"/>
              </w:rPr>
              <w:t>Detectability</w:t>
            </w:r>
          </w:p>
        </w:tc>
        <w:tc>
          <w:p>
            <w:r>
              <w:t>--</w:t>
            </w:r>
          </w:p>
        </w:tc>
      </w:tr>
    </w:tbl>
    <w:p w:rsidR="00C1000F"/>
    <w:tbl>
      <w:tblPr>
        <w:tblStyle w:val="TableGrid"/>
        <w:tblW w:w="0" w:type="auto"/>
      </w:tblPr>
      <w:tblGrid>
        <w:gridCol w:w="4675"/>
        <w:gridCol w:w="4675"/>
      </w:tblGrid>
      <w:tr>
        <w:tc>
          <w:tcPr>
            <w:gridSpan w:val="2"/>
          </w:tcPr>
          <w:p>
            <w:r>
              <w:rPr>
                <w:b/>
              </w:rPr>
              <w:t>BASC-3 Parent Rating Scales</w:t>
            </w:r>
          </w:p>
        </w:tc>
      </w:tr>
      <w:tr>
        <w:tc>
          <w:p>
            <w:r>
              <w:t>Externalizing Problems</w:t>
            </w:r>
          </w:p>
        </w:tc>
        <w:tc>
          <w:p>
            <w:r>
              <w:t>--</w:t>
            </w:r>
          </w:p>
        </w:tc>
      </w:tr>
    </w:tbl>
    <w:p w:rsidR="00C10010"/>
    <w:tbl>
      <w:tblPr>
        <w:tblStyle w:val="TableGrid"/>
        <w:tblW w:w="0" w:type="auto"/>
      </w:tblPr>
      <w:tblGrid>
        <w:gridCol w:w="4675"/>
        <w:gridCol w:w="4675"/>
      </w:tblGrid>
      <w:tr>
        <w:tc>
          <w:tcPr>
            <w:vMerge w:val="restart"/>
          </w:tcPr>
          <w:p>
            <w:r>
              <w:rPr>
                <w:b/>
              </w:rPr>
              <w:t>BRIEF2 Composite Summary</w:t>
            </w:r>
          </w:p>
        </w:tc>
        <w:tc>
          <w:p>
            <w:r>
              <w:t>Behavior Regulation Index</w:t>
            </w:r>
          </w:p>
        </w:tc>
      </w:tr>
      <w:tr>
        <w:tc>
          <w:tcPr>
            <w:vMerge w:val="continue"/>
          </w:tcPr>
          <w:p/>
        </w:tc>
        <w:tc>
          <w:p>
            <w:r>
              <w:t>Emotion Regulation Index</w:t>
            </w:r>
          </w:p>
        </w:tc>
      </w:tr>
    </w:tbl>
    <w:p w:rsidR="00C10011">
      <w:r>
        <w:rPr>
          <w:b/>
        </w:rPr>
        <w:t>Summary and Clinical Interpretation</w:t>
      </w:r>
    </w:p>
    <w:p w:rsidR="00C10012">
      <w:pPr>
        <w:outlineLvl w:val="0"/>
      </w:pPr>
      <w:r>
        <w:rPr>
          <w:rFonts w:ascii="Garamond" w:hAnsi="Garamond"/>
        </w:rPr>
        <w:t>Integrate the findings above into a clinical formulation of the referral question.</w:t>
      </w:r>
    </w:p>
    <w:p w:rsidR="00C10013"/>
    <w:p w:rsidR="00C10014">
      <w:r>
        <w:rPr>
          <w:b/>
        </w:rPr>
        <w:t>Recommendations</w:t>
      </w:r>
    </w:p>
    <w:p w:rsidR="00C10015">
      <w:r>
        <w:rPr>
          <w:rFonts w:ascii="Garamond" w:hAnsi="Garamond"/>
        </w:rPr>
        <w:t>List the recommendations that follow from the results reported above.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300"/>
    </w:pPr>
    <w:rPr>
      <w:rFonts w:ascii="Garamond" w:hAnsi="Garamond"/>
      <w:b/>
      <w:sz w:val="44"/>
    </w:rPr>
  </w:style>
  <w:style w:type="paragraph" w:styleId="SectionHeading">
    <w:name w:val="Section Heading"/>
    <w:basedOn w:val="Normal"/>
    <w:pPr>
      <w:outlineLvl w:val="0"/>
      <w:spacing w:before="240" w:after="120"/>
    </w:pPr>
    <w:rPr>
      <w:rFonts w:ascii="Garamond" w:hAnsi="Garamond"/>
      <w:b/>
      <w:u w:val="single"/>
      <w:sz w:val="2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