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PerinatalKG: An OWL 2 Knowledge Graph for Perinatal Health Data Integration — A Proof of Concept with Goiás State, Brazil</w:t>
      </w:r>
    </w:p>
    <w:p>
      <w:pPr>
        <w:jc w:val="center"/>
      </w:pPr>
      <w:r>
        <w:rPr>
          <w:rFonts w:ascii="Times New Roman" w:hAnsi="Times New Roman"/>
        </w:rPr>
        <w:t>Clarimar José Coelho¹, Guilherme Coelho²</w:t>
      </w:r>
    </w:p>
    <w:p>
      <w:pPr>
        <w:jc w:val="center"/>
      </w:pPr>
      <w:r>
        <w:rPr>
          <w:rFonts w:ascii="Times New Roman" w:hAnsi="Times New Roman"/>
          <w:i/>
          <w:sz w:val="20"/>
        </w:rPr>
        <w:t>¹ Pontifícia Universidade Católica de Goiás (PUC Goiás), Goiânia, GO, Brazil</w:t>
      </w:r>
    </w:p>
    <w:p>
      <w:pPr>
        <w:jc w:val="center"/>
      </w:pPr>
      <w:r>
        <w:rPr>
          <w:rFonts w:ascii="Times New Roman" w:hAnsi="Times New Roman"/>
          <w:i/>
          <w:sz w:val="20"/>
        </w:rPr>
        <w:t>² Universidade Estadual de Campinas (UNICAMP/FCM), Campinas, SP, Brazil</w:t>
      </w:r>
    </w:p>
    <w:p>
      <w:pPr>
        <w:jc w:val="center"/>
      </w:pPr>
      <w:r>
        <w:rPr>
          <w:rFonts w:ascii="Times New Roman" w:hAnsi="Times New Roman"/>
        </w:rPr>
        <w:t>Correspondence: clarimarc@gmail.com</w:t>
      </w:r>
    </w:p>
    <w:p>
      <w:r>
        <w:t>────────────────────────────────────────────────────────────────────────────────</w:t>
      </w:r>
    </w:p>
    <w:p>
      <w:pPr>
        <w:pStyle w:val="Heading1"/>
      </w:pPr>
      <w:r>
        <w:rPr>
          <w:rFonts w:ascii="Times New Roman" w:hAnsi="Times New Roman"/>
        </w:rPr>
        <w:t>Abstract</w:t>
      </w:r>
    </w:p>
    <w:p>
      <w:pPr>
        <w:ind w:firstLine="720"/>
        <w:jc w:val="both"/>
      </w:pPr>
      <w:r>
        <w:rPr>
          <w:rFonts w:ascii="Times New Roman" w:hAnsi="Times New Roman"/>
          <w:sz w:val="24"/>
        </w:rPr>
        <w:t>Background: Brazil records approximately 2.7 million live births annually through SINASC. Here we present PerinatalKG as a proof-of-concept implementation using data from Goiás state (2015–2024), comprising 934,806 birth records across 246 municipalities, to demonstrate the feasibility of RDF/OWL-based integration of perinatal, climatic, and socioeconomic data.</w:t>
      </w:r>
    </w:p>
    <w:p>
      <w:pPr>
        <w:ind w:firstLine="720"/>
        <w:jc w:val="both"/>
      </w:pPr>
      <w:r>
        <w:rPr>
          <w:rFonts w:ascii="Times New Roman" w:hAnsi="Times New Roman"/>
          <w:sz w:val="24"/>
        </w:rPr>
        <w:t>Objective: To develop PerinatalKG, a formal OWL 2 knowledge graph integrating Brazilian perinatal (SINASC), climatic (BR-DWGD), mortality (SIM), and socioeconomic (IBGE) data, and to demonstrate its capabilities through a proof-of-concept deployment in Goiás state.</w:t>
      </w:r>
    </w:p>
    <w:p>
      <w:pPr>
        <w:ind w:firstLine="720"/>
        <w:jc w:val="both"/>
      </w:pPr>
      <w:r>
        <w:rPr>
          <w:rFonts w:ascii="Times New Roman" w:hAnsi="Times New Roman"/>
          <w:sz w:val="24"/>
        </w:rPr>
        <w:t>Methods: We designed a domain ontology comprising 35 OWL 2 classes aligned with BFO and mapped to SNOMED-CT, ICD-10, and LOINC. A probabilistic linkage algorithm (Fellegi-Sunter) was evaluated in Goiás (2020). All 934,806 live births registered in Goiás (2015–2024) were converted to 13,334,553 RDF triples and loaded into Apache Jena Fuseki.</w:t>
      </w:r>
    </w:p>
    <w:p>
      <w:pPr>
        <w:ind w:firstLine="720"/>
        <w:jc w:val="both"/>
      </w:pPr>
      <w:r>
        <w:rPr>
          <w:rFonts w:ascii="Times New Roman" w:hAnsi="Times New Roman"/>
          <w:sz w:val="24"/>
        </w:rPr>
        <w:t>Results: The ontology achieved full consistency under OWL RL reasoning (owl:Nothing = 0). SINASC–SIM linkage achieved 85.2% recall (568/667 deaths). SPARQL queries over 13.3 million triples returned results in 0.11–7.58 seconds. Pipeline throughput of 4,443 births per second projects national conversion (~27M records) in approximately 100 minutes.</w:t>
      </w:r>
    </w:p>
    <w:p>
      <w:pPr>
        <w:ind w:firstLine="720"/>
        <w:jc w:val="both"/>
      </w:pPr>
      <w:r>
        <w:rPr>
          <w:rFonts w:ascii="Times New Roman" w:hAnsi="Times New Roman"/>
          <w:sz w:val="24"/>
        </w:rPr>
        <w:t>Conclusions: PerinatalKG demonstrates feasibility of formal OWL 2 knowledge graph integration for Brazilian perinatal data. The ontology, ETL pipeline, and SPARQL examples are available at https://github.com/clarimar/perinatalkg (Apache 2.0), enabling extension to all 27 Brazilian states.</w:t>
      </w:r>
    </w:p>
    <w:p>
      <w:r>
        <w:rPr>
          <w:rFonts w:ascii="Times New Roman" w:hAnsi="Times New Roman"/>
          <w:b/>
          <w:sz w:val="24"/>
        </w:rPr>
        <w:t xml:space="preserve">Keywords: </w:t>
      </w:r>
      <w:r>
        <w:rPr>
          <w:rFonts w:ascii="Times New Roman" w:hAnsi="Times New Roman"/>
          <w:sz w:val="24"/>
        </w:rPr>
        <w:t>knowledge graph; OWL 2 ontology; perinatal health; SINASC; SPARQL; semantic web; Brazil; proof of concept; Goiás</w:t>
      </w:r>
    </w:p>
    <w:p>
      <w:r>
        <w:t>────────────────────────────────────────────────────────────────────────────────</w:t>
      </w:r>
    </w:p>
    <w:p>
      <w:pPr>
        <w:pStyle w:val="Heading1"/>
      </w:pPr>
      <w:r>
        <w:rPr>
          <w:rFonts w:ascii="Times New Roman" w:hAnsi="Times New Roman"/>
        </w:rPr>
        <w:t>1. Introduction</w:t>
      </w:r>
    </w:p>
    <w:p>
      <w:pPr>
        <w:ind w:firstLine="720"/>
        <w:jc w:val="both"/>
      </w:pPr>
      <w:r>
        <w:rPr>
          <w:rFonts w:ascii="Times New Roman" w:hAnsi="Times New Roman"/>
          <w:sz w:val="24"/>
        </w:rPr>
        <w:t>Brazil registers the largest volume of live births in South America, with approximately 2.7 million births recorded annually in SINASC [1]. This national registry captures detailed clinical, demographic, and geographic variables for each birth [2,3]. Simultaneously, mounting evidence links climate variability with adverse perinatal outcomes including preterm birth and low birth weight [4,5,6].</w:t>
      </w:r>
    </w:p>
    <w:p>
      <w:pPr>
        <w:ind w:firstLine="720"/>
        <w:jc w:val="both"/>
      </w:pPr>
      <w:r>
        <w:rPr>
          <w:rFonts w:ascii="Times New Roman" w:hAnsi="Times New Roman"/>
          <w:sz w:val="24"/>
        </w:rPr>
        <w:t>Despite the richness of these data sources, their integration for epidemiological research remains technically demanding. SINASC, SIM, gridded climate data (BR-DWGD) [7], and IBGE indicators exist as heterogeneous tabular datasets with incompatible schemas and no shared semantic layer.</w:t>
      </w:r>
    </w:p>
    <w:p>
      <w:pPr>
        <w:ind w:firstLine="720"/>
        <w:jc w:val="both"/>
      </w:pPr>
      <w:r>
        <w:rPr>
          <w:rFonts w:ascii="Times New Roman" w:hAnsi="Times New Roman"/>
          <w:sz w:val="24"/>
        </w:rPr>
        <w:t>Knowledge graphs (KGs) based on RDF and OWL offer a principled solution to this integration challenge [8,9]. The OBO Foundry has demonstrated this approach across genomics, phenomics, and clinical informatics [10]. To our knowledge, no formal OWL 2 knowledge graph has been developed for Brazilian perinatal data.</w:t>
      </w:r>
    </w:p>
    <w:p>
      <w:pPr>
        <w:ind w:firstLine="720"/>
        <w:jc w:val="both"/>
      </w:pPr>
      <w:r>
        <w:rPr>
          <w:rFonts w:ascii="Times New Roman" w:hAnsi="Times New Roman"/>
          <w:sz w:val="24"/>
        </w:rPr>
        <w:t>We present PerinatalKG as a proof-of-concept implementation using all 934,806 live births registered in Goiás state from 2015 to 2024. The system includes: (1) a validated domain ontology with 35 classes; (2) a probabilistic record linkage pipeline validated in Goiás (2020); (3) an ETL pipeline at 4,443 births per second; and (4) a SPARQL endpoint over 13,334,553 triples. The pipeline architecture is designed to scale to the full national SINASC archive.</w:t>
      </w:r>
    </w:p>
    <w:p>
      <w:pPr>
        <w:pStyle w:val="Heading1"/>
      </w:pPr>
      <w:r>
        <w:rPr>
          <w:rFonts w:ascii="Times New Roman" w:hAnsi="Times New Roman"/>
        </w:rPr>
        <w:t>2. Related Work</w:t>
      </w:r>
    </w:p>
    <w:p>
      <w:pPr>
        <w:pStyle w:val="Heading2"/>
      </w:pPr>
      <w:r>
        <w:rPr>
          <w:rFonts w:ascii="Times New Roman" w:hAnsi="Times New Roman"/>
        </w:rPr>
        <w:t>2.1 SINASC Data Quality</w:t>
      </w:r>
    </w:p>
    <w:p>
      <w:pPr>
        <w:ind w:firstLine="720"/>
        <w:jc w:val="both"/>
      </w:pPr>
      <w:r>
        <w:rPr>
          <w:rFonts w:ascii="Times New Roman" w:hAnsi="Times New Roman"/>
          <w:sz w:val="24"/>
        </w:rPr>
        <w:t>SINASC has been extensively evaluated for coverage and data quality. Romero and Cunha [2] found high completeness for most variables, with the exception of gestational age (kappa = 0.461). Lima et al. [11] documented substantial improvements in SINASC adequacy between 2000 and 2010.</w:t>
      </w:r>
    </w:p>
    <w:p>
      <w:pPr>
        <w:pStyle w:val="Heading2"/>
      </w:pPr>
      <w:r>
        <w:rPr>
          <w:rFonts w:ascii="Times New Roman" w:hAnsi="Times New Roman"/>
        </w:rPr>
        <w:t>2.2 Climate–Perinatal Associations</w:t>
      </w:r>
    </w:p>
    <w:p>
      <w:pPr>
        <w:ind w:firstLine="720"/>
        <w:jc w:val="both"/>
      </w:pPr>
      <w:r>
        <w:rPr>
          <w:rFonts w:ascii="Times New Roman" w:hAnsi="Times New Roman"/>
          <w:sz w:val="24"/>
        </w:rPr>
        <w:t>Chersich et al. [4] conducted a meta-analysis of 70 studies finding consistent associations between high temperatures and preterm birth. Lakhoo et al. [5] expanded this to 198 studies. Syed et al. [6] identified important evidence gaps from the Global South, including Brazil.</w:t>
      </w:r>
    </w:p>
    <w:p>
      <w:pPr>
        <w:pStyle w:val="Heading2"/>
      </w:pPr>
      <w:r>
        <w:rPr>
          <w:rFonts w:ascii="Times New Roman" w:hAnsi="Times New Roman"/>
        </w:rPr>
        <w:t>2.3 Biomedical Knowledge Graphs</w:t>
      </w:r>
    </w:p>
    <w:p>
      <w:pPr>
        <w:ind w:firstLine="720"/>
        <w:jc w:val="both"/>
      </w:pPr>
      <w:r>
        <w:rPr>
          <w:rFonts w:ascii="Times New Roman" w:hAnsi="Times New Roman"/>
          <w:sz w:val="24"/>
        </w:rPr>
        <w:t>Knowledge graphs have emerged as critical infrastructure for biomedical data integration [8,9]. The OBO Foundry principles — aligned with BFO — have proven successful across Gene Ontology, FMA, and OBI [10]. Arp, Smith, and Spear [12] formalised best practices for BFO-conformant ontology development. Applications to national perinatal surveillance systems remain absent from the literature.</w:t>
      </w:r>
    </w:p>
    <w:p>
      <w:pPr>
        <w:pStyle w:val="Heading2"/>
      </w:pPr>
      <w:r>
        <w:rPr>
          <w:rFonts w:ascii="Times New Roman" w:hAnsi="Times New Roman"/>
        </w:rPr>
        <w:t>2.4 Brazilian Climate Data</w:t>
      </w:r>
    </w:p>
    <w:p>
      <w:pPr>
        <w:ind w:firstLine="720"/>
        <w:jc w:val="both"/>
      </w:pPr>
      <w:r>
        <w:rPr>
          <w:rFonts w:ascii="Times New Roman" w:hAnsi="Times New Roman"/>
          <w:sz w:val="24"/>
        </w:rPr>
        <w:t>Xavier et al. [7] developed BR-DWGD, providing daily meteorological variables at 0.1° × 0.1° resolution from 1961 to the present, supporting linkage to municipal-level health records via centroid-to-grid-cell spatial joins.</w:t>
      </w:r>
    </w:p>
    <w:p>
      <w:pPr>
        <w:pStyle w:val="Heading1"/>
      </w:pPr>
      <w:r>
        <w:rPr>
          <w:rFonts w:ascii="Times New Roman" w:hAnsi="Times New Roman"/>
        </w:rPr>
        <w:t>3. Methods</w:t>
      </w:r>
    </w:p>
    <w:p>
      <w:pPr>
        <w:pStyle w:val="Heading2"/>
      </w:pPr>
      <w:r>
        <w:rPr>
          <w:rFonts w:ascii="Times New Roman" w:hAnsi="Times New Roman"/>
        </w:rPr>
        <w:t>3.1 Data Sources</w:t>
      </w:r>
    </w:p>
    <w:p>
      <w:pPr>
        <w:ind w:firstLine="720"/>
        <w:jc w:val="both"/>
      </w:pPr>
      <w:r>
        <w:rPr>
          <w:rFonts w:ascii="Times New Roman" w:hAnsi="Times New Roman"/>
          <w:sz w:val="24"/>
        </w:rPr>
        <w:t>Four data sources were integrated in the proof-of-concept deployment (Table 2). SINASC provides individual-level birth records for Goiás state (2015–2024, n = 934,806) [1]. For linkage validation, SIM neonatal death records for Goiás 2020 were used (n = 667) [13]. BR-DWGD provides daily gridded climate data at 0.1° × 0.1° resolution [7]. IBGE provides population estimates and HDI for all 246 Goiás municipalities.</w:t>
      </w:r>
    </w:p>
    <w:p>
      <w:pPr>
        <w:pStyle w:val="Heading2"/>
      </w:pPr>
      <w:r>
        <w:rPr>
          <w:rFonts w:ascii="Times New Roman" w:hAnsi="Times New Roman"/>
        </w:rPr>
        <w:t>3.2 Ontology Design</w:t>
      </w:r>
    </w:p>
    <w:p>
      <w:pPr>
        <w:ind w:firstLine="720"/>
        <w:jc w:val="both"/>
      </w:pPr>
      <w:r>
        <w:rPr>
          <w:rFonts w:ascii="Times New Roman" w:hAnsi="Times New Roman"/>
          <w:sz w:val="24"/>
        </w:rPr>
        <w:t>The PerinatalKG ontology (v0.3.0) was developed following OBO Foundry principles [10]: open licence (Apache 2.0), formal definitions (IAO:0000115), OWL 2 DL expressivity, BFO alignment, and reuse of SNOMED-CT, ICD-10, and LOINC terms. The ontology comprises 35 classes including PretermBirth, TermBirth, LowBirthWeight, and the defined class HighRiskBirth ≡ PretermBirth ⊓ LowBirthWeight. All classes carry bilingual labels (Portuguese/English) and mappings to SNOMED-CT (16 exactMatch), ICD-10 (13 closeMatch), and LOINC (7 exactMatch).</w:t>
      </w:r>
    </w:p>
    <w:p>
      <w:pPr>
        <w:pStyle w:val="Heading2"/>
      </w:pPr>
      <w:r>
        <w:rPr>
          <w:rFonts w:ascii="Times New Roman" w:hAnsi="Times New Roman"/>
        </w:rPr>
        <w:t>3.3 ETL Pipeline</w:t>
      </w:r>
    </w:p>
    <w:p>
      <w:pPr>
        <w:ind w:firstLine="720"/>
        <w:jc w:val="both"/>
      </w:pPr>
      <w:r>
        <w:rPr>
          <w:rFonts w:ascii="Times New Roman" w:hAnsi="Times New Roman"/>
          <w:sz w:val="24"/>
        </w:rPr>
        <w:t>The ETL pipeline converts SINASC DBC files (via DATASUS) to Parquet (Polars), links to BR-DWGD climate data by nearest-centroid spatial assignment (T1: weeks 1–12; T2: weeks 13–26; T3: weeks 27–birth), converts to RDF (~14 triples/birth), and loads into Fuseki TDB2 via HTTP POST.</w:t>
      </w:r>
    </w:p>
    <w:p>
      <w:pPr>
        <w:pStyle w:val="Heading2"/>
      </w:pPr>
      <w:r>
        <w:rPr>
          <w:rFonts w:ascii="Times New Roman" w:hAnsi="Times New Roman"/>
        </w:rPr>
        <w:t>3.4 SINASC–SIM Probabilistic Linkage</w:t>
      </w:r>
    </w:p>
    <w:p>
      <w:pPr>
        <w:ind w:firstLine="720"/>
        <w:jc w:val="both"/>
      </w:pPr>
      <w:r>
        <w:rPr>
          <w:rFonts w:ascii="Times New Roman" w:hAnsi="Times New Roman"/>
          <w:sz w:val="24"/>
        </w:rPr>
        <w:t>Evaluated as a proof-of-concept validation in Goiás (2020) using a simplified Fellegi-Sunter model [14]. Blocking: date of birth (DTNASC) + municipality (CODMUNRES, 6 digits). Scoring: birth weight (max 3 pts), gestational age (max 2 pts), maternal age (max 2 pts); maximum score = 7. Confirmed match: score ≥ 5; probable: score 3–4.</w:t>
      </w:r>
    </w:p>
    <w:p>
      <w:pPr>
        <w:pStyle w:val="Heading2"/>
      </w:pPr>
      <w:r>
        <w:rPr>
          <w:rFonts w:ascii="Times New Roman" w:hAnsi="Times New Roman"/>
        </w:rPr>
        <w:t>3.5 SPARQL Endpoint and Validation</w:t>
      </w:r>
    </w:p>
    <w:p>
      <w:pPr>
        <w:ind w:firstLine="720"/>
        <w:jc w:val="both"/>
      </w:pPr>
      <w:r>
        <w:rPr>
          <w:rFonts w:ascii="Times New Roman" w:hAnsi="Times New Roman"/>
          <w:sz w:val="24"/>
        </w:rPr>
        <w:t>Apache Jena Fuseki 6.0.0 [15] on commodity hardware (24-core CPU, 32 GB RAM). Ontology consistency verified with owlrl OWL RL reasoner. SHACL validation enforced clinical constraints on five node shapes (birth weight 200–7,000g; gestational age 20–45 weeks; Apgar 0–10).</w:t>
      </w:r>
    </w:p>
    <w:p>
      <w:pPr>
        <w:pStyle w:val="Heading1"/>
      </w:pPr>
      <w:r>
        <w:rPr>
          <w:rFonts w:ascii="Times New Roman" w:hAnsi="Times New Roman"/>
        </w:rPr>
        <w:t>4. Results</w:t>
      </w:r>
    </w:p>
    <w:p>
      <w:pPr>
        <w:pStyle w:val="Heading2"/>
      </w:pPr>
      <w:r>
        <w:rPr>
          <w:rFonts w:ascii="Times New Roman" w:hAnsi="Times New Roman"/>
        </w:rPr>
        <w:t>4.1 Ontology Statistics</w:t>
      </w:r>
    </w:p>
    <w:p>
      <w:pPr>
        <w:ind w:firstLine="720"/>
        <w:jc w:val="both"/>
      </w:pPr>
      <w:r>
        <w:rPr>
          <w:rFonts w:ascii="Times New Roman" w:hAnsi="Times New Roman"/>
          <w:sz w:val="24"/>
        </w:rPr>
        <w:t>The ontology comprises 414 RDF triples: 35 classes, 19 data properties, 8 object properties (Table 1). OWL RL reasoning inferred 739 additional triples in 0.24s. owl:Nothing = 0 confirming logical consistency.</w:t>
      </w:r>
    </w:p>
    <w:p>
      <w:pPr>
        <w:pStyle w:val="Heading2"/>
      </w:pPr>
      <w:r>
        <w:rPr>
          <w:rFonts w:ascii="Times New Roman" w:hAnsi="Times New Roman"/>
        </w:rPr>
        <w:t>4.2 Dataset Integration (Goiás Proof of Concept)</w:t>
      </w:r>
    </w:p>
    <w:p>
      <w:pPr>
        <w:ind w:firstLine="720"/>
        <w:jc w:val="both"/>
      </w:pPr>
      <w:r>
        <w:rPr>
          <w:rFonts w:ascii="Times New Roman" w:hAnsi="Times New Roman"/>
          <w:sz w:val="24"/>
        </w:rPr>
        <w:t>The Goiás SINASC archive covers 934,806 live births (2015–2024) across 246 municipalities (Table 2). For the linkage validation, the Goiás SIM file for 2020 comprised 667 neonatal deaths. BR-DWGD grid cells intersecting Goiás were used for climate linkage.</w:t>
      </w:r>
    </w:p>
    <w:p>
      <w:pPr>
        <w:pStyle w:val="Heading2"/>
      </w:pPr>
      <w:r>
        <w:rPr>
          <w:rFonts w:ascii="Times New Roman" w:hAnsi="Times New Roman"/>
        </w:rPr>
        <w:t>4.3 Probabilistic Linkage Validation</w:t>
      </w:r>
    </w:p>
    <w:p>
      <w:pPr>
        <w:ind w:firstLine="720"/>
        <w:jc w:val="both"/>
      </w:pPr>
      <w:r>
        <w:rPr>
          <w:rFonts w:ascii="Times New Roman" w:hAnsi="Times New Roman"/>
          <w:sz w:val="24"/>
        </w:rPr>
        <w:t>Of 667 neonatal deaths in Goiás (2020), 568 (85.2%) were successfully linked (Table 4). High-confidence scores (6–7/7): 72.9% (n=414). Mean linkage score: 6.1. Birth weight concordance: 74.3% exact, 91.2% within 100g. Early neonatal deaths (0–7 days): 78.0% of linked records.</w:t>
      </w:r>
    </w:p>
    <w:p>
      <w:pPr>
        <w:pStyle w:val="Heading2"/>
      </w:pPr>
      <w:r>
        <w:rPr>
          <w:rFonts w:ascii="Times New Roman" w:hAnsi="Times New Roman"/>
        </w:rPr>
        <w:t>4.4 Knowledge Graph Scale and Performance</w:t>
      </w:r>
    </w:p>
    <w:p>
      <w:pPr>
        <w:ind w:firstLine="720"/>
        <w:jc w:val="both"/>
      </w:pPr>
      <w:r>
        <w:rPr>
          <w:rFonts w:ascii="Times New Roman" w:hAnsi="Times New Roman"/>
          <w:sz w:val="24"/>
        </w:rPr>
        <w:t>All 934,806 Goiás births were converted to 13,334,553 RDF triples in 210 seconds (4,443 births/second). Loading into Fuseki TDB2: 125 seconds. Extrapolating to the national archive (~27M births), the measured throughput projects sequential conversion in approximately 100 minutes; parallel processing across 27 states would reduce this to approximately 4 minutes. SPARQL query performance is summarised in Table 3 (0.11–7.58 seconds).</w:t>
      </w:r>
    </w:p>
    <w:p>
      <w:pPr>
        <w:pStyle w:val="Heading2"/>
      </w:pPr>
      <w:r>
        <w:rPr>
          <w:rFonts w:ascii="Times New Roman" w:hAnsi="Times New Roman"/>
        </w:rPr>
        <w:t>4.5 Epidemiological Characterisation (Goiás, 2015–2024)</w:t>
      </w:r>
    </w:p>
    <w:p>
      <w:pPr>
        <w:ind w:firstLine="720"/>
        <w:jc w:val="both"/>
      </w:pPr>
      <w:r>
        <w:rPr>
          <w:rFonts w:ascii="Times New Roman" w:hAnsi="Times New Roman"/>
          <w:sz w:val="24"/>
        </w:rPr>
        <w:t>Preterm birth rate: 10.8% (101,287/934,807). Low birth weight: 8.9% (83,660). Extreme heat exposure T3: 41.4% (387,012). Mean birth weight: 3,141g. These statistics are directly derivable from the SPARQL endpoint.</w:t>
      </w:r>
    </w:p>
    <w:p>
      <w:pPr>
        <w:pStyle w:val="Heading1"/>
      </w:pPr>
      <w:r>
        <w:rPr>
          <w:rFonts w:ascii="Times New Roman" w:hAnsi="Times New Roman"/>
        </w:rPr>
        <w:t>5. Discussion</w:t>
      </w:r>
    </w:p>
    <w:p>
      <w:pPr>
        <w:pStyle w:val="Heading2"/>
      </w:pPr>
      <w:r>
        <w:rPr>
          <w:rFonts w:ascii="Times New Roman" w:hAnsi="Times New Roman"/>
        </w:rPr>
        <w:t>5.1 Contributions</w:t>
      </w:r>
    </w:p>
    <w:p>
      <w:pPr>
        <w:ind w:firstLine="720"/>
        <w:jc w:val="both"/>
      </w:pPr>
      <w:r>
        <w:rPr>
          <w:rFonts w:ascii="Times New Roman" w:hAnsi="Times New Roman"/>
          <w:sz w:val="24"/>
        </w:rPr>
        <w:t>PerinatalKG represents, to our knowledge, the first formal OWL 2 knowledge graph for Brazilian perinatal surveillance data. The BFO alignment and standard terminology mappings ensure interoperability with any OBO Foundry ontology. The SNOMED-CT, ICD-10, and LOINC mappings support integration with electronic health record systems.</w:t>
      </w:r>
    </w:p>
    <w:p>
      <w:pPr>
        <w:pStyle w:val="Heading2"/>
      </w:pPr>
      <w:r>
        <w:rPr>
          <w:rFonts w:ascii="Times New Roman" w:hAnsi="Times New Roman"/>
        </w:rPr>
        <w:t>5.2 Probabilistic Linkage</w:t>
      </w:r>
    </w:p>
    <w:p>
      <w:pPr>
        <w:ind w:firstLine="720"/>
        <w:jc w:val="both"/>
      </w:pPr>
      <w:r>
        <w:rPr>
          <w:rFonts w:ascii="Times New Roman" w:hAnsi="Times New Roman"/>
          <w:sz w:val="24"/>
        </w:rPr>
        <w:t>The 85.2% linkage recall achieved in the Goiás validation is consistent with reported performance for Brazilian administrative health data [16]. Future work will extend the Fellegi-Sunter model [14] using additional variables and evaluate linkage performance across all 27 states.</w:t>
      </w:r>
    </w:p>
    <w:p>
      <w:pPr>
        <w:pStyle w:val="Heading2"/>
      </w:pPr>
      <w:r>
        <w:rPr>
          <w:rFonts w:ascii="Times New Roman" w:hAnsi="Times New Roman"/>
        </w:rPr>
        <w:t>5.3 Scale and Reproducibility</w:t>
      </w:r>
    </w:p>
    <w:p>
      <w:pPr>
        <w:ind w:firstLine="720"/>
        <w:jc w:val="both"/>
      </w:pPr>
      <w:r>
        <w:rPr>
          <w:rFonts w:ascii="Times New Roman" w:hAnsi="Times New Roman"/>
          <w:sz w:val="24"/>
        </w:rPr>
        <w:t>The pipeline throughput of 4,443 births per second, measured on Goiás data, demonstrates that the full national SINASC archive (27 million records) would be computationally tractable on commodity hardware, requiring approximately 100 minutes of sequential processing. All scripts are available at https://github.com/clarimar/perinatalkg.</w:t>
      </w:r>
    </w:p>
    <w:p>
      <w:pPr>
        <w:pStyle w:val="Heading2"/>
      </w:pPr>
      <w:r>
        <w:rPr>
          <w:rFonts w:ascii="Times New Roman" w:hAnsi="Times New Roman"/>
        </w:rPr>
        <w:t>5.4 Limitations</w:t>
      </w:r>
    </w:p>
    <w:p>
      <w:pPr>
        <w:ind w:firstLine="720"/>
        <w:jc w:val="both"/>
      </w:pPr>
      <w:r>
        <w:rPr>
          <w:rFonts w:ascii="Times New Roman" w:hAnsi="Times New Roman"/>
          <w:sz w:val="24"/>
        </w:rPr>
        <w:t>First, the current implementation covers Goiás state only. Extension to all 27 states is architecturally straightforward but requires dedicated infrastructure (~32 GB RAM for Fuseki with ~406M triples). Second, climate exposure is assigned at municipality centroid level (ecological approximation). Third, the SINASC–SIM linkage was validated in a single state-year; cross-state validation is planned. Fourth, gestational age in SINASC is a clinical estimate with known inter-system variability [2]. Fifth, the cross-sectional design precludes causal inference.</w:t>
      </w:r>
    </w:p>
    <w:p>
      <w:pPr>
        <w:pStyle w:val="Heading2"/>
      </w:pPr>
      <w:r>
        <w:rPr>
          <w:rFonts w:ascii="Times New Roman" w:hAnsi="Times New Roman"/>
        </w:rPr>
        <w:t>5.5 Future Work</w:t>
      </w:r>
    </w:p>
    <w:p>
      <w:pPr>
        <w:ind w:firstLine="720"/>
        <w:jc w:val="both"/>
      </w:pPr>
      <w:r>
        <w:rPr>
          <w:rFonts w:ascii="Times New Roman" w:hAnsi="Times New Roman"/>
          <w:sz w:val="24"/>
        </w:rPr>
        <w:t>Three directions are planned: (1) extension of SINASC–SIM linkage to all 27 states (2015–2024); (2) PerinatalKG ontology submission to NCBO BioPortal; (3) evaluation of federated SPARQL endpoint architecture for national-scale queries.</w:t>
      </w:r>
    </w:p>
    <w:p>
      <w:pPr>
        <w:pStyle w:val="Heading1"/>
      </w:pPr>
      <w:r>
        <w:rPr>
          <w:rFonts w:ascii="Times New Roman" w:hAnsi="Times New Roman"/>
        </w:rPr>
        <w:t>6. Conclusions</w:t>
      </w:r>
    </w:p>
    <w:p>
      <w:pPr>
        <w:ind w:firstLine="720"/>
        <w:jc w:val="both"/>
      </w:pPr>
      <w:r>
        <w:rPr>
          <w:rFonts w:ascii="Times New Roman" w:hAnsi="Times New Roman"/>
          <w:sz w:val="24"/>
        </w:rPr>
        <w:t>This proof-of-concept demonstrates the feasibility of formal OWL 2 knowledge graph integration for Brazilian perinatal surveillance data. Applied to Goiás state (2015–2024, 934,806 births), the system generates 13,334,553 RDF triples queryable in under 8 seconds. The SINASC–SIM linkage achieved 85.2% recall in the validation case. All ontology files, ETL scripts, and SPARQL examples are publicly available under Apache 2.0, supporting reproducibility and extension to the national scale.</w:t>
      </w:r>
    </w:p>
    <w:p>
      <w:r>
        <w:t>────────────────────────────────────────────────────────────────────────────────</w:t>
      </w:r>
    </w:p>
    <w:p>
      <w:pPr>
        <w:pStyle w:val="Heading1"/>
      </w:pPr>
      <w:r>
        <w:rPr>
          <w:rFonts w:ascii="Times New Roman" w:hAnsi="Times New Roman"/>
        </w:rPr>
        <w:t>Declarations</w:t>
      </w:r>
    </w:p>
    <w:p>
      <w:r>
        <w:rPr>
          <w:b/>
        </w:rPr>
        <w:t xml:space="preserve">Availability: </w:t>
      </w:r>
      <w:r>
        <w:t>https://github.com/clarimar/perinatalkg (Apache 2.0). SINASC/SIM via DATASUS. BR-DWGD via sites.google.com/site/alexandrecandidoxavierufes/.</w:t>
      </w:r>
    </w:p>
    <w:p>
      <w:r>
        <w:rPr>
          <w:b/>
        </w:rPr>
        <w:t xml:space="preserve">Competing interests: </w:t>
      </w:r>
      <w:r>
        <w:t>None declared.</w:t>
      </w:r>
    </w:p>
    <w:p>
      <w:r>
        <w:rPr>
          <w:b/>
        </w:rPr>
        <w:t xml:space="preserve">Funding: </w:t>
      </w:r>
      <w:r>
        <w:t>No specific funding.</w:t>
      </w:r>
    </w:p>
    <w:p>
      <w:r>
        <w:rPr>
          <w:b/>
        </w:rPr>
        <w:t xml:space="preserve">Authors' contributions: </w:t>
      </w:r>
      <w:r>
        <w:t>CJC: study design, ontology, ETL pipeline, manuscript. GC: epidemiological design, critical revision.</w:t>
      </w:r>
    </w:p>
    <w:p>
      <w:r>
        <w:br w:type="page"/>
      </w:r>
    </w:p>
    <w:p>
      <w:pPr>
        <w:pStyle w:val="Heading1"/>
      </w:pPr>
      <w:r>
        <w:rPr>
          <w:rFonts w:ascii="Times New Roman" w:hAnsi="Times New Roman"/>
        </w:rPr>
        <w:t>References</w:t>
      </w:r>
    </w:p>
    <w:p>
      <w:pPr>
        <w:pStyle w:val="ListNumber"/>
        <w:ind w:left="720"/>
      </w:pPr>
      <w:r>
        <w:rPr>
          <w:rFonts w:ascii="Times New Roman" w:hAnsi="Times New Roman"/>
          <w:sz w:val="20"/>
        </w:rPr>
        <w:t>Ministério da Saúde (Brazil). SINASC. Available: https://datasus.saude.gov.br/nascidos-vivos-desde-1994.</w:t>
      </w:r>
    </w:p>
    <w:p>
      <w:pPr>
        <w:pStyle w:val="ListNumber"/>
        <w:ind w:left="720"/>
      </w:pPr>
      <w:r>
        <w:rPr>
          <w:rFonts w:ascii="Times New Roman" w:hAnsi="Times New Roman"/>
          <w:sz w:val="20"/>
        </w:rPr>
        <w:t>Romero DE, Cunha CB. Avaliação da qualidade das variáveis do SINASC, 2002. Cad Saude Publica. 2007;23(3):701–714. doi:10.1590/S0102-311X2007000300023.</w:t>
      </w:r>
    </w:p>
    <w:p>
      <w:pPr>
        <w:pStyle w:val="ListNumber"/>
        <w:ind w:left="720"/>
      </w:pPr>
      <w:r>
        <w:rPr>
          <w:rFonts w:ascii="Times New Roman" w:hAnsi="Times New Roman"/>
          <w:sz w:val="20"/>
        </w:rPr>
        <w:t>Lima RB, Chaves SC, Santana VS. Evaluation of SINASC in Brazil. Cad Saude Publica. 2014;30(10):2068–2080. doi:10.1590/0102-311X00197113.</w:t>
      </w:r>
    </w:p>
    <w:p>
      <w:pPr>
        <w:pStyle w:val="ListNumber"/>
        <w:ind w:left="720"/>
      </w:pPr>
      <w:r>
        <w:rPr>
          <w:rFonts w:ascii="Times New Roman" w:hAnsi="Times New Roman"/>
          <w:sz w:val="20"/>
        </w:rPr>
        <w:t>Chersich MF, et al. High temperatures and risk of preterm birth: systematic review. BMJ. 2020;371:m3811. doi:10.1136/bmj.m3811.</w:t>
      </w:r>
    </w:p>
    <w:p>
      <w:pPr>
        <w:pStyle w:val="ListNumber"/>
        <w:ind w:left="720"/>
      </w:pPr>
      <w:r>
        <w:rPr>
          <w:rFonts w:ascii="Times New Roman" w:hAnsi="Times New Roman"/>
          <w:sz w:val="20"/>
        </w:rPr>
        <w:t>Lakhoo D, et al. Heat exposure impacts on maternal and neonatal health. Nat Med. 2024. doi:10.1038/s41591-024-03395-8.</w:t>
      </w:r>
    </w:p>
    <w:p>
      <w:pPr>
        <w:pStyle w:val="ListNumber"/>
        <w:ind w:left="720"/>
      </w:pPr>
      <w:r>
        <w:rPr>
          <w:rFonts w:ascii="Times New Roman" w:hAnsi="Times New Roman"/>
          <w:sz w:val="20"/>
        </w:rPr>
        <w:t>Syed S, O'Sullivan TL, Phillips KP. Extreme heat and pregnancy outcomes. Int J Environ Res Public Health. 2022;19(4):2412. doi:10.3390/ijerph19042412.</w:t>
      </w:r>
    </w:p>
    <w:p>
      <w:pPr>
        <w:pStyle w:val="ListNumber"/>
        <w:ind w:left="720"/>
      </w:pPr>
      <w:r>
        <w:rPr>
          <w:rFonts w:ascii="Times New Roman" w:hAnsi="Times New Roman"/>
          <w:sz w:val="20"/>
        </w:rPr>
        <w:t>Xavier AC, et al. New improved Brazilian daily weather gridded data. Int J Climatol. 2022;42(16):8390–8404. doi:10.1002/joc.7731.</w:t>
      </w:r>
    </w:p>
    <w:p>
      <w:pPr>
        <w:pStyle w:val="ListNumber"/>
        <w:ind w:left="720"/>
      </w:pPr>
      <w:r>
        <w:rPr>
          <w:rFonts w:ascii="Times New Roman" w:hAnsi="Times New Roman"/>
          <w:sz w:val="20"/>
        </w:rPr>
        <w:t>Callahan TJ, et al. Knowledge-based biomedical data science. Annu Rev Biomed Data Sci. 2020;3:23–41. doi:10.1146/annurev-biodatasci-010820-091627.</w:t>
      </w:r>
    </w:p>
    <w:p>
      <w:pPr>
        <w:pStyle w:val="ListNumber"/>
        <w:ind w:left="720"/>
      </w:pPr>
      <w:r>
        <w:rPr>
          <w:rFonts w:ascii="Times New Roman" w:hAnsi="Times New Roman"/>
          <w:sz w:val="20"/>
        </w:rPr>
        <w:t>Nicholson DN, Greene CS. Constructing knowledge graphs. Comput Struct Biotechnol J. 2020;18:1414–1428. doi:10.1016/j.csbj.2020.05.017.</w:t>
      </w:r>
    </w:p>
    <w:p>
      <w:pPr>
        <w:pStyle w:val="ListNumber"/>
        <w:ind w:left="720"/>
      </w:pPr>
      <w:r>
        <w:rPr>
          <w:rFonts w:ascii="Times New Roman" w:hAnsi="Times New Roman"/>
          <w:sz w:val="20"/>
        </w:rPr>
        <w:t>Smith B, et al. The OBO Foundry. Nat Biotechnol. 2007;25(11):1251–1255. doi:10.1038/nbt1346.</w:t>
      </w:r>
    </w:p>
    <w:p>
      <w:pPr>
        <w:pStyle w:val="ListNumber"/>
        <w:ind w:left="720"/>
      </w:pPr>
      <w:r>
        <w:rPr>
          <w:rFonts w:ascii="Times New Roman" w:hAnsi="Times New Roman"/>
          <w:sz w:val="20"/>
        </w:rPr>
        <w:t>Lima RB, Chaves SC, Santana VS. Cad Saude Publica. 2014;30(10):2068–2080. doi:10.1590/0102-311X00197113.</w:t>
      </w:r>
    </w:p>
    <w:p>
      <w:pPr>
        <w:pStyle w:val="ListNumber"/>
        <w:ind w:left="720"/>
      </w:pPr>
      <w:r>
        <w:rPr>
          <w:rFonts w:ascii="Times New Roman" w:hAnsi="Times New Roman"/>
          <w:sz w:val="20"/>
        </w:rPr>
        <w:t>Arp R, Smith B, Spear AD. Building Ontologies with Basic Formal Ontology. MIT Press; 2015.</w:t>
      </w:r>
    </w:p>
    <w:p>
      <w:pPr>
        <w:pStyle w:val="ListNumber"/>
        <w:ind w:left="720"/>
      </w:pPr>
      <w:r>
        <w:rPr>
          <w:rFonts w:ascii="Times New Roman" w:hAnsi="Times New Roman"/>
          <w:sz w:val="20"/>
        </w:rPr>
        <w:t>Ministério da Saúde (Brazil). SIM. Available: https://datasus.saude.gov.br.</w:t>
      </w:r>
    </w:p>
    <w:p>
      <w:pPr>
        <w:pStyle w:val="ListNumber"/>
        <w:ind w:left="720"/>
      </w:pPr>
      <w:r>
        <w:rPr>
          <w:rFonts w:ascii="Times New Roman" w:hAnsi="Times New Roman"/>
          <w:sz w:val="20"/>
        </w:rPr>
        <w:t>Fellegi IP, Sunter AB. A theory for record linkage. J Am Stat Assoc. 1969;64(328):1183–1210. doi:10.1080/01621459.1969.10501049.</w:t>
      </w:r>
    </w:p>
    <w:p>
      <w:pPr>
        <w:pStyle w:val="ListNumber"/>
        <w:ind w:left="720"/>
      </w:pPr>
      <w:r>
        <w:rPr>
          <w:rFonts w:ascii="Times New Roman" w:hAnsi="Times New Roman"/>
          <w:sz w:val="20"/>
        </w:rPr>
        <w:t>Apache Software Foundation. Apache Jena Fuseki 6.0.0. 2024. https://jena.apache.org/documentation/fuseki2/.</w:t>
      </w:r>
    </w:p>
    <w:p>
      <w:pPr>
        <w:pStyle w:val="ListNumber"/>
        <w:ind w:left="720"/>
      </w:pPr>
      <w:r>
        <w:rPr>
          <w:rFonts w:ascii="Times New Roman" w:hAnsi="Times New Roman"/>
          <w:sz w:val="20"/>
        </w:rPr>
        <w:t>Coeli CM, Camargo KR Jr. Assessment of blocking strategies in probabilistic record linkage. J Appl Stat. 2002;29(1–4):75–96. doi:10.1080/02664760120108779.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