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0"/>
          <w:szCs w:val="20"/>
        </w:rPr>
        <w:t xml:space="preserve">Supplementary Table S1.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SPARQL vs SQL (DuckDB) query benchmark over 13,334,157 RDF triples (PerinatalKG) and 934,806 Parquet rows, respectively (Goiás state, Brazil, 2015–2024). Each query was executed 10 times after 3 warmup repetitions (seed 20260803). SPARQL queries ran against Apache Jena Fuseki 6.0.0 (TDB2); SQL queries ran against DuckDB 1.5.2 in-memory over Parquet files loaded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read_parquet()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Hardware: AMD Ryzen 9 3900X (24 threads, 64 GB RAM, Ubuntu Linux). All SPARQL queries use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PREFIX rdf: &lt;http://www.w3.org/1999/02/22-rdf-syntax-ns#&gt;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PREFIX pkg: &lt;http://perinatalkg.org/ontology/&gt;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Speedup = SPARQL mean / SQL mean. Results and script available at https://github.com/clarimar/perinatalkg/tree/main/results.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4000"/>
        <w:gridCol w:w="1400"/>
        <w:gridCol w:w="1000"/>
        <w:gridCol w:w="900"/>
        <w:gridCol w:w="900"/>
        <w:gridCol w:w="800"/>
        <w:gridCol w:w="1300"/>
      </w:tblGrid>
      <w:tr>
        <w:trPr>
          <w:tblHeader/>
        </w:trPr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SPARQL pattern (abbreviated)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Result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SPARQL
mean (s)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SPARQL
SD (s)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SQL
mean (s)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SQL
SD (s)</w:t>
            </w:r>
          </w:p>
        </w:tc>
        <w:tc>
          <w:tcPr>
            <w:tcBorders>
              <w:top w:val="single" w:color="000000" w:sz="12" w:space="1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Speedup
(SPARQL/SQL)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Total count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(triples vs rows)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(COUNT(*)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 ?s ?p ?o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13,334,157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2.264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629×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distinct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Birth individuals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934,806*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0.828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224×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preterm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births (&lt;37 weeks)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pkg:PretermBirth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101,287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0.106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16×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term births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(37–41 weeks)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pkg:TermBirth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815,094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0.803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0.010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0.008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97×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post-term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births (≥42 weeks)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pkg:PostTermBirth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18,425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0.026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Q6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low birth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weight (&lt;2,500 g)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pkg:LowBirthWeight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83,660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0.095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13×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Q7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of extreme heat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exposure during T3†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(COUNT(?b) AS ?n)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rdf:type pkg:ExtremeHeatExposure 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387,012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1.898‡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0.793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463×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Q8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AVG birth weight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across all births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SELECT (AVG(?w) AS ?mean)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WHERE {</w:t>
            </w:r>
          </w:p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 ?b pkg:birthWeight ?w 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3,141 g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0.350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0.032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0.006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&lt;0.001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000000" w:sz="6" w:space="1"/>
              <w:right w:val="none" w:color="FFFFFF" w:sz="0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58×</w:t>
            </w:r>
          </w:p>
        </w:tc>
      </w:tr>
    </w:tbl>
    <w:p>
      <w:pPr>
        <w:spacing w:after="0" w:before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 </w:t>
      </w:r>
    </w:p>
    <w:p>
      <w:pPr>
        <w:spacing w:after="8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* 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Q2 returns 934,806 distinct Birth individuals. Source Parquet files contain 934,807 records; one record carries a duplicate birth_id across annual files and is deduplicated by TDB2 during loading.</w:t>
      </w:r>
    </w:p>
    <w:p>
      <w:pPr>
        <w:spacing w:after="8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† 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Extreme heat exposure (ExtremeHeatExposure): 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6"/>
          <w:szCs w:val="16"/>
        </w:rPr>
        <w:t xml:space="preserve">max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&gt; 35°C on ≥1 day during the third trimester (weeks 27 to birth), based on BR-DWGD gridded daily data; threshold applied uniformly across all municipalities.</w:t>
      </w:r>
    </w:p>
    <w:p>
      <w:pPr>
        <w:spacing w:after="8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‡ 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Q7 exhibited TDB2 cache warm-up effects across repetitions (range 0.51–2.65 s). The reported SD (0.793 s) reflects this warm-up; the median across repetitions was 2.17 s.</w:t>
      </w:r>
    </w:p>
    <w:p>
      <w:pPr>
        <w:spacing w:after="0" w:befor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SQL queries for reference: Q3: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WHERE gestational_weeks &lt; 37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Q4: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WHERE gestational_weeks &gt;= 37 AND &lt; 42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Q5: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WHERE gestational_weeks &gt;= 42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Q6: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WHERE birth_weight_grams &lt; 2500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Q7: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000000"/>
          <w:sz w:val="17"/>
          <w:szCs w:val="17"/>
        </w:rPr>
        <w:t xml:space="preserve">WHERE exposed_extreme_heat_t3 = 1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Full SQL available in benchmark JSON.</w:t>
      </w:r>
    </w:p>
    <w:sectPr>
      <w:pgSz w:w="20160" w:h="12240" w:orient="portrait"/>
      <w:pgMar w:top="1440" w:right="1000" w:bottom="144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2026-08-05T12:47:09.987Z</dcterms:created>
  <dcterms:modified xsi:type="dcterms:W3CDTF">2026-08-05T12:47:10.003Z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