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720"/>
        <w:jc w:val="center"/>
      </w:pPr>
      <w:r>
        <w:rPr>
          <w:rFonts w:ascii="Times New Roman" w:cs="Times New Roman" w:eastAsia="Times New Roman" w:hAnsi="Times New Roman"/>
          <w:b/>
          <w:bCs/>
          <w:sz w:val="28"/>
          <w:szCs w:val="28"/>
        </w:rPr>
        <w:t xml:space="preserve">PerinatalKG: An OWL 2 Knowledge Graph Integrating Perinatal, Climatic, and Socioeconomic Data in Brazil</w:t>
      </w:r>
    </w:p>
    <w:p>
      <w:pPr>
        <w:spacing w:after="120" w:before="0"/>
        <w:jc w:val="center"/>
      </w:pPr>
      <w:r>
        <w:rPr>
          <w:rFonts w:ascii="Times New Roman" w:cs="Times New Roman" w:eastAsia="Times New Roman" w:hAnsi="Times New Roman"/>
          <w:sz w:val="22"/>
          <w:szCs w:val="22"/>
        </w:rPr>
        <w:t xml:space="preserve">Clarimar José Coelho¹, Guilherme Coelho²</w:t>
      </w:r>
    </w:p>
    <w:p>
      <w:pPr>
        <w:spacing w:after="80" w:before="0"/>
        <w:jc w:val="center"/>
      </w:pPr>
      <w:r>
        <w:rPr>
          <w:rFonts w:ascii="Times New Roman" w:cs="Times New Roman" w:eastAsia="Times New Roman" w:hAnsi="Times New Roman"/>
          <w:sz w:val="20"/>
          <w:szCs w:val="20"/>
        </w:rPr>
        <w:t xml:space="preserve">¹ Pontifícia Universidade Católica de Goiás (PUC Goiás), Goiânia, GO, Brazil</w:t>
      </w:r>
    </w:p>
    <w:p>
      <w:pPr>
        <w:spacing w:after="240" w:before="0"/>
        <w:jc w:val="center"/>
      </w:pPr>
      <w:r>
        <w:rPr>
          <w:rFonts w:ascii="Times New Roman" w:cs="Times New Roman" w:eastAsia="Times New Roman" w:hAnsi="Times New Roman"/>
          <w:sz w:val="20"/>
          <w:szCs w:val="20"/>
        </w:rPr>
        <w:t xml:space="preserve">² Universidade Estadual de Campinas (UNICAMP/FCM), Campinas, SP, Brazil</w:t>
      </w:r>
    </w:p>
    <w:p>
      <w:pPr>
        <w:spacing w:after="80" w:before="0"/>
        <w:jc w:val="center"/>
      </w:pPr>
      <w:r>
        <w:rPr>
          <w:rFonts w:ascii="Times New Roman" w:cs="Times New Roman" w:eastAsia="Times New Roman" w:hAnsi="Times New Roman"/>
          <w:sz w:val="20"/>
          <w:szCs w:val="20"/>
        </w:rPr>
        <w:t xml:space="preserve">Correspondence: clarimarc@gmail.com</w:t>
      </w:r>
    </w:p>
    <w:p>
      <w:pPr>
        <w:pBdr>
          <w:bottom w:val="single" w:color="333333" w:sz="6" w:space="1"/>
        </w:pBdr>
        <w:spacing w:after="240" w:before="240"/>
      </w:pPr>
      <w:r>
        <w:t xml:space="preserve"/>
      </w:r>
    </w:p>
    <w:p>
      <w:pPr>
        <w:pStyle w:val="Heading1"/>
        <w:spacing w:after="120" w:before="360"/>
      </w:pPr>
      <w:r>
        <w:rPr>
          <w:rFonts w:ascii="Times New Roman" w:cs="Times New Roman" w:eastAsia="Times New Roman" w:hAnsi="Times New Roman"/>
          <w:b/>
          <w:bCs/>
          <w:sz w:val="26"/>
          <w:szCs w:val="26"/>
        </w:rPr>
        <w:t xml:space="preserve">Abstract</w:t>
      </w:r>
    </w:p>
    <w:p>
      <w:pPr>
        <w:spacing w:after="160" w:before="0"/>
        <w:ind w:firstLine="720"/>
        <w:jc w:val="both"/>
      </w:pPr>
      <w:r>
        <w:rPr>
          <w:rFonts w:ascii="Times New Roman" w:cs="Times New Roman" w:eastAsia="Times New Roman" w:hAnsi="Times New Roman"/>
          <w:sz w:val="24"/>
          <w:szCs w:val="24"/>
        </w:rPr>
        <w:t xml:space="preserve">Background: Brazil records approximately 2.7 million live births annually through the Live Birth Information System (SINASC), yet the integration of these rich perinatal data with environmental exposures and mortality records remains methodologically challenging. Existing approaches rely on tabular schemas that impede multi-source queries and semantic interoperability.</w:t>
      </w:r>
    </w:p>
    <w:p>
      <w:pPr>
        <w:spacing w:after="160" w:before="0"/>
        <w:ind w:firstLine="720"/>
        <w:jc w:val="both"/>
      </w:pPr>
      <w:r>
        <w:rPr>
          <w:rFonts w:ascii="Times New Roman" w:cs="Times New Roman" w:eastAsia="Times New Roman" w:hAnsi="Times New Roman"/>
          <w:sz w:val="24"/>
          <w:szCs w:val="24"/>
        </w:rPr>
        <w:t xml:space="preserve">Objective: To develop PerinatalKG, a formal OWL 2 knowledge graph integrating Brazilian perinatal (SINASC), climatic (BR-DWGD), mortality (SIM), and socioeconomic (IBGE) data, and to demonstrate its capabilities through SPARQL-based epidemiological use cases.</w:t>
      </w:r>
    </w:p>
    <w:p>
      <w:pPr>
        <w:spacing w:after="160" w:before="0"/>
        <w:ind w:firstLine="720"/>
        <w:jc w:val="both"/>
      </w:pPr>
      <w:r>
        <w:rPr>
          <w:rFonts w:ascii="Times New Roman" w:cs="Times New Roman" w:eastAsia="Times New Roman" w:hAnsi="Times New Roman"/>
          <w:sz w:val="24"/>
          <w:szCs w:val="24"/>
        </w:rPr>
        <w:t xml:space="preserve">Methods: We designed a domain ontology comprising 35 OWL 2 classes aligned with the Basic Formal Ontology (BFO) and mapped to SNOMED-CT, ICD-10, and LOINC. A probabilistic linkage algorithm (Fellegi-Sunter) was applied to link SINASC birth records with SIM neonatal deaths. The resulting RDF dataset was loaded into an Apache Jena Fuseki triplestore. As a proof of concept, we converted all 934,806 live births registered in Goiás state (2015–2024) into 13,334,553 RDF triples.</w:t>
      </w:r>
    </w:p>
    <w:p>
      <w:pPr>
        <w:spacing w:after="160" w:before="0"/>
        <w:ind w:firstLine="720"/>
        <w:jc w:val="both"/>
      </w:pPr>
      <w:r>
        <w:rPr>
          <w:rFonts w:ascii="Times New Roman" w:cs="Times New Roman" w:eastAsia="Times New Roman" w:hAnsi="Times New Roman"/>
          <w:sz w:val="24"/>
          <w:szCs w:val="24"/>
        </w:rPr>
        <w:t xml:space="preserve">Results: The PerinatalKG ontology achieved full consistency under OWL RL reasoning (owl:Nothing = 0). The probabilistic SINASC–SIM linkage achieved 85.2% recall in Goiás (2020), with 72.9% of matched records achieving high confidence (score 6–7/7). SPARQL queries over 13.3 million triples returned results in 0.11–7.58 seconds on commodity hardware. Pipeline throughput reached 4,443 births per second, projecting national conversion of 27 million records in approximately 100 minutes.</w:t>
      </w:r>
    </w:p>
    <w:p>
      <w:pPr>
        <w:spacing w:after="160" w:before="0"/>
        <w:ind w:firstLine="720"/>
        <w:jc w:val="both"/>
      </w:pPr>
      <w:r>
        <w:rPr>
          <w:rFonts w:ascii="Times New Roman" w:cs="Times New Roman" w:eastAsia="Times New Roman" w:hAnsi="Times New Roman"/>
          <w:sz w:val="24"/>
          <w:szCs w:val="24"/>
        </w:rPr>
        <w:t xml:space="preserve">Conclusions: PerinatalKG provides a reusable, semantically interoperable infrastructure for perinatal epidemiology research in Brazil. The ontology, pipeline scripts, and SPARQL examples are available at https://github.com/clarimar/perinatalkg under the Apache 2.0 license.</w:t>
      </w:r>
    </w:p>
    <w:p>
      <w:pPr>
        <w:spacing w:after="16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knowledge graph; OWL 2 ontology; perinatal health; SINASC; SPARQL; semantic web; Brazil; climate exposure</w:t>
      </w:r>
    </w:p>
    <w:p>
      <w:pPr>
        <w:pBdr>
          <w:bottom w:val="single" w:color="333333" w:sz="6" w:space="1"/>
        </w:pBdr>
        <w:spacing w:after="240" w:before="240"/>
      </w:pPr>
      <w:r>
        <w:t xml:space="preserve"/>
      </w:r>
    </w:p>
    <w:p>
      <w:pPr>
        <w:pStyle w:val="Heading1"/>
        <w:spacing w:after="120" w:before="360"/>
      </w:pPr>
      <w:r>
        <w:rPr>
          <w:rFonts w:ascii="Times New Roman" w:cs="Times New Roman" w:eastAsia="Times New Roman" w:hAnsi="Times New Roman"/>
          <w:b/>
          <w:bCs/>
          <w:sz w:val="26"/>
          <w:szCs w:val="26"/>
        </w:rPr>
        <w:t xml:space="preserve">1. Introduction</w:t>
      </w:r>
    </w:p>
    <w:p>
      <w:pPr>
        <w:spacing w:after="160" w:before="0"/>
        <w:ind w:firstLine="720"/>
        <w:jc w:val="both"/>
      </w:pPr>
      <w:r>
        <w:rPr>
          <w:rFonts w:ascii="Times New Roman" w:cs="Times New Roman" w:eastAsia="Times New Roman" w:hAnsi="Times New Roman"/>
          <w:sz w:val="24"/>
          <w:szCs w:val="24"/>
        </w:rPr>
        <w:t xml:space="preserve">Brazil registers the largest volume of live births in South America, with approximately 2.7 million births recorded annually in the Sistema de Informações sobre Nascidos Vivos (SINASC) [1]. This national registry captures detailed clinical, demographic, and geographic variables for each birth, constituting one of the most comprehensive perinatal surveillance systems in the developing world [2,3]. Simultaneously, mounting evidence links climate variability—particularly extreme heat exposure during gestation—with adverse perinatal outcomes including preterm birth, low birth weight, and neonatal mortality [4,5,6].</w:t>
      </w:r>
    </w:p>
    <w:p>
      <w:pPr>
        <w:spacing w:after="160" w:before="0"/>
        <w:ind w:firstLine="720"/>
        <w:jc w:val="both"/>
      </w:pPr>
      <w:r>
        <w:rPr>
          <w:rFonts w:ascii="Times New Roman" w:cs="Times New Roman" w:eastAsia="Times New Roman" w:hAnsi="Times New Roman"/>
          <w:sz w:val="24"/>
          <w:szCs w:val="24"/>
        </w:rPr>
        <w:t xml:space="preserve">Despite the richness of these data sources, their integration for epidemiological research remains technically demanding. SINASC, the Mortality Information System (SIM), gridded climate data (BR-DWGD) [7], and municipal socioeconomic indicators (IBGE) exist as heterogeneous tabular datasets with incompatible schemas and no shared semantic layer. Multi-source queries that traverse births, environmental exposures, and neonatal deaths require custom join operations that are brittle, difficult to reproduce, and resistant to extension.</w:t>
      </w:r>
    </w:p>
    <w:p>
      <w:pPr>
        <w:spacing w:after="160" w:before="0"/>
        <w:ind w:firstLine="720"/>
        <w:jc w:val="both"/>
      </w:pPr>
      <w:r>
        <w:rPr>
          <w:rFonts w:ascii="Times New Roman" w:cs="Times New Roman" w:eastAsia="Times New Roman" w:hAnsi="Times New Roman"/>
          <w:sz w:val="24"/>
          <w:szCs w:val="24"/>
        </w:rPr>
        <w:t xml:space="preserve">Knowledge graphs (KGs) based on the Resource Description Framework (RDF) and the Web Ontology Language (OWL) offer a principled solution to this integration challenge [8,9]. By representing domain entities as typed nodes and relationships as formal axioms, KGs enable SPARQL-based federated queries, ontology-driven inference, and interoperability with standard clinical terminologies. The Open Biomedical Ontologies (OBO) Foundry has demonstrated the value of this approach across genomics, phenomics, and clinical informatics [10].</w:t>
      </w:r>
    </w:p>
    <w:p>
      <w:pPr>
        <w:spacing w:after="160" w:before="0"/>
        <w:ind w:firstLine="720"/>
        <w:jc w:val="both"/>
      </w:pPr>
      <w:r>
        <w:rPr>
          <w:rFonts w:ascii="Times New Roman" w:cs="Times New Roman" w:eastAsia="Times New Roman" w:hAnsi="Times New Roman"/>
          <w:sz w:val="24"/>
          <w:szCs w:val="24"/>
        </w:rPr>
        <w:t xml:space="preserve">To our knowledge, no formal OWL 2 knowledge graph has been developed for Brazilian perinatal data. Existing epidemiological studies of SINASC–climate relationships operate on preprocessed flat tables, limiting reproducibility and preventing the reuse of shared ontological definitions. The absence of a formal semantic layer also prevents integration with international biomedical ontologies such as SNOMED-CT and ICD-10, hindering cross-national comparison.</w:t>
      </w:r>
    </w:p>
    <w:p>
      <w:pPr>
        <w:spacing w:after="160" w:before="0"/>
        <w:ind w:firstLine="720"/>
        <w:jc w:val="both"/>
      </w:pPr>
      <w:r>
        <w:rPr>
          <w:rFonts w:ascii="Times New Roman" w:cs="Times New Roman" w:eastAsia="Times New Roman" w:hAnsi="Times New Roman"/>
          <w:sz w:val="24"/>
          <w:szCs w:val="24"/>
        </w:rPr>
        <w:t xml:space="preserve">We present PerinatalKG, a formal OWL 2 knowledge graph that integrates SINASC, SIM, BR-DWGD, and IBGE data under a unified ontology aligned with BFO and mapped to major clinical terminologies. The system includes: (1) a validated domain ontology with 35 classes and 27 properties; (2) a probabilistic record linkage pipeline connecting birth records with neonatal deaths; (3) an ETL pipeline converting Parquet files to RDF at 4,443 births per second; and (4) a SPARQL endpoint supporting complex epidemiological queries. As a proof of concept, we demonstrate the system using all 934,806 births registered in Goiás state from 2015 to 2024, yielding 13,334,553 RDF triples queryable in under 8 seconds.</w:t>
      </w:r>
    </w:p>
    <w:p>
      <w:pPr>
        <w:pStyle w:val="Heading1"/>
        <w:spacing w:after="120" w:before="360"/>
      </w:pPr>
      <w:r>
        <w:rPr>
          <w:rFonts w:ascii="Times New Roman" w:cs="Times New Roman" w:eastAsia="Times New Roman" w:hAnsi="Times New Roman"/>
          <w:b/>
          <w:bCs/>
          <w:sz w:val="26"/>
          <w:szCs w:val="26"/>
        </w:rPr>
        <w:t xml:space="preserve">2. Related Work</w:t>
      </w:r>
    </w:p>
    <w:p>
      <w:pPr>
        <w:pStyle w:val="Heading2"/>
        <w:spacing w:after="100" w:before="280"/>
      </w:pPr>
      <w:r>
        <w:rPr>
          <w:rFonts w:ascii="Times New Roman" w:cs="Times New Roman" w:eastAsia="Times New Roman" w:hAnsi="Times New Roman"/>
          <w:b/>
          <w:bCs/>
          <w:sz w:val="24"/>
          <w:szCs w:val="24"/>
        </w:rPr>
        <w:t xml:space="preserve">2.1 SINASC Data Quality and Applications</w:t>
      </w:r>
    </w:p>
    <w:p>
      <w:pPr>
        <w:spacing w:after="160" w:before="0"/>
        <w:ind w:firstLine="720"/>
        <w:jc w:val="both"/>
      </w:pPr>
      <w:r>
        <w:rPr>
          <w:rFonts w:ascii="Times New Roman" w:cs="Times New Roman" w:eastAsia="Times New Roman" w:hAnsi="Times New Roman"/>
          <w:sz w:val="24"/>
          <w:szCs w:val="24"/>
        </w:rPr>
        <w:t xml:space="preserve">SINASC has been extensively evaluated for coverage and data quality. Jorge et al. [2] assessed a national sample and found high completeness for most variables, with the exception of gestational age (kappa = 0.461) and prenatal visits. Lima et al. [11] documented substantial improvements in SINASC adequacy between 2000 and 2010, with the national index rising from 80.5 to 90.9. These studies underscore both the system's epidemiological value and the need for careful data harmonisation in analytic pipelines.</w:t>
      </w:r>
    </w:p>
    <w:p>
      <w:pPr>
        <w:pStyle w:val="Heading2"/>
        <w:spacing w:after="100" w:before="280"/>
      </w:pPr>
      <w:r>
        <w:rPr>
          <w:rFonts w:ascii="Times New Roman" w:cs="Times New Roman" w:eastAsia="Times New Roman" w:hAnsi="Times New Roman"/>
          <w:b/>
          <w:bCs/>
          <w:sz w:val="24"/>
          <w:szCs w:val="24"/>
        </w:rPr>
        <w:t xml:space="preserve">2.2 Climate–Perinatal Associations</w:t>
      </w:r>
    </w:p>
    <w:p>
      <w:pPr>
        <w:spacing w:after="160" w:before="0"/>
        <w:ind w:firstLine="720"/>
        <w:jc w:val="both"/>
      </w:pPr>
      <w:r>
        <w:rPr>
          <w:rFonts w:ascii="Times New Roman" w:cs="Times New Roman" w:eastAsia="Times New Roman" w:hAnsi="Times New Roman"/>
          <w:sz w:val="24"/>
          <w:szCs w:val="24"/>
        </w:rPr>
        <w:t xml:space="preserve">A growing body of evidence links gestational heat exposure with adverse perinatal outcomes. Chersich et al. [4] conducted a systematic review and meta-analysis of 70 studies, finding consistent associations between high temperatures and preterm birth, low birth weight, and stillbirth. Lakhoo et al. [5] expanded this analysis to 198 studies across 66 countries, reporting odds ratios of 1.04 per 1°C temperature increase for preterm birth (95% CI: 1.03–1.06). Syed et al. [6] identified important gaps in the literature from the Global South, including Brazil, motivating the need for data infrastructure to support such analyses.</w:t>
      </w:r>
    </w:p>
    <w:p>
      <w:pPr>
        <w:pStyle w:val="Heading2"/>
        <w:spacing w:after="100" w:before="280"/>
      </w:pPr>
      <w:r>
        <w:rPr>
          <w:rFonts w:ascii="Times New Roman" w:cs="Times New Roman" w:eastAsia="Times New Roman" w:hAnsi="Times New Roman"/>
          <w:b/>
          <w:bCs/>
          <w:sz w:val="24"/>
          <w:szCs w:val="24"/>
        </w:rPr>
        <w:t xml:space="preserve">2.3 Biomedical Knowledge Graphs</w:t>
      </w:r>
    </w:p>
    <w:p>
      <w:pPr>
        <w:spacing w:after="160" w:before="0"/>
        <w:ind w:firstLine="720"/>
        <w:jc w:val="both"/>
      </w:pPr>
      <w:r>
        <w:rPr>
          <w:rFonts w:ascii="Times New Roman" w:cs="Times New Roman" w:eastAsia="Times New Roman" w:hAnsi="Times New Roman"/>
          <w:sz w:val="24"/>
          <w:szCs w:val="24"/>
        </w:rPr>
        <w:t xml:space="preserve">Knowledge graphs have emerged as a critical infrastructure for biomedical data integration [8]. The OBO Foundry principles—open, orthogonal, formally defined ontologies aligned with BFO—have proven successful across domains including gene function (Gene Ontology), anatomy (FMA), and clinical investigations (OBI) [10]. Arp, Smith, and Spear [12] formalized best practices for BFO-conformant ontology development. In the clinical domain, knowledge graphs have been applied to drug repurposing, phenotyping, and EHR integration [9], but applications to national perinatal surveillance systems remain absent from the literature.</w:t>
      </w:r>
    </w:p>
    <w:p>
      <w:pPr>
        <w:pStyle w:val="Heading2"/>
        <w:spacing w:after="100" w:before="280"/>
      </w:pPr>
      <w:r>
        <w:rPr>
          <w:rFonts w:ascii="Times New Roman" w:cs="Times New Roman" w:eastAsia="Times New Roman" w:hAnsi="Times New Roman"/>
          <w:b/>
          <w:bCs/>
          <w:sz w:val="24"/>
          <w:szCs w:val="24"/>
        </w:rPr>
        <w:t xml:space="preserve">2.4 Brazilian Climate Data</w:t>
      </w:r>
    </w:p>
    <w:p>
      <w:pPr>
        <w:spacing w:after="160" w:before="0"/>
        <w:ind w:firstLine="720"/>
        <w:jc w:val="both"/>
      </w:pPr>
      <w:r>
        <w:rPr>
          <w:rFonts w:ascii="Times New Roman" w:cs="Times New Roman" w:eastAsia="Times New Roman" w:hAnsi="Times New Roman"/>
          <w:sz w:val="24"/>
          <w:szCs w:val="24"/>
        </w:rPr>
        <w:t xml:space="preserve">Xavier et al. [7] developed the Brazilian Daily Weather Gridded Data (BR-DWGD), providing daily meteorological variables (temperature, precipitation, humidity, solar radiation) at 0.1° × 0.1° spatial resolution from 1961 to the present. The dataset was updated through 2024 as part of the Climaterna project and represents the most comprehensive gridded climate dataset available for the Brazilian territory. Its spatial resolution supports linkage to municipal-level health records via centroid-to-grid-cell spatial joins.</w:t>
      </w:r>
    </w:p>
    <w:p>
      <w:pPr>
        <w:pStyle w:val="Heading1"/>
        <w:spacing w:after="120" w:before="360"/>
      </w:pPr>
      <w:r>
        <w:rPr>
          <w:rFonts w:ascii="Times New Roman" w:cs="Times New Roman" w:eastAsia="Times New Roman" w:hAnsi="Times New Roman"/>
          <w:b/>
          <w:bCs/>
          <w:sz w:val="26"/>
          <w:szCs w:val="26"/>
        </w:rPr>
        <w:t xml:space="preserve">3. Methods</w:t>
      </w:r>
    </w:p>
    <w:p>
      <w:pPr>
        <w:pStyle w:val="Heading2"/>
        <w:spacing w:after="100" w:before="280"/>
      </w:pPr>
      <w:r>
        <w:rPr>
          <w:rFonts w:ascii="Times New Roman" w:cs="Times New Roman" w:eastAsia="Times New Roman" w:hAnsi="Times New Roman"/>
          <w:b/>
          <w:bCs/>
          <w:sz w:val="24"/>
          <w:szCs w:val="24"/>
        </w:rPr>
        <w:t xml:space="preserve">3.1 Data Sources</w:t>
      </w:r>
    </w:p>
    <w:p>
      <w:pPr>
        <w:spacing w:after="160" w:before="0"/>
        <w:ind w:firstLine="720"/>
        <w:jc w:val="both"/>
      </w:pPr>
      <w:r>
        <w:rPr>
          <w:rFonts w:ascii="Times New Roman" w:cs="Times New Roman" w:eastAsia="Times New Roman" w:hAnsi="Times New Roman"/>
          <w:sz w:val="24"/>
          <w:szCs w:val="24"/>
        </w:rPr>
        <w:t xml:space="preserve">Four data sources were integrated (Table 2). SINASC provides individual-level birth records including gestational age, birth weight, Apgar scores, delivery type, maternal age, prenatal visits, and municipality of residence, covering all 27 Brazilian states from 2015 to 2024 (n = 27,092,283 records) [1]. SIM provides individual-level neonatal death records with cause of death coded in ICD-10, covering the same period (n = 203,973 neonatal deaths) [13]. BR-DWGD provides daily gridded climate data at 0.1° × 0.1° resolution, including maximum and mean temperature, precipitation, relative humidity, solar radiation, and thermal amplitude [7]. IBGE provides population estimates, municipal HDI (IDHM), and geographic coordinates for all 5,570 Brazilian municipalities (Census 2022).</w:t>
      </w:r>
    </w:p>
    <w:p>
      <w:pPr>
        <w:pStyle w:val="Heading2"/>
        <w:spacing w:after="100" w:before="280"/>
      </w:pPr>
      <w:r>
        <w:rPr>
          <w:rFonts w:ascii="Times New Roman" w:cs="Times New Roman" w:eastAsia="Times New Roman" w:hAnsi="Times New Roman"/>
          <w:b/>
          <w:bCs/>
          <w:sz w:val="24"/>
          <w:szCs w:val="24"/>
        </w:rPr>
        <w:t xml:space="preserve">3.2 Ontology Design</w:t>
      </w:r>
    </w:p>
    <w:p>
      <w:pPr>
        <w:pStyle w:val="Heading3"/>
        <w:spacing w:after="80" w:before="200"/>
      </w:pPr>
      <w:r>
        <w:rPr>
          <w:rFonts w:ascii="Times New Roman" w:cs="Times New Roman" w:eastAsia="Times New Roman" w:hAnsi="Times New Roman"/>
          <w:b/>
          <w:bCs/>
          <w:sz w:val="24"/>
          <w:szCs w:val="24"/>
        </w:rPr>
        <w:t xml:space="preserve">3.2.1 Design Principles</w:t>
      </w:r>
    </w:p>
    <w:p>
      <w:pPr>
        <w:spacing w:after="160" w:before="0"/>
        <w:ind w:firstLine="720"/>
        <w:jc w:val="both"/>
      </w:pPr>
      <w:r>
        <w:rPr>
          <w:rFonts w:ascii="Times New Roman" w:cs="Times New Roman" w:eastAsia="Times New Roman" w:hAnsi="Times New Roman"/>
          <w:sz w:val="24"/>
          <w:szCs w:val="24"/>
        </w:rPr>
        <w:t xml:space="preserve">The PerinatalKG ontology was developed following OBO Foundry principles [10]: (1) open licence (Apache 2.0); (2) formal textual definitions using IAO:0000115 for all core classes; (3) OWL 2 DL expressivity for decidable automated reasoning; (4) BFO alignment for interoperability; and (5) use of existing terms from SNOMED-CT, ICD-10, and LOINC before creating new terms. The ontology was developed iteratively using rdflib 6.x and validated with the owlrl OWL RL reasoner.</w:t>
      </w:r>
    </w:p>
    <w:p>
      <w:pPr>
        <w:pStyle w:val="Heading3"/>
        <w:spacing w:after="80" w:before="200"/>
      </w:pPr>
      <w:r>
        <w:rPr>
          <w:rFonts w:ascii="Times New Roman" w:cs="Times New Roman" w:eastAsia="Times New Roman" w:hAnsi="Times New Roman"/>
          <w:b/>
          <w:bCs/>
          <w:sz w:val="24"/>
          <w:szCs w:val="24"/>
        </w:rPr>
        <w:t xml:space="preserve">3.2.2 Class Hierarchy</w:t>
      </w:r>
    </w:p>
    <w:p>
      <w:pPr>
        <w:spacing w:after="160" w:before="0"/>
        <w:ind w:firstLine="720"/>
        <w:jc w:val="both"/>
      </w:pPr>
      <w:r>
        <w:rPr>
          <w:rFonts w:ascii="Times New Roman" w:cs="Times New Roman" w:eastAsia="Times New Roman" w:hAnsi="Times New Roman"/>
          <w:sz w:val="24"/>
          <w:szCs w:val="24"/>
        </w:rPr>
        <w:t xml:space="preserve">The ontology comprises 35 OWL 2 classes organized into five conceptual modules (Table 1, Figure 2a–b). The Birth module covers the complete WHO classification of gestational age categories: PretermBirth (&lt; 37 weeks), further subclassified into ExtremelyPreterm (&lt; 28w), VeryPreterm (28–31w), ModeratelyPreterm (32–33w), and LatePreterm (34–36w); TermBirth (37–41w); and PostTermBirth (≥ 42w). The birth weight module includes LowBirthWeight (&lt; 2500g), VeryLowBirthWeight (&lt; 1500g), ExtremeLowBirthWeight (&lt; 1000g), and MacrosomicBirth (&gt; 4000g). HighRiskBirth is defined as an OWL equivalentClass axiom: HighRiskBirth ≡ PretermBirth ⊓ LowBirthWeight, enabling automated classification of high-risk neonates. The Mother, Delivery, Location, and ClimateExposure modules complete the domain coverage.</w:t>
      </w:r>
    </w:p>
    <w:p>
      <w:pPr>
        <w:pStyle w:val="Heading3"/>
        <w:spacing w:after="80" w:before="200"/>
      </w:pPr>
      <w:r>
        <w:rPr>
          <w:rFonts w:ascii="Times New Roman" w:cs="Times New Roman" w:eastAsia="Times New Roman" w:hAnsi="Times New Roman"/>
          <w:b/>
          <w:bCs/>
          <w:sz w:val="24"/>
          <w:szCs w:val="24"/>
        </w:rPr>
        <w:t xml:space="preserve">3.2.3 BFO Alignment</w:t>
      </w:r>
    </w:p>
    <w:p>
      <w:pPr>
        <w:spacing w:after="160" w:before="0"/>
        <w:ind w:firstLine="720"/>
        <w:jc w:val="both"/>
      </w:pPr>
      <w:r>
        <w:rPr>
          <w:rFonts w:ascii="Times New Roman" w:cs="Times New Roman" w:eastAsia="Times New Roman" w:hAnsi="Times New Roman"/>
          <w:sz w:val="24"/>
          <w:szCs w:val="24"/>
        </w:rPr>
        <w:t xml:space="preserve">All core classes were aligned with the Basic Formal Ontology (BFO) 2.0 [12]: Birth, Delivery, and ClimateExposure are subclasses of BFO:Occurrent (processes extending through time); Mother is a subclass of BFO:MaterialEntity (independent continuant); Location, Municipality, State, and Region are subclasses of BFO:Site (spatial region). This alignment enables interoperability with any BFO-conformant ontology in the OBO Foundry ecosystem.</w:t>
      </w:r>
    </w:p>
    <w:p>
      <w:pPr>
        <w:pStyle w:val="Heading3"/>
        <w:spacing w:after="80" w:before="200"/>
      </w:pPr>
      <w:r>
        <w:rPr>
          <w:rFonts w:ascii="Times New Roman" w:cs="Times New Roman" w:eastAsia="Times New Roman" w:hAnsi="Times New Roman"/>
          <w:b/>
          <w:bCs/>
          <w:sz w:val="24"/>
          <w:szCs w:val="24"/>
        </w:rPr>
        <w:t xml:space="preserve">3.2.4 Terminology Mappings</w:t>
      </w:r>
    </w:p>
    <w:p>
      <w:pPr>
        <w:spacing w:after="160" w:before="0"/>
        <w:ind w:firstLine="720"/>
        <w:jc w:val="both"/>
      </w:pPr>
      <w:r>
        <w:rPr>
          <w:rFonts w:ascii="Times New Roman" w:cs="Times New Roman" w:eastAsia="Times New Roman" w:hAnsi="Times New Roman"/>
          <w:sz w:val="24"/>
          <w:szCs w:val="24"/>
        </w:rPr>
        <w:t xml:space="preserve">All classes were mapped to standard clinical terminologies using SKOS relations: 16 SNOMED-CT exactMatch mappings (e.g., PretermBirth → SNOMED:395122000; LowBirthWeight → SNOMED:276610007), 13 ICD-10 closeMatch mappings (e.g., PretermBirth → ICD-10:P07; CesareanDelivery → ICD-10:O82), and 7 LOINC exactMatch mappings for data properties (e.g., birthWeight → LOINC:8339-4; gestationalAge → LOINC:11884-4). These mappings enable semantic integration with electronic health record systems and international perinatal registries.</w:t>
      </w:r>
    </w:p>
    <w:p>
      <w:pPr>
        <w:pStyle w:val="Heading2"/>
        <w:spacing w:after="100" w:before="280"/>
      </w:pPr>
      <w:r>
        <w:rPr>
          <w:rFonts w:ascii="Times New Roman" w:cs="Times New Roman" w:eastAsia="Times New Roman" w:hAnsi="Times New Roman"/>
          <w:b/>
          <w:bCs/>
          <w:sz w:val="24"/>
          <w:szCs w:val="24"/>
        </w:rPr>
        <w:t xml:space="preserve">3.3 ETL Pipeline</w:t>
      </w:r>
    </w:p>
    <w:p>
      <w:pPr>
        <w:spacing w:after="160" w:before="0"/>
        <w:ind w:firstLine="720"/>
        <w:jc w:val="both"/>
      </w:pPr>
      <w:r>
        <w:rPr>
          <w:rFonts w:ascii="Times New Roman" w:cs="Times New Roman" w:eastAsia="Times New Roman" w:hAnsi="Times New Roman"/>
          <w:sz w:val="24"/>
          <w:szCs w:val="24"/>
        </w:rPr>
        <w:t xml:space="preserve">The extraction, transformation, and loading (ETL) pipeline comprises four stages (Figure 3). First, SINASC and SIM DBC files were downloaded from DATASUS FTP servers and converted to CSV using the R package microdatasus, then stored as Parquet files using the Polars high-performance dataframe library. Second, climate linkage was performed by spatially joining each municipality's centroid coordinates to the nearest BR-DWGD grid cell (0.1° × 0.1°) and extracting daily temperature and precipitation values for each trimester of pregnancy (T1: weeks 1–12; T2: weeks 13–26; T3: weeks 27–birth). Third, RDF conversion was performed using rdflib, generating approximately 15 triples per birth record. Fourth, the resulting Turtle (.ttl) files were loaded into the Apache Jena Fuseki 6.0.0 triplestore via HTTP POST, utilizing TDB2 persistent storage.</w:t>
      </w:r>
    </w:p>
    <w:p>
      <w:pPr>
        <w:pStyle w:val="Heading2"/>
        <w:spacing w:after="100" w:before="280"/>
      </w:pPr>
      <w:r>
        <w:rPr>
          <w:rFonts w:ascii="Times New Roman" w:cs="Times New Roman" w:eastAsia="Times New Roman" w:hAnsi="Times New Roman"/>
          <w:b/>
          <w:bCs/>
          <w:sz w:val="24"/>
          <w:szCs w:val="24"/>
        </w:rPr>
        <w:t xml:space="preserve">3.4 SINASC–SIM Probabilistic Linkage</w:t>
      </w:r>
    </w:p>
    <w:p>
      <w:pPr>
        <w:spacing w:after="160" w:before="0"/>
        <w:ind w:firstLine="720"/>
        <w:jc w:val="both"/>
      </w:pPr>
      <w:r>
        <w:rPr>
          <w:rFonts w:ascii="Times New Roman" w:cs="Times New Roman" w:eastAsia="Times New Roman" w:hAnsi="Times New Roman"/>
          <w:sz w:val="24"/>
          <w:szCs w:val="24"/>
        </w:rPr>
        <w:t xml:space="preserve">Neonatal death records from SIM were probabilistically linked to birth records from SINASC using a simplified Fellegi-Sunter model [14]. Blocking was performed on two variables: date of birth (DTNASC, exact match) and municipality of residence (CODMUNRES, first six digits). Candidate pairs passing the blocking step received a composite score based on three matching variables: birth weight (PESO: +3 points if difference ≤ 50g, +2 if ≤ 100g, +1 if ≤ 200g), gestational age (SEMAGESTAC: +2 if exact, +1 if difference ≤ 1 week), and maternal age (IDADEMAE: +2 if exact, +1 if difference ≤ 1 year). The maximum possible score was 7. Pairs with score ≥ 5 were classified as confirmed matches; score 3–4 as probable matches. In cases of multiple candidates for a single SIM record, the candidate with the highest score (ties broken by birth weight proximity) was retained, ensuring a one-to-one assignment.</w:t>
      </w:r>
    </w:p>
    <w:p>
      <w:pPr>
        <w:pStyle w:val="Heading2"/>
        <w:spacing w:after="100" w:before="280"/>
      </w:pPr>
      <w:r>
        <w:rPr>
          <w:rFonts w:ascii="Times New Roman" w:cs="Times New Roman" w:eastAsia="Times New Roman" w:hAnsi="Times New Roman"/>
          <w:b/>
          <w:bCs/>
          <w:sz w:val="24"/>
          <w:szCs w:val="24"/>
        </w:rPr>
        <w:t xml:space="preserve">3.5 SPARQL Endpoint</w:t>
      </w:r>
    </w:p>
    <w:p>
      <w:pPr>
        <w:spacing w:after="160" w:before="0"/>
        <w:ind w:firstLine="720"/>
        <w:jc w:val="both"/>
      </w:pPr>
      <w:r>
        <w:rPr>
          <w:rFonts w:ascii="Times New Roman" w:cs="Times New Roman" w:eastAsia="Times New Roman" w:hAnsi="Times New Roman"/>
          <w:sz w:val="24"/>
          <w:szCs w:val="24"/>
        </w:rPr>
        <w:t xml:space="preserve">The RDF dataset was served via Apache Jena Fuseki 6.0.0 [15], a Java-based SPARQL 1.1 server with TDB2 native triple storage. The endpoint was deployed on commodity hardware (24-core CPU, 32 GB RAM, Ubuntu 24.04 LTS) and exposed the SINASC–climate knowledge graph at /perinatalkg/sparql. All SPARQL queries used standard PREFIX declarations for rdf:, owl:, pkg: (http://perinatalkg.org/ontology/), and pkgr: (http://perinatalkg.org/resource/).</w:t>
      </w:r>
    </w:p>
    <w:p>
      <w:pPr>
        <w:pStyle w:val="Heading2"/>
        <w:spacing w:after="100" w:before="280"/>
      </w:pPr>
      <w:r>
        <w:rPr>
          <w:rFonts w:ascii="Times New Roman" w:cs="Times New Roman" w:eastAsia="Times New Roman" w:hAnsi="Times New Roman"/>
          <w:b/>
          <w:bCs/>
          <w:sz w:val="24"/>
          <w:szCs w:val="24"/>
        </w:rPr>
        <w:t xml:space="preserve">3.6 Validation</w:t>
      </w:r>
    </w:p>
    <w:p>
      <w:pPr>
        <w:spacing w:after="160" w:before="0"/>
        <w:ind w:firstLine="720"/>
        <w:jc w:val="both"/>
      </w:pPr>
      <w:r>
        <w:rPr>
          <w:rFonts w:ascii="Times New Roman" w:cs="Times New Roman" w:eastAsia="Times New Roman" w:hAnsi="Times New Roman"/>
          <w:sz w:val="24"/>
          <w:szCs w:val="24"/>
        </w:rPr>
        <w:t xml:space="preserve">Ontology consistency was verified using the owlrl OWL RL reasoner. SHACL validation enforced clinical constraints on five node shapes, including birth weight (200–7,000g), gestational age (20–45 weeks), and Apgar scores (0–10). Linkage quality was assessed by computing the proportion of SIM records successfully linked (recall), the distribution of linkage scores, and the concordance of birth weight between matched SINASC and SIM records.</w:t>
      </w:r>
    </w:p>
    <w:p>
      <w:pPr>
        <w:pStyle w:val="Heading1"/>
        <w:spacing w:after="120" w:before="360"/>
      </w:pPr>
      <w:r>
        <w:rPr>
          <w:rFonts w:ascii="Times New Roman" w:cs="Times New Roman" w:eastAsia="Times New Roman" w:hAnsi="Times New Roman"/>
          <w:b/>
          <w:bCs/>
          <w:sz w:val="26"/>
          <w:szCs w:val="26"/>
        </w:rPr>
        <w:t xml:space="preserve">4. Results</w:t>
      </w:r>
    </w:p>
    <w:p>
      <w:pPr>
        <w:pStyle w:val="Heading2"/>
        <w:spacing w:after="100" w:before="280"/>
      </w:pPr>
      <w:r>
        <w:rPr>
          <w:rFonts w:ascii="Times New Roman" w:cs="Times New Roman" w:eastAsia="Times New Roman" w:hAnsi="Times New Roman"/>
          <w:b/>
          <w:bCs/>
          <w:sz w:val="24"/>
          <w:szCs w:val="24"/>
        </w:rPr>
        <w:t xml:space="preserve">4.1 Ontology Statistics</w:t>
      </w:r>
    </w:p>
    <w:p>
      <w:pPr>
        <w:spacing w:after="160" w:before="0"/>
        <w:ind w:firstLine="720"/>
        <w:jc w:val="both"/>
      </w:pPr>
      <w:r>
        <w:rPr>
          <w:rFonts w:ascii="Times New Roman" w:cs="Times New Roman" w:eastAsia="Times New Roman" w:hAnsi="Times New Roman"/>
          <w:sz w:val="24"/>
          <w:szCs w:val="24"/>
        </w:rPr>
        <w:t xml:space="preserve">The PerinatalKG ontology (version 0.3.0) comprises 414 RDF triples encoding 35 OWL 2 classes, 19 data properties, and 8 object properties (Table 1). All 35 classes carry bilingual labels (Portuguese and English) and 6 core classes carry formal textual definitions (IAO:0000115). OWL RL reasoning over the ontology inferred 739 additional triples in 0.24 seconds and produced zero instances of owl:Nothing, confirming logical consistency.</w:t>
      </w:r>
    </w:p>
    <w:p>
      <w:pPr>
        <w:pStyle w:val="Heading2"/>
        <w:spacing w:after="100" w:before="280"/>
      </w:pPr>
      <w:r>
        <w:rPr>
          <w:rFonts w:ascii="Times New Roman" w:cs="Times New Roman" w:eastAsia="Times New Roman" w:hAnsi="Times New Roman"/>
          <w:b/>
          <w:bCs/>
          <w:sz w:val="24"/>
          <w:szCs w:val="24"/>
        </w:rPr>
        <w:t xml:space="preserve">4.2 Dataset Integration</w:t>
      </w:r>
    </w:p>
    <w:p>
      <w:pPr>
        <w:spacing w:after="160" w:before="0"/>
        <w:ind w:firstLine="720"/>
        <w:jc w:val="both"/>
      </w:pPr>
      <w:r>
        <w:rPr>
          <w:rFonts w:ascii="Times New Roman" w:cs="Times New Roman" w:eastAsia="Times New Roman" w:hAnsi="Times New Roman"/>
          <w:sz w:val="24"/>
          <w:szCs w:val="24"/>
        </w:rPr>
        <w:t xml:space="preserve">Table 2 summarises the integrated datasets. The complete national SINASC archive covers 27,092,283 live births across 27 states from 2015 to 2024, representing 100% of available annual state-level files. The SIM neonatal mortality archive covers 203,973 deaths across the same period. IBGE municipal data cover all 5,570 Brazilian municipalities, including population estimates and municipal HDI values. BR-DWGD provides approximately 18,000 grid cells covering the Brazilian territory at 0.1° × 0.1° resolution.</w:t>
      </w:r>
    </w:p>
    <w:p>
      <w:pPr>
        <w:pStyle w:val="Heading2"/>
        <w:spacing w:after="100" w:before="280"/>
      </w:pPr>
      <w:r>
        <w:rPr>
          <w:rFonts w:ascii="Times New Roman" w:cs="Times New Roman" w:eastAsia="Times New Roman" w:hAnsi="Times New Roman"/>
          <w:b/>
          <w:bCs/>
          <w:sz w:val="24"/>
          <w:szCs w:val="24"/>
        </w:rPr>
        <w:t xml:space="preserve">4.3 Probabilistic Linkage</w:t>
      </w:r>
    </w:p>
    <w:p>
      <w:pPr>
        <w:spacing w:after="160" w:before="0"/>
        <w:ind w:firstLine="720"/>
        <w:jc w:val="both"/>
      </w:pPr>
      <w:r>
        <w:rPr>
          <w:rFonts w:ascii="Times New Roman" w:cs="Times New Roman" w:eastAsia="Times New Roman" w:hAnsi="Times New Roman"/>
          <w:sz w:val="24"/>
          <w:szCs w:val="24"/>
        </w:rPr>
        <w:t xml:space="preserve">The SINASC–SIM probabilistic linkage was evaluated in Goiás state for the year 2020, using 92,585 SINASC births and 667 SIM neonatal deaths as the reference (Table 4). Of 667 neonatal deaths, 568 (85.2%) were successfully linked to a birth record. Among linked records, 72.9% (n = 414) achieved high-confidence scores (6–7/7), reflecting exact or near-exact agreement across all three scoring variables. The mean linkage score was 6.1 (maximum 7). Birth weight concordance between matched SINASC and SIM records was 74.3% for exact match and 91.2% for matches within 100g, consistent with known inter-system transcription differences. Of linked records, 78.0% (n = 400) corresponded to early neonatal deaths (0–7 days), consistent with the expected distribution of neonatal mortality.</w:t>
      </w:r>
    </w:p>
    <w:p>
      <w:pPr>
        <w:pStyle w:val="Heading2"/>
        <w:spacing w:after="100" w:before="280"/>
      </w:pPr>
      <w:r>
        <w:rPr>
          <w:rFonts w:ascii="Times New Roman" w:cs="Times New Roman" w:eastAsia="Times New Roman" w:hAnsi="Times New Roman"/>
          <w:b/>
          <w:bCs/>
          <w:sz w:val="24"/>
          <w:szCs w:val="24"/>
        </w:rPr>
        <w:t xml:space="preserve">4.4 Knowledge Graph Scale and Performance</w:t>
      </w:r>
    </w:p>
    <w:p>
      <w:pPr>
        <w:spacing w:after="160" w:before="0"/>
        <w:ind w:firstLine="720"/>
        <w:jc w:val="both"/>
      </w:pPr>
      <w:r>
        <w:rPr>
          <w:rFonts w:ascii="Times New Roman" w:cs="Times New Roman" w:eastAsia="Times New Roman" w:hAnsi="Times New Roman"/>
          <w:sz w:val="24"/>
          <w:szCs w:val="24"/>
        </w:rPr>
        <w:t xml:space="preserve">All 934,806 births registered in Goiás state from 2015 to 2024 were converted to RDF, generating 13,334,553 triples distributed across 10 annual Turtle files (total 719.6 MB). Conversion throughput was 4,443 births per second, yielding a total processing time of 210 seconds. Loading into the Fuseki TDB2 triplestore required 125 seconds via HTTP POST. Extrapolating to the national dataset of 27 million births, sequential conversion would require approximately 100 minutes; parallel processing across 27 states would reduce this to approximately 4 minutes.</w:t>
      </w:r>
    </w:p>
    <w:p>
      <w:pPr>
        <w:spacing w:after="160" w:before="0"/>
        <w:ind w:firstLine="720"/>
        <w:jc w:val="both"/>
      </w:pPr>
      <w:r>
        <w:rPr>
          <w:rFonts w:ascii="Times New Roman" w:cs="Times New Roman" w:eastAsia="Times New Roman" w:hAnsi="Times New Roman"/>
          <w:sz w:val="24"/>
          <w:szCs w:val="24"/>
        </w:rPr>
        <w:t xml:space="preserve">SPARQL query performance over 13,334,553 triples is summarised in Table 3. Aggregate count queries (e.g., COUNT births, COUNT low birth weight) returned results in 0.11–7.58 seconds on commodity hardware. The slowest query—COUNT births over the full rdf:type pkg:Birth pattern—required 7.58 seconds due to the large number of typed individuals; subclass queries benefited from TDB2 index optimization and returned in under 0.5 seconds. The average birth weight query (AVG) returned in 0.46 seconds.</w:t>
      </w:r>
    </w:p>
    <w:p>
      <w:pPr>
        <w:pStyle w:val="Heading2"/>
        <w:spacing w:after="100" w:before="280"/>
      </w:pPr>
      <w:r>
        <w:rPr>
          <w:rFonts w:ascii="Times New Roman" w:cs="Times New Roman" w:eastAsia="Times New Roman" w:hAnsi="Times New Roman"/>
          <w:b/>
          <w:bCs/>
          <w:sz w:val="24"/>
          <w:szCs w:val="24"/>
        </w:rPr>
        <w:t xml:space="preserve">4.5 Epidemiological Findings (Goiás, 2015–2024)</w:t>
      </w:r>
    </w:p>
    <w:p>
      <w:pPr>
        <w:spacing w:after="160" w:before="0"/>
        <w:ind w:firstLine="720"/>
        <w:jc w:val="both"/>
      </w:pPr>
      <w:r>
        <w:rPr>
          <w:rFonts w:ascii="Times New Roman" w:cs="Times New Roman" w:eastAsia="Times New Roman" w:hAnsi="Times New Roman"/>
          <w:sz w:val="24"/>
          <w:szCs w:val="24"/>
        </w:rPr>
        <w:t xml:space="preserve">Preliminary epidemiological characterisation of the Goiás knowledge graph revealed a preterm birth rate of 10.8% (n = 101,287/934,807), consistent with national estimates. The low birth weight rate was 8.9% (n = 83,660). Of all births, 41.4% (n = 387,012) were exposed to extreme heat conditions (temperature &gt; 90th percentile) during the third trimester (T3). The mean birth weight across the full cohort was 3,141 g. These summary statistics are directly derivable from the SPARQL endpoint, demonstrating the system's capacity for real-time epidemiological surveillance.</w:t>
      </w:r>
    </w:p>
    <w:p>
      <w:pPr>
        <w:pStyle w:val="Heading1"/>
        <w:spacing w:after="120" w:before="360"/>
      </w:pPr>
      <w:r>
        <w:rPr>
          <w:rFonts w:ascii="Times New Roman" w:cs="Times New Roman" w:eastAsia="Times New Roman" w:hAnsi="Times New Roman"/>
          <w:b/>
          <w:bCs/>
          <w:sz w:val="26"/>
          <w:szCs w:val="26"/>
        </w:rPr>
        <w:t xml:space="preserve">5. Discussion</w:t>
      </w:r>
    </w:p>
    <w:p>
      <w:pPr>
        <w:pStyle w:val="Heading2"/>
        <w:spacing w:after="100" w:before="280"/>
      </w:pPr>
      <w:r>
        <w:rPr>
          <w:rFonts w:ascii="Times New Roman" w:cs="Times New Roman" w:eastAsia="Times New Roman" w:hAnsi="Times New Roman"/>
          <w:b/>
          <w:bCs/>
          <w:sz w:val="24"/>
          <w:szCs w:val="24"/>
        </w:rPr>
        <w:t xml:space="preserve">5.1 Contributions</w:t>
      </w:r>
    </w:p>
    <w:p>
      <w:pPr>
        <w:spacing w:after="160" w:before="0"/>
        <w:ind w:firstLine="720"/>
        <w:jc w:val="both"/>
      </w:pPr>
      <w:r>
        <w:rPr>
          <w:rFonts w:ascii="Times New Roman" w:cs="Times New Roman" w:eastAsia="Times New Roman" w:hAnsi="Times New Roman"/>
          <w:sz w:val="24"/>
          <w:szCs w:val="24"/>
        </w:rPr>
        <w:t xml:space="preserve">PerinatalKG represents, to our knowledge, the first formal OWL 2 knowledge graph for Brazilian perinatal surveillance data. By integrating SINASC, SIM, BR-DWGD, and IBGE under a semantically rich ontology, the system enables query patterns that are impossible in flat tabular environments. For example, identifying all preterm births exposed to extreme heat in T3 that subsequently died of neonatal sepsis (ICD-10: P36) requires a single SPARQL query spanning three data sources, whereas the equivalent operation in a relational database would require complex multi-table joins with manually defined foreign keys.</w:t>
      </w:r>
    </w:p>
    <w:p>
      <w:pPr>
        <w:spacing w:after="160" w:before="0"/>
        <w:ind w:firstLine="720"/>
        <w:jc w:val="both"/>
      </w:pPr>
      <w:r>
        <w:rPr>
          <w:rFonts w:ascii="Times New Roman" w:cs="Times New Roman" w:eastAsia="Times New Roman" w:hAnsi="Times New Roman"/>
          <w:sz w:val="24"/>
          <w:szCs w:val="24"/>
        </w:rPr>
        <w:t xml:space="preserve">The BFO alignment and standard terminology mappings ensure that PerinatalKG can interoperate with any OBO Foundry ontology. The SNOMED-CT and ICD-10 mappings allow perinatal concepts to be linked to clinical encounter data from hospital information systems, enabling future integration with electronic health records. The LOINC mappings for data properties (birthWeight, gestationalAge, Apgar scores) follow international standards for clinical observations, supporting harmonisation with cross-national registries.</w:t>
      </w:r>
    </w:p>
    <w:p>
      <w:pPr>
        <w:pStyle w:val="Heading2"/>
        <w:spacing w:after="100" w:before="280"/>
      </w:pPr>
      <w:r>
        <w:rPr>
          <w:rFonts w:ascii="Times New Roman" w:cs="Times New Roman" w:eastAsia="Times New Roman" w:hAnsi="Times New Roman"/>
          <w:b/>
          <w:bCs/>
          <w:sz w:val="24"/>
          <w:szCs w:val="24"/>
        </w:rPr>
        <w:t xml:space="preserve">5.2 Probabilistic Linkage</w:t>
      </w:r>
    </w:p>
    <w:p>
      <w:pPr>
        <w:spacing w:after="160" w:before="0"/>
        <w:ind w:firstLine="720"/>
        <w:jc w:val="both"/>
      </w:pPr>
      <w:r>
        <w:rPr>
          <w:rFonts w:ascii="Times New Roman" w:cs="Times New Roman" w:eastAsia="Times New Roman" w:hAnsi="Times New Roman"/>
          <w:sz w:val="24"/>
          <w:szCs w:val="24"/>
        </w:rPr>
        <w:t xml:space="preserve">The 85.2% linkage recall achieved in Goiás (2020) is consistent with reported performance of probabilistic record linkage methods applied to Brazilian administrative health data [16]. The 14.8% of unlinked records likely reflect genuine data entry discrepancies between SINASC and SIM (which are completed by different personnel in different contexts), municipality boundary changes, and births occurring outside the reference state. The Fellegi-Sunter framework [14] provides a principled basis for this linkage; future work will extend the scoring model using additional variables available in both systems (e.g., maternal race, parity, gestational complication codes) and evaluate performance across all 27 states.</w:t>
      </w:r>
    </w:p>
    <w:p>
      <w:pPr>
        <w:pStyle w:val="Heading2"/>
        <w:spacing w:after="100" w:before="280"/>
      </w:pPr>
      <w:r>
        <w:rPr>
          <w:rFonts w:ascii="Times New Roman" w:cs="Times New Roman" w:eastAsia="Times New Roman" w:hAnsi="Times New Roman"/>
          <w:b/>
          <w:bCs/>
          <w:sz w:val="24"/>
          <w:szCs w:val="24"/>
        </w:rPr>
        <w:t xml:space="preserve">5.3 Scale and Reproducibility</w:t>
      </w:r>
    </w:p>
    <w:p>
      <w:pPr>
        <w:spacing w:after="160" w:before="0"/>
        <w:ind w:firstLine="720"/>
        <w:jc w:val="both"/>
      </w:pPr>
      <w:r>
        <w:rPr>
          <w:rFonts w:ascii="Times New Roman" w:cs="Times New Roman" w:eastAsia="Times New Roman" w:hAnsi="Times New Roman"/>
          <w:sz w:val="24"/>
          <w:szCs w:val="24"/>
        </w:rPr>
        <w:t xml:space="preserve">The pipeline throughput of 4,443 births per second demonstrates that the full national SINASC archive (27 million records) is computationally tractable on commodity hardware. The conversion and loading scripts are available in the GitHub repository, ensuring full reproducibility. The ontology is prepared for submission to the NCBO BioPortal, which will provide a persistent URI and a browsable interface for the ontology community. All 270 SINASC state-year Parquet files are available through DATASUS; the pipeline requires only the execution of etl/07_batch_rdf_pipeline.py.</w:t>
      </w:r>
    </w:p>
    <w:p>
      <w:pPr>
        <w:pStyle w:val="Heading2"/>
        <w:spacing w:after="100" w:before="280"/>
      </w:pPr>
      <w:r>
        <w:rPr>
          <w:rFonts w:ascii="Times New Roman" w:cs="Times New Roman" w:eastAsia="Times New Roman" w:hAnsi="Times New Roman"/>
          <w:b/>
          <w:bCs/>
          <w:sz w:val="24"/>
          <w:szCs w:val="24"/>
        </w:rPr>
        <w:t xml:space="preserve">5.4 Limitations</w:t>
      </w:r>
    </w:p>
    <w:p>
      <w:pPr>
        <w:spacing w:after="160" w:before="0"/>
        <w:ind w:firstLine="720"/>
        <w:jc w:val="both"/>
      </w:pPr>
      <w:r>
        <w:rPr>
          <w:rFonts w:ascii="Times New Roman" w:cs="Times New Roman" w:eastAsia="Times New Roman" w:hAnsi="Times New Roman"/>
          <w:sz w:val="24"/>
          <w:szCs w:val="24"/>
        </w:rPr>
        <w:t xml:space="preserve">Several limitations merit consideration. First, climate exposure is assigned at the municipality centroid level, representing an ecological approximation rather than individual-level exposure. Residential mobility during pregnancy and within-municipality variation in temperature are not captured. Second, the SINASC–SIM linkage lacks a gold-standard validation set for Brazilian neonatal records, precluding formal estimation of false-positive rate. Third, the current proof of concept covers only Goiás state; national deployment requires dedicated server infrastructure with at least 32 GB RAM for the Fuseki triplestore. Fourth, gestational age is recorded in SINASC as clinical estimate (kategoria), not ultrasound-confirmed, and shows the lowest inter-system agreement (kappa = 0.46) in published validation studies [2]. Fifth, the cross-sectional linkage design precludes causal inference; confounding by unmeasured socioeconomic and health-system factors must be addressed in downstream analyses.</w:t>
      </w:r>
    </w:p>
    <w:p>
      <w:pPr>
        <w:pStyle w:val="Heading2"/>
        <w:spacing w:after="100" w:before="280"/>
      </w:pPr>
      <w:r>
        <w:rPr>
          <w:rFonts w:ascii="Times New Roman" w:cs="Times New Roman" w:eastAsia="Times New Roman" w:hAnsi="Times New Roman"/>
          <w:b/>
          <w:bCs/>
          <w:sz w:val="24"/>
          <w:szCs w:val="24"/>
        </w:rPr>
        <w:t xml:space="preserve">5.5 Future Work</w:t>
      </w:r>
    </w:p>
    <w:p>
      <w:pPr>
        <w:spacing w:after="160" w:before="0"/>
        <w:ind w:firstLine="720"/>
        <w:jc w:val="both"/>
      </w:pPr>
      <w:r>
        <w:rPr>
          <w:rFonts w:ascii="Times New Roman" w:cs="Times New Roman" w:eastAsia="Times New Roman" w:hAnsi="Times New Roman"/>
          <w:sz w:val="24"/>
          <w:szCs w:val="24"/>
        </w:rPr>
        <w:t xml:space="preserve">Three directions are planned. First, the SINASC–SIM linkage will be extended to all 27 states (2015–2024), yielding a national neonatal mortality knowledge graph for phenotyping studies. Second, the PerinatalKG ontology will be submitted to OBO BioPortal and formally reviewed against OBO Foundry principles. Third, a federated SPARQL endpoint architecture will be evaluated to support national-scale queries without centralising all data on a single server, addressing data governance constraints associated with Brazilian health microdata.</w:t>
      </w:r>
    </w:p>
    <w:p>
      <w:pPr>
        <w:pStyle w:val="Heading1"/>
        <w:spacing w:after="120" w:before="360"/>
      </w:pPr>
      <w:r>
        <w:rPr>
          <w:rFonts w:ascii="Times New Roman" w:cs="Times New Roman" w:eastAsia="Times New Roman" w:hAnsi="Times New Roman"/>
          <w:b/>
          <w:bCs/>
          <w:sz w:val="26"/>
          <w:szCs w:val="26"/>
        </w:rPr>
        <w:t xml:space="preserve">6. Conclusions</w:t>
      </w:r>
    </w:p>
    <w:p>
      <w:pPr>
        <w:spacing w:after="160" w:before="0"/>
        <w:ind w:firstLine="720"/>
        <w:jc w:val="both"/>
      </w:pPr>
      <w:r>
        <w:rPr>
          <w:rFonts w:ascii="Times New Roman" w:cs="Times New Roman" w:eastAsia="Times New Roman" w:hAnsi="Times New Roman"/>
          <w:sz w:val="24"/>
          <w:szCs w:val="24"/>
        </w:rPr>
        <w:t xml:space="preserve">PerinatalKG provides a semantically interoperable, formally validated knowledge graph infrastructure for perinatal epidemiology research in Brazil. The OWL 2 ontology integrates 35 classes aligned with BFO and mapped to SNOMED-CT, ICD-10, and LOINC, enabling SPARQL-based queries across birth records, climate exposures, and neonatal deaths. The probabilistic SINASC–SIM linkage achieved 85.2% recall in the proof-of-concept evaluation. SPARQL queries over 13.3 million triples return results in under 8 seconds on commodity hardware, and the pipeline projects national coverage of 27 million records in approximately 100 minutes of sequential processing. All ontology files, ETL scripts, and SPARQL examples are publicly available under an open-source licence, supporting reproducibility and reuse by the broader perinatal and environmental health research community.</w:t>
      </w:r>
    </w:p>
    <w:p>
      <w:pPr>
        <w:pBdr>
          <w:bottom w:val="single" w:color="333333" w:sz="6" w:space="1"/>
        </w:pBdr>
        <w:spacing w:after="240" w:before="240"/>
      </w:pPr>
      <w:r>
        <w:t xml:space="preserve"/>
      </w:r>
    </w:p>
    <w:p>
      <w:pPr>
        <w:pStyle w:val="Heading1"/>
        <w:spacing w:after="120" w:before="360"/>
      </w:pPr>
      <w:r>
        <w:rPr>
          <w:rFonts w:ascii="Times New Roman" w:cs="Times New Roman" w:eastAsia="Times New Roman" w:hAnsi="Times New Roman"/>
          <w:b/>
          <w:bCs/>
          <w:sz w:val="26"/>
          <w:szCs w:val="26"/>
        </w:rPr>
        <w:t xml:space="preserve">Declarations</w:t>
      </w:r>
    </w:p>
    <w:p>
      <w:pPr>
        <w:spacing w:after="80" w:before="0"/>
      </w:pPr>
      <w:r>
        <w:rPr>
          <w:rFonts w:ascii="Times New Roman" w:cs="Times New Roman" w:eastAsia="Times New Roman" w:hAnsi="Times New Roman"/>
          <w:b/>
          <w:bCs/>
          <w:sz w:val="24"/>
          <w:szCs w:val="24"/>
        </w:rPr>
        <w:t xml:space="preserve">Availability of data and materials: </w:t>
      </w:r>
      <w:r>
        <w:rPr>
          <w:rFonts w:ascii="Times New Roman" w:cs="Times New Roman" w:eastAsia="Times New Roman" w:hAnsi="Times New Roman"/>
          <w:sz w:val="24"/>
          <w:szCs w:val="24"/>
        </w:rPr>
        <w:t xml:space="preserve">Ontology, ETL pipeline code, and SPARQL examples are available at https://github.com/clarimar/perinatalkg (Apache 2.0 licence). SINASC and SIM microdata are publicly available via DATASUS (https://datasus.saude.gov.br). BR-DWGD data are publicly available at https://sites.google.com/site/alexandrecandidoxavierufes/brazilian-daily-weather-gridded-data.</w:t>
      </w:r>
    </w:p>
    <w:p>
      <w:pPr>
        <w:spacing w:after="80" w:before="0"/>
      </w:pPr>
      <w:r>
        <w:rPr>
          <w:rFonts w:ascii="Times New Roman" w:cs="Times New Roman" w:eastAsia="Times New Roman" w:hAnsi="Times New Roman"/>
          <w:b/>
          <w:bCs/>
          <w:sz w:val="24"/>
          <w:szCs w:val="24"/>
        </w:rPr>
        <w:t xml:space="preserve">Competing interests: </w:t>
      </w:r>
      <w:r>
        <w:rPr>
          <w:rFonts w:ascii="Times New Roman" w:cs="Times New Roman" w:eastAsia="Times New Roman" w:hAnsi="Times New Roman"/>
          <w:sz w:val="24"/>
          <w:szCs w:val="24"/>
        </w:rPr>
        <w:t xml:space="preserve">The authors declare no competing interests.</w:t>
      </w:r>
    </w:p>
    <w:p>
      <w:pPr>
        <w:spacing w:after="80" w:before="0"/>
      </w:pPr>
      <w:r>
        <w:rPr>
          <w:rFonts w:ascii="Times New Roman" w:cs="Times New Roman" w:eastAsia="Times New Roman" w:hAnsi="Times New Roman"/>
          <w:b/>
          <w:bCs/>
          <w:sz w:val="24"/>
          <w:szCs w:val="24"/>
        </w:rPr>
        <w:t xml:space="preserve">Funding: </w:t>
      </w:r>
      <w:r>
        <w:rPr>
          <w:rFonts w:ascii="Times New Roman" w:cs="Times New Roman" w:eastAsia="Times New Roman" w:hAnsi="Times New Roman"/>
          <w:sz w:val="24"/>
          <w:szCs w:val="24"/>
        </w:rPr>
        <w:t xml:space="preserve">This research received no specific grant from any funding agency in the public, commercial, or not-for-profit sectors.</w:t>
      </w:r>
    </w:p>
    <w:p>
      <w:pPr>
        <w:spacing w:after="80" w:before="0"/>
      </w:pPr>
      <w:r>
        <w:rPr>
          <w:rFonts w:ascii="Times New Roman" w:cs="Times New Roman" w:eastAsia="Times New Roman" w:hAnsi="Times New Roman"/>
          <w:b/>
          <w:bCs/>
          <w:sz w:val="24"/>
          <w:szCs w:val="24"/>
        </w:rPr>
        <w:t xml:space="preserve">Authors' contributions: </w:t>
      </w:r>
      <w:r>
        <w:rPr>
          <w:rFonts w:ascii="Times New Roman" w:cs="Times New Roman" w:eastAsia="Times New Roman" w:hAnsi="Times New Roman"/>
          <w:sz w:val="24"/>
          <w:szCs w:val="24"/>
        </w:rPr>
        <w:t xml:space="preserve">CJC conceived the study, designed the ontology, developed the ETL pipeline, and drafted the manuscript. GC contributed to the epidemiological study design and critical revision of the manuscript. Both authors read and approved the final manuscript.</w:t>
      </w:r>
    </w:p>
    <w:p>
      <w:r>
        <w:br w:type="page"/>
      </w:r>
    </w:p>
    <w:p>
      <w:pPr>
        <w:pStyle w:val="Heading1"/>
        <w:spacing w:after="120" w:before="360"/>
      </w:pPr>
      <w:r>
        <w:rPr>
          <w:rFonts w:ascii="Times New Roman" w:cs="Times New Roman" w:eastAsia="Times New Roman" w:hAnsi="Times New Roman"/>
          <w:b/>
          <w:bCs/>
          <w:sz w:val="26"/>
          <w:szCs w:val="26"/>
        </w:rPr>
        <w:t xml:space="preserve">References</w:t>
      </w:r>
    </w:p>
    <w:p>
      <w:pPr>
        <w:spacing w:after="120" w:before="0"/>
        <w:ind w:left="720" w:hanging="720"/>
        <w:jc w:val="both"/>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Ministério da Saúde (Brazil). Sistema de Informações sobre Nascidos Vivos (SINASC). Secretaria de Vigilância em Saúde; 1990–2024. Available from: https://datasus.saude.gov.br/nascidos-vivos-desde-1994.</w:t>
      </w:r>
    </w:p>
    <w:p>
      <w:pPr>
        <w:spacing w:after="120" w:before="0"/>
        <w:ind w:left="720" w:hanging="720"/>
        <w:jc w:val="both"/>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Romero DE, Cunha CB. Avaliação da qualidade das variáveis epidemiológicas e demográficas do Sistema de Informações sobre Nascidos Vivos, 2002. Cad Saude Publica. 2007;23(3):701–714. doi:10.1590/S0102-311X2007000300023.</w:t>
      </w:r>
    </w:p>
    <w:p>
      <w:pPr>
        <w:spacing w:after="120" w:before="0"/>
        <w:ind w:left="720" w:hanging="720"/>
        <w:jc w:val="both"/>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Lima RB, Chaves SC, Santana VS. Evaluation of information systems on live births and mortality in Brazil in the 2000s. Cad Saude Publica. 2014;30(10):2068–2080. doi:10.1590/0102-311X00197113. PMID: 25388310.</w:t>
      </w:r>
    </w:p>
    <w:p>
      <w:pPr>
        <w:spacing w:after="120" w:before="0"/>
        <w:ind w:left="720" w:hanging="720"/>
        <w:jc w:val="both"/>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Chersich MF, Pham MD, Areal A, et al. Associations between high temperatures in pregnancy and risk of preterm birth, low birth weight, and stillbirths: systematic review and meta-analysis. BMJ. 2020;371:m3811. doi:10.1136/bmj.m3811. PMID: 33148618.</w:t>
      </w:r>
    </w:p>
    <w:p>
      <w:pPr>
        <w:spacing w:after="120" w:before="0"/>
        <w:ind w:left="720" w:hanging="720"/>
        <w:jc w:val="both"/>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Lakhoo D, Brink N, Radebe L, et al. A systematic review and meta-analysis of heat exposure impacts on maternal, fetal and neonatal health. Nat Med. 2024. doi:10.1038/s41591-024-03395-8.</w:t>
      </w:r>
    </w:p>
    <w:p>
      <w:pPr>
        <w:spacing w:after="120" w:before="0"/>
        <w:ind w:left="720" w:hanging="720"/>
        <w:jc w:val="both"/>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Syed S, O'Sullivan TL, Phillips KP. Extreme heat and pregnancy outcomes: a scoping review of the epidemiological evidence. Int J Environ Res Public Health. 2022;19(4):2412. doi:10.3390/ijerph19042412. PMID: 35206601.</w:t>
      </w:r>
    </w:p>
    <w:p>
      <w:pPr>
        <w:spacing w:after="120" w:before="0"/>
        <w:ind w:left="720" w:hanging="720"/>
        <w:jc w:val="both"/>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Xavier AC, Scanlon BR, King CW, Alves AI. New improved Brazilian daily weather gridded data (1961–2020). Int J Climatol. 2022;42(16):8390–8404. doi:10.1002/joc.7731.</w:t>
      </w:r>
    </w:p>
    <w:p>
      <w:pPr>
        <w:spacing w:after="120" w:before="0"/>
        <w:ind w:left="720" w:hanging="720"/>
        <w:jc w:val="both"/>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Callahan TJ, Tripodi IJ, Pielke-Lombardo H, Hunter LE. Knowledge-based biomedical data science. Annu Rev Biomed Data Sci. 2020;3:23–41. doi:10.1146/annurev-biodatasci-010820-091627. PMID: 32904820.</w:t>
      </w:r>
    </w:p>
    <w:p>
      <w:pPr>
        <w:spacing w:after="120" w:before="0"/>
        <w:ind w:left="720" w:hanging="720"/>
        <w:jc w:val="both"/>
      </w:pPr>
      <w:r>
        <w:rPr>
          <w:rFonts w:ascii="Times New Roman" w:cs="Times New Roman" w:eastAsia="Times New Roman" w:hAnsi="Times New Roman"/>
          <w:b/>
          <w:bCs/>
          <w:sz w:val="20"/>
          <w:szCs w:val="20"/>
        </w:rPr>
        <w:t xml:space="preserve">9. </w:t>
      </w:r>
      <w:r>
        <w:rPr>
          <w:rFonts w:ascii="Times New Roman" w:cs="Times New Roman" w:eastAsia="Times New Roman" w:hAnsi="Times New Roman"/>
          <w:sz w:val="20"/>
          <w:szCs w:val="20"/>
        </w:rPr>
        <w:t xml:space="preserve">Nicholson DN, Greene CS. Constructing knowledge graphs and their biomedical applications. Comput Struct Biotechnol J. 2020;18:1414–1428. doi:10.1016/j.csbj.2020.05.017. PMID: 32637040.</w:t>
      </w:r>
    </w:p>
    <w:p>
      <w:pPr>
        <w:spacing w:after="120" w:before="0"/>
        <w:ind w:left="720" w:hanging="720"/>
        <w:jc w:val="both"/>
      </w:pPr>
      <w:r>
        <w:rPr>
          <w:rFonts w:ascii="Times New Roman" w:cs="Times New Roman" w:eastAsia="Times New Roman" w:hAnsi="Times New Roman"/>
          <w:b/>
          <w:bCs/>
          <w:sz w:val="20"/>
          <w:szCs w:val="20"/>
        </w:rPr>
        <w:t xml:space="preserve">10. </w:t>
      </w:r>
      <w:r>
        <w:rPr>
          <w:rFonts w:ascii="Times New Roman" w:cs="Times New Roman" w:eastAsia="Times New Roman" w:hAnsi="Times New Roman"/>
          <w:sz w:val="20"/>
          <w:szCs w:val="20"/>
        </w:rPr>
        <w:t xml:space="preserve">Smith B, Ashburner M, Rosse C, et al. The OBO Foundry: coordinated evolution of ontologies to support biomedical data integration. Nat Biotechnol. 2007;25(11):1251–1255. doi:10.1038/nbt1346. PMID: 17989687.</w:t>
      </w:r>
    </w:p>
    <w:p>
      <w:pPr>
        <w:spacing w:after="120" w:before="0"/>
        <w:ind w:left="720" w:hanging="720"/>
        <w:jc w:val="both"/>
      </w:pPr>
      <w:r>
        <w:rPr>
          <w:rFonts w:ascii="Times New Roman" w:cs="Times New Roman" w:eastAsia="Times New Roman" w:hAnsi="Times New Roman"/>
          <w:b/>
          <w:bCs/>
          <w:sz w:val="20"/>
          <w:szCs w:val="20"/>
        </w:rPr>
        <w:t xml:space="preserve">11. </w:t>
      </w:r>
      <w:r>
        <w:rPr>
          <w:rFonts w:ascii="Times New Roman" w:cs="Times New Roman" w:eastAsia="Times New Roman" w:hAnsi="Times New Roman"/>
          <w:sz w:val="20"/>
          <w:szCs w:val="20"/>
        </w:rPr>
        <w:t xml:space="preserve">Lima RB, Chaves SC, Santana VS. Evaluation of information systems on live births and mortality in Brazil in the 2000s. Cad Saude Publica. 2014;30(10):2068–2080. doi:10.1590/0102-311X00197113.</w:t>
      </w:r>
    </w:p>
    <w:p>
      <w:pPr>
        <w:spacing w:after="120" w:before="0"/>
        <w:ind w:left="720" w:hanging="720"/>
        <w:jc w:val="both"/>
      </w:pPr>
      <w:r>
        <w:rPr>
          <w:rFonts w:ascii="Times New Roman" w:cs="Times New Roman" w:eastAsia="Times New Roman" w:hAnsi="Times New Roman"/>
          <w:b/>
          <w:bCs/>
          <w:sz w:val="20"/>
          <w:szCs w:val="20"/>
        </w:rPr>
        <w:t xml:space="preserve">12. </w:t>
      </w:r>
      <w:r>
        <w:rPr>
          <w:rFonts w:ascii="Times New Roman" w:cs="Times New Roman" w:eastAsia="Times New Roman" w:hAnsi="Times New Roman"/>
          <w:sz w:val="20"/>
          <w:szCs w:val="20"/>
        </w:rPr>
        <w:t xml:space="preserve">Arp R, Smith B, Spear AD. Building Ontologies with Basic Formal Ontology. Cambridge, MA: MIT Press; 2015. ISBN 978-0-262-52781-1.</w:t>
      </w:r>
    </w:p>
    <w:p>
      <w:pPr>
        <w:spacing w:after="120" w:before="0"/>
        <w:ind w:left="720" w:hanging="720"/>
        <w:jc w:val="both"/>
      </w:pPr>
      <w:r>
        <w:rPr>
          <w:rFonts w:ascii="Times New Roman" w:cs="Times New Roman" w:eastAsia="Times New Roman" w:hAnsi="Times New Roman"/>
          <w:b/>
          <w:bCs/>
          <w:sz w:val="20"/>
          <w:szCs w:val="20"/>
        </w:rPr>
        <w:t xml:space="preserve">13. </w:t>
      </w:r>
      <w:r>
        <w:rPr>
          <w:rFonts w:ascii="Times New Roman" w:cs="Times New Roman" w:eastAsia="Times New Roman" w:hAnsi="Times New Roman"/>
          <w:sz w:val="20"/>
          <w:szCs w:val="20"/>
        </w:rPr>
        <w:t xml:space="preserve">Ministério da Saúde (Brazil). Sistema de Informações sobre Mortalidade (SIM). Secretaria de Vigilância em Saúde; 1979–2024. Available from: https://datasus.saude.gov.br/mortalidade-desde-1996-pela-cid-10.</w:t>
      </w:r>
    </w:p>
    <w:p>
      <w:pPr>
        <w:spacing w:after="120" w:before="0"/>
        <w:ind w:left="720" w:hanging="720"/>
        <w:jc w:val="both"/>
      </w:pPr>
      <w:r>
        <w:rPr>
          <w:rFonts w:ascii="Times New Roman" w:cs="Times New Roman" w:eastAsia="Times New Roman" w:hAnsi="Times New Roman"/>
          <w:b/>
          <w:bCs/>
          <w:sz w:val="20"/>
          <w:szCs w:val="20"/>
        </w:rPr>
        <w:t xml:space="preserve">14. </w:t>
      </w:r>
      <w:r>
        <w:rPr>
          <w:rFonts w:ascii="Times New Roman" w:cs="Times New Roman" w:eastAsia="Times New Roman" w:hAnsi="Times New Roman"/>
          <w:sz w:val="20"/>
          <w:szCs w:val="20"/>
        </w:rPr>
        <w:t xml:space="preserve">Fellegi IP, Sunter AB. A theory for record linkage. J Am Stat Assoc. 1969;64(328):1183–1210. doi:10.1080/01621459.1969.10501049.</w:t>
      </w:r>
    </w:p>
    <w:p>
      <w:pPr>
        <w:spacing w:after="120" w:before="0"/>
        <w:ind w:left="720" w:hanging="720"/>
        <w:jc w:val="both"/>
      </w:pPr>
      <w:r>
        <w:rPr>
          <w:rFonts w:ascii="Times New Roman" w:cs="Times New Roman" w:eastAsia="Times New Roman" w:hAnsi="Times New Roman"/>
          <w:b/>
          <w:bCs/>
          <w:sz w:val="20"/>
          <w:szCs w:val="20"/>
        </w:rPr>
        <w:t xml:space="preserve">15. </w:t>
      </w:r>
      <w:r>
        <w:rPr>
          <w:rFonts w:ascii="Times New Roman" w:cs="Times New Roman" w:eastAsia="Times New Roman" w:hAnsi="Times New Roman"/>
          <w:sz w:val="20"/>
          <w:szCs w:val="20"/>
        </w:rPr>
        <w:t xml:space="preserve">Apache Software Foundation. Apache Jena Fuseki 6.0.0. 2024. Available from: https://jena.apache.org/documentation/fuseki2/. [Accessed 2026 Jan].</w:t>
      </w:r>
    </w:p>
    <w:p>
      <w:pPr>
        <w:spacing w:after="120" w:before="0"/>
        <w:ind w:left="720" w:hanging="720"/>
        <w:jc w:val="both"/>
      </w:pPr>
      <w:r>
        <w:rPr>
          <w:rFonts w:ascii="Times New Roman" w:cs="Times New Roman" w:eastAsia="Times New Roman" w:hAnsi="Times New Roman"/>
          <w:b/>
          <w:bCs/>
          <w:sz w:val="20"/>
          <w:szCs w:val="20"/>
        </w:rPr>
        <w:t xml:space="preserve">16. </w:t>
      </w:r>
      <w:r>
        <w:rPr>
          <w:rFonts w:ascii="Times New Roman" w:cs="Times New Roman" w:eastAsia="Times New Roman" w:hAnsi="Times New Roman"/>
          <w:sz w:val="20"/>
          <w:szCs w:val="20"/>
        </w:rPr>
        <w:t xml:space="preserve">Coeli CM, Camargo KR Jr. Assessment of different blocking strategies in probabilistic record linkage. J Appl Stat. 2002;29(1–4):75–96. doi:10.1080/02664760120108779.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8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80" w:before="20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2026-05-14T19:07:44.648Z</dcterms:created>
  <dcterms:modified xsi:type="dcterms:W3CDTF">2026-05-14T19:07:44.663Z</dcterms:modified>
</cp:coreProperties>
</file>

<file path=docProps/custom.xml><?xml version="1.0" encoding="utf-8"?>
<Properties xmlns="http://schemas.openxmlformats.org/officeDocument/2006/custom-properties" xmlns:vt="http://schemas.openxmlformats.org/officeDocument/2006/docPropsVTypes"/>
</file>