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0"/>
          <w:szCs w:val="30"/>
        </w:rPr>
        <w:t xml:space="preserve">Corrigendum to “Prior-guided spectral gating for interpretable deep learning in near-infrared spectroscopy”</w:t>
      </w:r>
    </w:p>
    <w:p>
      <w:pPr>
        <w:pBdr>
          <w:bottom w:val="single" w:color="999999" w:sz="6" w:space="8"/>
        </w:pBdr>
        <w:spacing w:after="220"/>
      </w:pPr>
      <w:r>
        <w:rPr>
          <w:rFonts w:ascii="Calibri" w:cs="Calibri" w:eastAsia="Calibri" w:hAnsi="Calibri"/>
          <w:color w:val="444444"/>
          <w:sz w:val="20"/>
          <w:szCs w:val="20"/>
        </w:rPr>
        <w:t xml:space="preserve">[Chemom. Intell. Lab. Syst. 277 (2026) 105833]</w:t>
      </w:r>
    </w:p>
    <w:p>
      <w:pPr>
        <w:spacing w:after="160" w:line="276"/>
        <w:jc w:val="both"/>
      </w:pPr>
      <w:r>
        <w:rPr>
          <w:rFonts w:ascii="Calibri" w:cs="Calibri" w:eastAsia="Calibri" w:hAnsi="Calibri"/>
          <w:sz w:val="22"/>
          <w:szCs w:val="22"/>
        </w:rPr>
        <w:t xml:space="preserve">Guilherme Coelho, Angélica de Lima das Chagas, Lilian Carla Carneiro, Clarimar José Coelho</w:t>
      </w:r>
    </w:p>
    <w:p>
      <w:pPr>
        <w:spacing w:after="160" w:line="276"/>
        <w:jc w:val="both"/>
      </w:pPr>
      <w:r>
        <w:rPr>
          <w:rFonts w:ascii="Calibri" w:cs="Calibri" w:eastAsia="Calibri" w:hAnsi="Calibri"/>
          <w:sz w:val="22"/>
          <w:szCs w:val="22"/>
        </w:rPr>
        <w:t xml:space="preserve">The authors regret that the following errors appeared in the published article. They were identified during an internal reproducibility audit of the authors’ own code, conducted in September 2026, and were independently reproduced twice. The corrections are set out below.</w:t>
      </w:r>
    </w:p>
    <w:p>
      <w:pPr>
        <w:pStyle w:val="Heading2"/>
        <w:spacing w:after="120" w:before="260"/>
      </w:pPr>
      <w:r>
        <w:rPr>
          <w:rFonts w:ascii="Calibri" w:cs="Calibri" w:eastAsia="Calibri" w:hAnsi="Calibri"/>
          <w:b/>
          <w:bCs/>
          <w:color w:val="000000"/>
          <w:sz w:val="23"/>
          <w:szCs w:val="23"/>
        </w:rPr>
        <w:t xml:space="preserve">1. Provenance of the datasets</w:t>
      </w:r>
    </w:p>
    <w:p>
      <w:pPr>
        <w:spacing w:after="160" w:line="276"/>
        <w:jc w:val="both"/>
      </w:pPr>
      <w:r>
        <w:rPr>
          <w:rFonts w:ascii="Calibri" w:cs="Calibri" w:eastAsia="Calibri" w:hAnsi="Calibri"/>
          <w:sz w:val="22"/>
          <w:szCs w:val="22"/>
        </w:rPr>
        <w:t xml:space="preserve">The article states that both datasets are available through the R package </w:t>
      </w:r>
      <w:r>
        <w:rPr>
          <w:rFonts w:ascii="Calibri" w:cs="Calibri" w:eastAsia="Calibri" w:hAnsi="Calibri"/>
          <w:i/>
          <w:iCs/>
          <w:sz w:val="22"/>
          <w:szCs w:val="22"/>
        </w:rPr>
        <w:t xml:space="preserve">pls</w:t>
      </w:r>
      <w:r>
        <w:rPr>
          <w:rFonts w:ascii="Calibri" w:cs="Calibri" w:eastAsia="Calibri" w:hAnsi="Calibri"/>
          <w:sz w:val="22"/>
          <w:szCs w:val="22"/>
        </w:rPr>
        <w:t xml:space="preserve">, and the Acknowledgments thank its developers for making them available. The </w:t>
      </w:r>
      <w:r>
        <w:rPr>
          <w:rFonts w:ascii="Calibri" w:cs="Calibri" w:eastAsia="Calibri" w:hAnsi="Calibri"/>
          <w:i/>
          <w:iCs/>
          <w:sz w:val="22"/>
          <w:szCs w:val="22"/>
        </w:rPr>
        <w:t xml:space="preserve">pls</w:t>
      </w:r>
      <w:r>
        <w:rPr>
          <w:rFonts w:ascii="Calibri" w:cs="Calibri" w:eastAsia="Calibri" w:hAnsi="Calibri"/>
          <w:sz w:val="22"/>
          <w:szCs w:val="22"/>
        </w:rPr>
        <w:t xml:space="preserve"> package does not distribute the Tecator dataset; it provides gasoline, mayonnaise, oliveoil and yarn. The Tecator data used in this work were obtained from the scikit-fda / fda.usc distribution and exported to CSV. The citation is correct for Gasoline only.</w:t>
      </w:r>
    </w:p>
    <w:p>
      <w:pPr>
        <w:spacing w:after="160" w:line="276"/>
        <w:jc w:val="both"/>
      </w:pPr>
      <w:r>
        <w:rPr>
          <w:rFonts w:ascii="Calibri" w:cs="Calibri" w:eastAsia="Calibri" w:hAnsi="Calibri"/>
          <w:sz w:val="22"/>
          <w:szCs w:val="22"/>
        </w:rPr>
        <w:t xml:space="preserve">The Data availability statement should read: the Gasoline dataset is available through the R package </w:t>
      </w:r>
      <w:r>
        <w:rPr>
          <w:rFonts w:ascii="Calibri" w:cs="Calibri" w:eastAsia="Calibri" w:hAnsi="Calibri"/>
          <w:i/>
          <w:iCs/>
          <w:sz w:val="22"/>
          <w:szCs w:val="22"/>
        </w:rPr>
        <w:t xml:space="preserve">pls</w:t>
      </w:r>
      <w:r>
        <w:rPr>
          <w:rFonts w:ascii="Calibri" w:cs="Calibri" w:eastAsia="Calibri" w:hAnsi="Calibri"/>
          <w:sz w:val="22"/>
          <w:szCs w:val="22"/>
        </w:rPr>
        <w:t xml:space="preserve">; the Tecator dataset was obtained from the fda.usc distribution, and is also available at the UCI Machine Learning Repository (dataset 171) and at StatLib. The Acknowledgments should thank the developers of the </w:t>
      </w:r>
      <w:r>
        <w:rPr>
          <w:rFonts w:ascii="Calibri" w:cs="Calibri" w:eastAsia="Calibri" w:hAnsi="Calibri"/>
          <w:i/>
          <w:iCs/>
          <w:sz w:val="22"/>
          <w:szCs w:val="22"/>
        </w:rPr>
        <w:t xml:space="preserve">pls</w:t>
      </w:r>
      <w:r>
        <w:rPr>
          <w:rFonts w:ascii="Calibri" w:cs="Calibri" w:eastAsia="Calibri" w:hAnsi="Calibri"/>
          <w:sz w:val="22"/>
          <w:szCs w:val="22"/>
        </w:rPr>
        <w:t xml:space="preserve"> package for the Gasoline dataset only.</w:t>
      </w:r>
    </w:p>
    <w:p>
      <w:pPr>
        <w:pStyle w:val="Heading2"/>
        <w:spacing w:after="120" w:before="260"/>
      </w:pPr>
      <w:r>
        <w:rPr>
          <w:rFonts w:ascii="Calibri" w:cs="Calibri" w:eastAsia="Calibri" w:hAnsi="Calibri"/>
          <w:b/>
          <w:bCs/>
          <w:color w:val="000000"/>
          <w:sz w:val="23"/>
          <w:szCs w:val="23"/>
        </w:rPr>
        <w:t xml:space="preserve">2. Range of the fat variable (Section 4.1)</w:t>
      </w:r>
    </w:p>
    <w:p>
      <w:pPr>
        <w:spacing w:after="140" w:line="264"/>
        <w:ind w:left="567"/>
        <w:jc w:val="both"/>
      </w:pPr>
      <w:r>
        <w:rPr>
          <w:rFonts w:ascii="Calibri" w:cs="Calibri" w:eastAsia="Calibri" w:hAnsi="Calibri"/>
          <w:i/>
          <w:iCs/>
          <w:color w:val="333333"/>
          <w:sz w:val="21"/>
          <w:szCs w:val="21"/>
        </w:rPr>
        <w:t xml:space="preserve">Published: “The prediction target is the percentage of fat content, which ranges from 7% to 76%.”</w:t>
      </w:r>
    </w:p>
    <w:p>
      <w:pPr>
        <w:spacing w:after="140" w:line="264"/>
        <w:ind w:left="567"/>
        <w:jc w:val="both"/>
      </w:pPr>
      <w:r>
        <w:rPr>
          <w:rFonts w:ascii="Calibri" w:cs="Calibri" w:eastAsia="Calibri" w:hAnsi="Calibri"/>
          <w:i/>
          <w:iCs/>
          <w:color w:val="333333"/>
          <w:sz w:val="21"/>
          <w:szCs w:val="21"/>
        </w:rPr>
        <w:t xml:space="preserve">Corrected: “The prediction target is the percentage of fat content, which ranges from 0.9% to 49.1%.”</w:t>
      </w:r>
    </w:p>
    <w:p>
      <w:pPr>
        <w:pStyle w:val="Heading2"/>
        <w:spacing w:after="120" w:before="260"/>
      </w:pPr>
      <w:r>
        <w:rPr>
          <w:rFonts w:ascii="Calibri" w:cs="Calibri" w:eastAsia="Calibri" w:hAnsi="Calibri"/>
          <w:b/>
          <w:bCs/>
          <w:color w:val="000000"/>
          <w:sz w:val="23"/>
          <w:szCs w:val="23"/>
        </w:rPr>
        <w:t xml:space="preserve">3. Samples-per-parameter ratios (Sections 3.5, 5.1, 6.1 and the caption of Fig. 3)</w:t>
      </w:r>
    </w:p>
    <w:p>
      <w:pPr>
        <w:spacing w:after="160" w:line="276"/>
        <w:jc w:val="both"/>
      </w:pPr>
      <w:r>
        <w:rPr>
          <w:rFonts w:ascii="Calibri" w:cs="Calibri" w:eastAsia="Calibri" w:hAnsi="Calibri"/>
          <w:sz w:val="22"/>
          <w:szCs w:val="22"/>
        </w:rPr>
        <w:t xml:space="preserve">The ratios reported throughout the article are wrong by a factor of one thousand. The correct values are 172/1,765 = 0.098 for Tecator, 48/6,882 = 0.007 for Gasoline, and 172/109,221 = 0.0016 for the Plain CNN, rather than 97, 7 and 2 respectively. The accompanying claim that the first two ratios fall within or near a recommended range of 10–20 samples per parameter is therefore incorrect and is withdrawn.</w:t>
      </w:r>
    </w:p>
    <w:p>
      <w:pPr>
        <w:spacing w:after="160" w:line="276"/>
        <w:jc w:val="both"/>
      </w:pPr>
      <w:r>
        <w:rPr>
          <w:rFonts w:ascii="Calibri" w:cs="Calibri" w:eastAsia="Calibri" w:hAnsi="Calibri"/>
          <w:sz w:val="22"/>
          <w:szCs w:val="22"/>
        </w:rPr>
        <w:t xml:space="preserve">The comparison should be expressed as parameters per sample: 10.3 for the compact architecture on Tecator, 143 on Gasoline, and 635 for the Plain CNN. The parameter counts themselves are correct and have been re-verified. The empirical finding is unaffected — the Plain CNN fails and the compact architecture does not — but the numerical justification offered for it was wrong.</w:t>
      </w:r>
    </w:p>
    <w:p>
      <w:pPr>
        <w:pStyle w:val="Heading2"/>
        <w:spacing w:after="120" w:before="260"/>
      </w:pPr>
      <w:r>
        <w:rPr>
          <w:rFonts w:ascii="Calibri" w:cs="Calibri" w:eastAsia="Calibri" w:hAnsi="Calibri"/>
          <w:b/>
          <w:bCs/>
          <w:color w:val="000000"/>
          <w:sz w:val="23"/>
          <w:szCs w:val="23"/>
        </w:rPr>
        <w:t xml:space="preserve">4. Analyte used for the Tecator results</w:t>
      </w:r>
    </w:p>
    <w:p>
      <w:pPr>
        <w:spacing w:after="160" w:line="276"/>
        <w:jc w:val="both"/>
      </w:pPr>
      <w:r>
        <w:rPr>
          <w:rFonts w:ascii="Calibri" w:cs="Calibri" w:eastAsia="Calibri" w:hAnsi="Calibri"/>
          <w:sz w:val="22"/>
          <w:szCs w:val="22"/>
        </w:rPr>
        <w:t xml:space="preserve">(Table 1, Section 4.2, Figs. 2 and 3.)</w:t>
      </w:r>
    </w:p>
    <w:p>
      <w:pPr>
        <w:spacing w:after="160" w:line="276"/>
        <w:jc w:val="both"/>
      </w:pPr>
      <w:r>
        <w:rPr>
          <w:rFonts w:ascii="Calibri" w:cs="Calibri" w:eastAsia="Calibri" w:hAnsi="Calibri"/>
          <w:sz w:val="22"/>
          <w:szCs w:val="22"/>
        </w:rPr>
        <w:t xml:space="preserve">In the authors’ repository, the file data/raw/tecator/targets.csv stores the three reference values in the source order moisture, fat, protein, while its header row was written as Fat, Water, Protein. All analysis scripts select the first column, and the prior computation routine maps the label “Fat” to that same column index. Every Tecator result in the article was therefore computed with moisture as the target, and the ANOVA, VIP and Random Forest priors were computed on moisture as well.</w:t>
      </w:r>
    </w:p>
    <w:p>
      <w:pPr>
        <w:spacing w:after="160" w:line="276"/>
        <w:jc w:val="both"/>
      </w:pPr>
      <w:r>
        <w:rPr>
          <w:rFonts w:ascii="Calibri" w:cs="Calibri" w:eastAsia="Calibri" w:hAnsi="Calibri"/>
          <w:sz w:val="22"/>
          <w:szCs w:val="22"/>
        </w:rPr>
        <w:t xml:space="preserve">The identification was confirmed element by element across all 215 rows against two independently labelled distributions of the dataset, with zero difference, and a negative control confirmed that the comparison detects row reordering. The spectra and the reference values are correctly aligned row by row; only the column order relative to the stored header is wrong.</w:t>
      </w:r>
    </w:p>
    <w:p>
      <w:pPr>
        <w:spacing w:after="160" w:line="276"/>
        <w:jc w:val="both"/>
      </w:pPr>
      <w:r>
        <w:rPr>
          <w:rFonts w:ascii="Calibri" w:cs="Calibri" w:eastAsia="Calibri" w:hAnsi="Calibri"/>
          <w:sz w:val="22"/>
          <w:szCs w:val="22"/>
        </w:rPr>
        <w:t xml:space="preserve">Re-running the published protocol with fat as the target gives the values in the corrected Table 1. The number of PLS components selected by the one-standard-error rule changes from H* = 10, which is the value for moisture, to H* = 12 for fat.</w:t>
      </w:r>
    </w:p>
    <w:p>
      <w:pPr>
        <w:spacing w:after="160" w:line="276"/>
        <w:jc w:val="both"/>
      </w:pPr>
      <w:r>
        <w:rPr>
          <w:rFonts w:ascii="Calibri" w:cs="Calibri" w:eastAsia="Calibri" w:hAnsi="Calibri"/>
          <w:sz w:val="22"/>
          <w:szCs w:val="22"/>
        </w:rPr>
        <w:t xml:space="preserve">Two consequences should be stated explicitly. The performance gap between the proposed framework and PLS under five-fold cross-validation increases from approximately 6% to approximately 9%, because PLS improves on the correct target while the proposed framework does not change appreciably (Wilcoxon signed-rank p = 0.85 between the two targets). And the advantage of ANOVA initialization over random initialization, reported as 0.941 against 0.871, is not distinguishable from replicate-to-replicate variation on the correct target.</w:t>
      </w:r>
    </w:p>
    <w:p>
      <w:pPr>
        <w:spacing w:after="160" w:line="276"/>
        <w:jc w:val="both"/>
      </w:pPr>
      <w:r>
        <w:rPr>
          <w:rFonts w:ascii="Calibri" w:cs="Calibri" w:eastAsia="Calibri" w:hAnsi="Calibri"/>
          <w:b/>
          <w:bCs/>
          <w:sz w:val="22"/>
          <w:szCs w:val="22"/>
        </w:rPr>
        <w:t xml:space="preserve">A change in the nature of the reported measure.</w:t>
      </w:r>
      <w:r>
        <w:rPr>
          <w:rFonts w:ascii="Calibri" w:cs="Calibri" w:eastAsia="Calibri" w:hAnsi="Calibri"/>
          <w:sz w:val="22"/>
          <w:szCs w:val="22"/>
        </w:rPr>
        <w:t xml:space="preserve"> The published network results are single runs, and the training pipeline sets no random seed, so single runs are not reproducible. In the corrected table the network rows are reported as the median over ten replicates with the minimum and maximum in brackets, to two decimal places, which is the precision the replicate spread supports. The PLS rows are deterministic and are given as single values to three decimals. Statements elsewhere in the article that experiments use a fixed seed of 42 are incorrect (see item 7).</w:t>
      </w:r>
    </w:p>
    <w:p>
      <w:pPr>
        <w:spacing w:after="120" w:line="276"/>
        <w:jc w:val="both"/>
      </w:pPr>
      <w:r>
        <w:rPr>
          <w:rFonts w:ascii="Calibri" w:cs="Calibri" w:eastAsia="Calibri" w:hAnsi="Calibri"/>
          <w:b/>
          <w:bCs/>
          <w:sz w:val="22"/>
          <w:szCs w:val="22"/>
        </w:rPr>
        <w:t xml:space="preserve">Corrected Table 1 (Tecator).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50"/>
        <w:gridCol w:w="2350"/>
        <w:gridCol w:w="2426"/>
      </w:tblGrid>
      <w:tr>
        <w:trPr>
          <w:tblHeader/>
        </w:trPr>
        <w:tc>
          <w:tcPr>
            <w:tcW w:type="dxa" w:w="2800"/>
            <w:shd w:fill="EEEEEE" w:val="clear"/>
            <w:tcMar>
              <w:top w:type="dxa" w:w="60"/>
              <w:left w:type="dxa" w:w="100"/>
              <w:bottom w:type="dxa" w:w="60"/>
              <w:right w:type="dxa" w:w="100"/>
            </w:tcMar>
          </w:tcPr>
          <w:p>
            <w:pPr>
              <w:spacing w:after="0"/>
              <w:jc w:val="left"/>
            </w:pPr>
            <w:r>
              <w:rPr>
                <w:rFonts w:ascii="Calibri" w:cs="Calibri" w:eastAsia="Calibri" w:hAnsi="Calibri"/>
                <w:b/>
                <w:bCs/>
                <w:sz w:val="20"/>
                <w:szCs w:val="20"/>
              </w:rPr>
              <w:t xml:space="preserve">Method</w:t>
            </w:r>
          </w:p>
        </w:tc>
        <w:tc>
          <w:tcPr>
            <w:tcW w:type="dxa" w:w="1450"/>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Published R²</w:t>
            </w:r>
          </w:p>
        </w:tc>
        <w:tc>
          <w:tcPr>
            <w:tcW w:type="dxa" w:w="2350"/>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Corrected R²</w:t>
            </w:r>
          </w:p>
        </w:tc>
        <w:tc>
          <w:tcPr>
            <w:tcW w:type="dxa" w:w="2426"/>
            <w:shd w:fill="EEEEEE" w:val="clear"/>
            <w:tcMar>
              <w:top w:type="dxa" w:w="60"/>
              <w:left w:type="dxa" w:w="100"/>
              <w:bottom w:type="dxa" w:w="60"/>
              <w:right w:type="dxa" w:w="100"/>
            </w:tcMar>
          </w:tcPr>
          <w:p>
            <w:pPr>
              <w:spacing w:after="0"/>
              <w:jc w:val="center"/>
            </w:pPr>
            <w:r>
              <w:rPr>
                <w:rFonts w:ascii="Calibri" w:cs="Calibri" w:eastAsia="Calibri" w:hAnsi="Calibri"/>
                <w:b/>
                <w:bCs/>
                <w:sz w:val="20"/>
                <w:szCs w:val="20"/>
              </w:rPr>
              <w:t xml:space="preserve">Corrected RMSE</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PLS (single test, H* = 12)</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0.919</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0.946</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0.243</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PLS (5-fold)</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0.921</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0.955</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0.203</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Ours (ANOVA), single test</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0.941</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0.92 [0.84; 0.94]</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0.29 [0.25; 0.41]</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Ours (ANOVA), 5-fold</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0.862</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0.87 [0.68; 0.89]</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0.36 [0.32; 0.50]</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Ours (VIP), single test</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0.903</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0.93 [0.89; 0.95]</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0.28 [0.23; 0.34]</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Ours (RF), single test</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0.938</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0.94 [0.91; 0.97]</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0.26 [0.19; 0.32]</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Random init, single test</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0.871</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0.91 [0.79; 0.93]</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0.31 [0.27; 0.48]</w:t>
            </w:r>
          </w:p>
        </w:tc>
      </w:tr>
      <w:tr>
        <w:trPr>
          <w:tblHeader w:val="false"/>
        </w:trPr>
        <w:tc>
          <w:tcPr>
            <w:tcW w:type="dxa" w:w="2800"/>
            <w:tcMar>
              <w:top w:type="dxa" w:w="60"/>
              <w:left w:type="dxa" w:w="100"/>
              <w:bottom w:type="dxa" w:w="60"/>
              <w:right w:type="dxa" w:w="100"/>
            </w:tcMar>
          </w:tcPr>
          <w:p>
            <w:pPr>
              <w:spacing w:after="0"/>
              <w:jc w:val="left"/>
            </w:pPr>
            <w:r>
              <w:rPr>
                <w:rFonts w:ascii="Calibri" w:cs="Calibri" w:eastAsia="Calibri" w:hAnsi="Calibri"/>
                <w:b w:val="false"/>
                <w:bCs w:val="false"/>
                <w:sz w:val="20"/>
                <w:szCs w:val="20"/>
              </w:rPr>
              <w:t xml:space="preserve">Plain CNN, single test</w:t>
            </w:r>
          </w:p>
        </w:tc>
        <w:tc>
          <w:tcPr>
            <w:tcW w:type="dxa" w:w="14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0.235</w:t>
            </w:r>
          </w:p>
        </w:tc>
        <w:tc>
          <w:tcPr>
            <w:tcW w:type="dxa" w:w="2350"/>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0.00 [−0.53; 0.17]</w:t>
            </w:r>
          </w:p>
        </w:tc>
        <w:tc>
          <w:tcPr>
            <w:tcW w:type="dxa" w:w="2426"/>
            <w:tcMar>
              <w:top w:type="dxa" w:w="60"/>
              <w:left w:type="dxa" w:w="100"/>
              <w:bottom w:type="dxa" w:w="60"/>
              <w:right w:type="dxa" w:w="100"/>
            </w:tcMar>
          </w:tcPr>
          <w:p>
            <w:pPr>
              <w:spacing w:after="0"/>
              <w:jc w:val="center"/>
            </w:pPr>
            <w:r>
              <w:rPr>
                <w:rFonts w:ascii="Calibri" w:cs="Calibri" w:eastAsia="Calibri" w:hAnsi="Calibri"/>
                <w:b w:val="false"/>
                <w:bCs w:val="false"/>
                <w:sz w:val="20"/>
                <w:szCs w:val="20"/>
              </w:rPr>
              <w:t xml:space="preserve">1.04 [0.95; 1.29]</w:t>
            </w:r>
          </w:p>
        </w:tc>
      </w:tr>
    </w:tbl>
    <w:p>
      <w:pPr>
        <w:spacing w:after="60" w:line="276"/>
        <w:jc w:val="both"/>
      </w:pPr>
    </w:p>
    <w:p>
      <w:pPr>
        <w:spacing w:after="160" w:line="276"/>
        <w:jc w:val="both"/>
      </w:pPr>
      <w:r>
        <w:rPr>
          <w:rFonts w:ascii="Calibri" w:cs="Calibri" w:eastAsia="Calibri" w:hAnsi="Calibri"/>
          <w:sz w:val="22"/>
          <w:szCs w:val="22"/>
        </w:rPr>
        <w:t xml:space="preserve">A separate discrepancy in Section 4.2 should be recorded here. The five-fold PLS result is published as R² = 0.921 ± 0.018. The mean is correct, but the standard deviation is not: the authors’ own saved output for the same folds records ± 0.0439, and re-running gives 0.0439 with a population standard deviation and 0.0491 with a sample standard deviation. The value 0.018 does not correspond to any quantity we are able to reproduce, and is withdrawn.</w:t>
      </w:r>
    </w:p>
    <w:p>
      <w:pPr>
        <w:pStyle w:val="Heading2"/>
        <w:spacing w:after="120" w:before="260"/>
      </w:pPr>
      <w:r>
        <w:rPr>
          <w:rFonts w:ascii="Calibri" w:cs="Calibri" w:eastAsia="Calibri" w:hAnsi="Calibri"/>
          <w:b/>
          <w:bCs/>
          <w:color w:val="000000"/>
          <w:sz w:val="23"/>
          <w:szCs w:val="23"/>
        </w:rPr>
        <w:t xml:space="preserve">5. Gate values in Table 2 and the interpretability claim</w:t>
      </w:r>
    </w:p>
    <w:p>
      <w:pPr>
        <w:spacing w:after="160" w:line="276"/>
        <w:jc w:val="both"/>
      </w:pPr>
      <w:r>
        <w:rPr>
          <w:rFonts w:ascii="Calibri" w:cs="Calibri" w:eastAsia="Calibri" w:hAnsi="Calibri"/>
          <w:sz w:val="22"/>
          <w:szCs w:val="22"/>
        </w:rPr>
        <w:t xml:space="preserve">(Abstract, Sections 3.4 and 5.2, Table 2, Figs. 1 and 4, Conclusion.)</w:t>
      </w:r>
    </w:p>
    <w:p>
      <w:pPr>
        <w:spacing w:after="160" w:line="276"/>
        <w:jc w:val="both"/>
      </w:pPr>
      <w:r>
        <w:rPr>
          <w:rFonts w:ascii="Calibri" w:cs="Calibri" w:eastAsia="Calibri" w:hAnsi="Calibri"/>
          <w:sz w:val="22"/>
          <w:szCs w:val="22"/>
        </w:rPr>
        <w:t xml:space="preserve">The script that produces the gate analysis instantiates the model and reads its gate weights. It does not load a trained model, and no script anywhere in the repository saves one. The values reported in Table 2, the derived quantities quoted in Section 5.2, and the gate profile displayed in Fig. 4 are the gate weights at initialization.</w:t>
      </w:r>
    </w:p>
    <w:p>
      <w:pPr>
        <w:spacing w:after="160" w:line="276"/>
        <w:jc w:val="both"/>
      </w:pPr>
      <w:r>
        <w:rPr>
          <w:rFonts w:ascii="Calibri" w:cs="Calibri" w:eastAsia="Calibri" w:hAnsi="Calibri"/>
          <w:sz w:val="22"/>
          <w:szCs w:val="22"/>
        </w:rPr>
        <w:t xml:space="preserve">This was verified numerically, with the criterion fixed before the measurements were made: a condition is said to reproduce a published pair when the top-gate weight and the gate–prior correlation both equal the published values at the published precision, three decimal places. An untrained model reproduces the published pair in ten of ten seeds on both datasets, together with the regional weights quoted for Tecator (7.39% against 7.4% for C–H, 3.54% against 3.5% for O–H). A model trained under the protocol described in the article — learning rate 0.01, 200 epochs, patience 30 — reproduces the pair in none of them, on either dataset: the Tecator gate–prior correlation falls to between 0.333 and 0.340 against 0.348 published, and the Gasoline top-gate weight to between 0.102 and 0.113 against 0.130. A sweep over training length, learning rate and KL weight reproduced the published pair under no condition other than zero training.</w:t>
      </w:r>
    </w:p>
    <w:p>
      <w:pPr>
        <w:spacing w:after="160" w:line="276"/>
        <w:jc w:val="both"/>
      </w:pPr>
      <w:r>
        <w:rPr>
          <w:rFonts w:ascii="Calibri" w:cs="Calibri" w:eastAsia="Calibri" w:hAnsi="Calibri"/>
          <w:sz w:val="22"/>
          <w:szCs w:val="22"/>
        </w:rPr>
        <w:t xml:space="preserve">Accordingly, the following statement, which appears in the Abstract and is repeated in the Conclusion, is withdrawn:</w:t>
      </w:r>
    </w:p>
    <w:p>
      <w:pPr>
        <w:spacing w:after="140" w:line="264"/>
        <w:ind w:left="567"/>
        <w:jc w:val="both"/>
      </w:pPr>
      <w:r>
        <w:rPr>
          <w:rFonts w:ascii="Calibri" w:cs="Calibri" w:eastAsia="Calibri" w:hAnsi="Calibri"/>
          <w:i/>
          <w:iCs/>
          <w:color w:val="333333"/>
          <w:sz w:val="21"/>
          <w:szCs w:val="21"/>
        </w:rPr>
        <w:t xml:space="preserve">“The moderate correlation between learned gates and chemometric priors (0.35–0.51) confirms that the model refines domain knowledge with data-driven learning rather than merely reproducing initialization.”</w:t>
      </w:r>
    </w:p>
    <w:p>
      <w:pPr>
        <w:spacing w:after="160" w:line="276"/>
        <w:jc w:val="both"/>
      </w:pPr>
      <w:r>
        <w:rPr>
          <w:rFonts w:ascii="Calibri" w:cs="Calibri" w:eastAsia="Calibri" w:hAnsi="Calibri"/>
          <w:sz w:val="22"/>
          <w:szCs w:val="22"/>
        </w:rPr>
        <w:t xml:space="preserve">The corresponding sentence in the caption of Fig. 1, and the argument built on the value 0.348 in Section 5.2, are likewise withdrawn.</w:t>
      </w:r>
    </w:p>
    <w:p>
      <w:pPr>
        <w:spacing w:after="160" w:line="276"/>
        <w:jc w:val="both"/>
      </w:pPr>
      <w:r>
        <w:rPr>
          <w:rFonts w:ascii="Calibri" w:cs="Calibri" w:eastAsia="Calibri" w:hAnsi="Calibri"/>
          <w:sz w:val="22"/>
          <w:szCs w:val="22"/>
        </w:rPr>
        <w:t xml:space="preserve">They should be replaced by the following. The gate weights reported in Table 2 and displayed in Fig. 4 are those at initialization, and under the training protocol described here the gates move very little from that starting point. The reason is a property of the initialization scheme rather than of the data. The prior is min–max normalized, so its maximum is exactly 1, and the clip at 1 − 10⁻⁷ applied before the logit transform maps that value to 16.12, while the adjacent band at 1% lower prior maps to 4.65. On Tecator the leading band therefore begins 11.47 logits ahead of the second, and on Gasoline 12.21, whereas the largest displacement of any logit during training is between 1.4 and 1.9 over ten seeds. The ranking of the leading bands cannot change during training; only the lower positions, where logits are close together, reorder. The stability of the selected bands across folds reported in Section 5.2 is a consequence of the shared initialization and is not evidence of learned selection.</w:t>
      </w:r>
    </w:p>
    <w:p>
      <w:pPr>
        <w:spacing w:after="160" w:line="276"/>
        <w:jc w:val="both"/>
      </w:pPr>
      <w:r>
        <w:rPr>
          <w:rFonts w:ascii="Calibri" w:cs="Calibri" w:eastAsia="Calibri" w:hAnsi="Calibri"/>
          <w:sz w:val="22"/>
          <w:szCs w:val="22"/>
        </w:rPr>
        <w:t xml:space="preserve">The authors note what this does and does not establish. It does not show that the 931 nm band is irrelevant: it is the maximum of the ANOVA prior, and the C–H region is chemically appropriate for fat. What it shows is that the band selection reported in this article derives from the chemometric prior and not from training, and that the article’s claim to the contrary is unsupported.</w:t>
      </w:r>
    </w:p>
    <w:p>
      <w:pPr>
        <w:spacing w:after="160" w:line="276"/>
        <w:jc w:val="both"/>
      </w:pPr>
      <w:r>
        <w:rPr>
          <w:rFonts w:ascii="Calibri" w:cs="Calibri" w:eastAsia="Calibri" w:hAnsi="Calibri"/>
          <w:sz w:val="22"/>
          <w:szCs w:val="22"/>
        </w:rPr>
        <w:t xml:space="preserve">Section 3.4 is affected in the same way. The grid search over the KL weight reported there states that λ ≥ 0.01 causes the gates to collapse toward the prior (r &gt; 0.85) and that λ ≤ 10⁻⁴ yields gates indistinguishable from random initialization. Re-running that grid under the protocol the text describes reproduces neither claim. Across the grid the article reports, from 10⁻⁴ to 10⁻¹, the Tecator gate–prior correlation stays between 0.333 and 0.350; at λ = 10⁻¹ it is 0.348, not above 0.85. Extending the grid to λ = 1 and λ = 10, two orders of magnitude beyond the largest value the article tested, raises it only to 0.42 and 0.49 on Tecator and to 0.55 and 0.61 on Gasoline, still far short of the claimed collapse. At λ = 10⁻⁴ the correlation is close to that obtained under random initialization, but the two are not interchangeable: the prior-initialized gates retain 931 nm as the leading band, which random initialization does not produce. Both statements are withdrawn.</w:t>
      </w:r>
    </w:p>
    <w:p>
      <w:pPr>
        <w:spacing w:after="160" w:line="276"/>
        <w:jc w:val="both"/>
      </w:pPr>
      <w:r>
        <w:rPr>
          <w:rFonts w:ascii="Calibri" w:cs="Calibri" w:eastAsia="Calibri" w:hAnsi="Calibri"/>
          <w:sz w:val="22"/>
          <w:szCs w:val="22"/>
        </w:rPr>
        <w:t xml:space="preserve">A further discrepancy in the same section should be recorded: the text treats the prior as a probability mass function, but the implementation uses the clipped min–max scores directly, without normalizing them to sum to one. The quantity minimized in the code is therefore not the Kullback–Leibler divergence given in Eq. (4).</w:t>
      </w:r>
    </w:p>
    <w:p>
      <w:pPr>
        <w:pStyle w:val="Heading2"/>
        <w:spacing w:after="120" w:before="260"/>
      </w:pPr>
      <w:r>
        <w:rPr>
          <w:rFonts w:ascii="Calibri" w:cs="Calibri" w:eastAsia="Calibri" w:hAnsi="Calibri"/>
          <w:b/>
          <w:bCs/>
          <w:color w:val="000000"/>
          <w:sz w:val="23"/>
          <w:szCs w:val="23"/>
        </w:rPr>
        <w:t xml:space="preserve">6. Attribution of the 7.4% figure (Section 5.2)</w:t>
      </w:r>
    </w:p>
    <w:p>
      <w:pPr>
        <w:spacing w:after="140" w:line="264"/>
        <w:ind w:left="567"/>
        <w:jc w:val="both"/>
      </w:pPr>
      <w:r>
        <w:rPr>
          <w:rFonts w:ascii="Calibri" w:cs="Calibri" w:eastAsia="Calibri" w:hAnsi="Calibri"/>
          <w:i/>
          <w:iCs/>
          <w:color w:val="333333"/>
          <w:sz w:val="21"/>
          <w:szCs w:val="21"/>
        </w:rPr>
        <w:t xml:space="preserve">Published: “The top ten selected bands span the region from 921 nm to 935 nm, collectively accounting for 7.4% of the total gate weight.”</w:t>
      </w:r>
    </w:p>
    <w:p>
      <w:pPr>
        <w:spacing w:after="160" w:line="276"/>
        <w:jc w:val="both"/>
      </w:pPr>
      <w:r>
        <w:rPr>
          <w:rFonts w:ascii="Calibri" w:cs="Calibri" w:eastAsia="Calibri" w:hAnsi="Calibri"/>
          <w:sz w:val="22"/>
          <w:szCs w:val="22"/>
        </w:rPr>
        <w:t xml:space="preserve">The 7.4% figure is the gate weight contained in the C–H region, not the weight of the ten highest-weighted bands. The ten highest-weighted bands span a wider range and together account for a substantially larger fraction of the gate weight, with two of them lying near the secondary prior peak at approximately 1045 nm. The sentence conflates the two quantities and should be replaced by a statement of each separately.</w:t>
      </w:r>
    </w:p>
    <w:p>
      <w:pPr>
        <w:pStyle w:val="Heading2"/>
        <w:spacing w:after="120" w:before="260"/>
      </w:pPr>
      <w:r>
        <w:rPr>
          <w:rFonts w:ascii="Calibri" w:cs="Calibri" w:eastAsia="Calibri" w:hAnsi="Calibri"/>
          <w:b/>
          <w:bCs/>
          <w:color w:val="000000"/>
          <w:sz w:val="23"/>
          <w:szCs w:val="23"/>
        </w:rPr>
        <w:t xml:space="preserve">7. Fixed random seed (Section 4.2)</w:t>
      </w:r>
    </w:p>
    <w:p>
      <w:pPr>
        <w:spacing w:after="140" w:line="264"/>
        <w:ind w:left="567"/>
        <w:jc w:val="both"/>
      </w:pPr>
      <w:r>
        <w:rPr>
          <w:rFonts w:ascii="Calibri" w:cs="Calibri" w:eastAsia="Calibri" w:hAnsi="Calibri"/>
          <w:i/>
          <w:iCs/>
          <w:color w:val="333333"/>
          <w:sz w:val="21"/>
          <w:szCs w:val="21"/>
        </w:rPr>
        <w:t xml:space="preserve">Published: “All neural network experiments are conducted with fixed random seed (42) for reproducibility, although we note that different seeds produce minor variations (&lt; 0.02 in R²).”</w:t>
      </w:r>
    </w:p>
    <w:p>
      <w:pPr>
        <w:spacing w:after="160" w:line="276"/>
        <w:jc w:val="both"/>
      </w:pPr>
      <w:r>
        <w:rPr>
          <w:rFonts w:ascii="Calibri" w:cs="Calibri" w:eastAsia="Calibri" w:hAnsi="Calibri"/>
          <w:sz w:val="22"/>
          <w:szCs w:val="22"/>
        </w:rPr>
        <w:t xml:space="preserve">No script in the Tecator pipeline sets a random seed. Across ten replicates of the single-test ANOVA arm, R² ranges from 0.82 to 0.95, considerably wider than the stated variation. This statement is withdrawn, and the corrected results are reported as medians over replicates as described in item 4.</w:t>
      </w:r>
    </w:p>
    <w:p>
      <w:pPr>
        <w:pStyle w:val="Heading2"/>
        <w:spacing w:after="120" w:before="260"/>
      </w:pPr>
      <w:r>
        <w:rPr>
          <w:rFonts w:ascii="Calibri" w:cs="Calibri" w:eastAsia="Calibri" w:hAnsi="Calibri"/>
          <w:b/>
          <w:bCs/>
          <w:color w:val="000000"/>
          <w:sz w:val="23"/>
          <w:szCs w:val="23"/>
        </w:rPr>
        <w:t xml:space="preserve">Scope of the corrections</w:t>
      </w:r>
    </w:p>
    <w:p>
      <w:pPr>
        <w:spacing w:after="160" w:line="276"/>
        <w:jc w:val="both"/>
      </w:pPr>
      <w:r>
        <w:rPr>
          <w:rFonts w:ascii="Calibri" w:cs="Calibri" w:eastAsia="Calibri" w:hAnsi="Calibri"/>
          <w:sz w:val="22"/>
          <w:szCs w:val="22"/>
        </w:rPr>
        <w:t xml:space="preserve">The Gasoline predictive results are not affected by item 4, since that dataset has a single target; they have been re-verified and reproduce exactly, including H* = 5, R² = 0.975 and RMSE = 0.145. The architecture description and the parameter counts are unaffected, as is the finding that the heavily parameterized CNN fails in this sample-size regime. Figures 2 and 3 are drawn from constants in the plotting scripts that match the published Table 1; they contain no independent error but must be updated to match the corrected table.</w:t>
      </w:r>
    </w:p>
    <w:p>
      <w:pPr>
        <w:spacing w:after="160" w:line="276"/>
        <w:jc w:val="both"/>
      </w:pPr>
      <w:r>
        <w:rPr>
          <w:rFonts w:ascii="Calibri" w:cs="Calibri" w:eastAsia="Calibri" w:hAnsi="Calibri"/>
          <w:sz w:val="22"/>
          <w:szCs w:val="22"/>
        </w:rPr>
        <w:t xml:space="preserve">The authors apologise to the readers of the journal for these errors.</w:t>
      </w:r>
    </w:p>
    <w:p>
      <w:pPr>
        <w:spacing w:after="0" w:line="276"/>
        <w:jc w:val="both"/>
      </w:pPr>
      <w:r>
        <w:rPr>
          <w:rFonts w:ascii="Calibri" w:cs="Calibri" w:eastAsia="Calibri" w:hAnsi="Calibri"/>
          <w:sz w:val="22"/>
          <w:szCs w:val="22"/>
        </w:rPr>
        <w:t xml:space="preserve">The authors thank Rodrigo Fernandes Vieira for the reproducibility audit that identified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2026-10-02T15:05:28.484Z</dcterms:created>
  <dcterms:modified xsi:type="dcterms:W3CDTF">2026-10-02T15:05:28.484Z</dcterms:modified>
</cp:coreProperties>
</file>

<file path=docProps/custom.xml><?xml version="1.0" encoding="utf-8"?>
<Properties xmlns="http://schemas.openxmlformats.org/officeDocument/2006/custom-properties" xmlns:vt="http://schemas.openxmlformats.org/officeDocument/2006/docPropsVTypes"/>
</file>