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sz w:val="30"/>
          <w:szCs w:val="30"/>
        </w:rPr>
        <w:t xml:space="preserve">Verification summary</w:t>
      </w:r>
    </w:p>
    <w:p>
      <w:pPr>
        <w:pBdr>
          <w:bottom w:val="single" w:color="999999" w:sz="6" w:space="8"/>
        </w:pBdr>
        <w:spacing w:after="220"/>
      </w:pPr>
      <w:r>
        <w:rPr>
          <w:rFonts w:ascii="Calibri" w:cs="Calibri" w:eastAsia="Calibri" w:hAnsi="Calibri"/>
          <w:color w:val="444444"/>
          <w:sz w:val="20"/>
          <w:szCs w:val="20"/>
        </w:rPr>
        <w:t xml:space="preserve">Supporting evidence for the proposed corrigendum to Chemom. Intell. Lab. Syst. 277 (2026) 105833</w:t>
      </w:r>
    </w:p>
    <w:p>
      <w:pPr>
        <w:spacing w:after="160" w:line="276"/>
        <w:jc w:val="both"/>
      </w:pPr>
      <w:r>
        <w:rPr>
          <w:rFonts w:ascii="Calibri" w:cs="Calibri" w:eastAsia="Calibri" w:hAnsi="Calibri"/>
          <w:sz w:val="22"/>
          <w:szCs w:val="22"/>
        </w:rPr>
        <w:t xml:space="preserve">Every finding below was produced three times, independently: by the auditor who identified the problem, by a second person working from the public repository without access to the first set of scripts, and by the corresponding author on a third machine. Where the reproductions differ, the difference is stated. The scripts are available and can be deposited as supplementary material.</w:t>
      </w:r>
    </w:p>
    <w:p>
      <w:pPr>
        <w:pStyle w:val="Heading2"/>
        <w:spacing w:after="120" w:before="260"/>
      </w:pPr>
      <w:r>
        <w:rPr>
          <w:rFonts w:ascii="Calibri" w:cs="Calibri" w:eastAsia="Calibri" w:hAnsi="Calibri"/>
          <w:b/>
          <w:bCs/>
          <w:color w:val="000000"/>
          <w:sz w:val="23"/>
          <w:szCs w:val="23"/>
        </w:rPr>
        <w:t xml:space="preserve">1. The target column</w:t>
      </w:r>
    </w:p>
    <w:p>
      <w:pPr>
        <w:spacing w:after="160" w:line="276"/>
        <w:jc w:val="both"/>
      </w:pPr>
      <w:r>
        <w:rPr>
          <w:rFonts w:ascii="Calibri" w:cs="Calibri" w:eastAsia="Calibri" w:hAnsi="Calibri"/>
          <w:sz w:val="22"/>
          <w:szCs w:val="22"/>
        </w:rPr>
        <w:t xml:space="preserve">The file data/raw/tecator/targets.csv carries the header Fat, Water, Protein. Its contents were compared element by element, across all 215 rows, against two independently labelled distributions of the dataset: fda.usc, which labels the columns Fat, Water, Protein, and OpenML dataset 505, which labels them moisture, fat, protein.</w:t>
      </w:r>
    </w:p>
    <w:p>
      <w:pPr>
        <w:spacing w:after="160" w:line="276"/>
        <w:jc w:val="both"/>
      </w:pPr>
      <w:r>
        <w:rPr>
          <w:rFonts w:ascii="Calibri" w:cs="Calibri" w:eastAsia="Calibri" w:hAnsi="Calibri"/>
          <w:sz w:val="22"/>
          <w:szCs w:val="22"/>
        </w:rPr>
        <w:t xml:space="preserve">Both give the same answer. The column labelled Fat is identical to water in 215 of 215 rows, with a maximum absolute difference of zero; against fat the maximum difference is 75.7. The column labelled Water is identical to fat, and Protein to protein. Its range is 39.30 to 76.60, against the canonical fat range of 0.9 to 49.1.</w:t>
      </w:r>
    </w:p>
    <w:p>
      <w:pPr>
        <w:spacing w:after="160" w:line="276"/>
        <w:jc w:val="both"/>
      </w:pPr>
      <w:r>
        <w:rPr>
          <w:rFonts w:ascii="Calibri" w:cs="Calibri" w:eastAsia="Calibri" w:hAnsi="Calibri"/>
          <w:sz w:val="22"/>
          <w:szCs w:val="22"/>
        </w:rPr>
        <w:t xml:space="preserve">The spectra file is identical to the source absorbance matrix row by row, in order, and the targets file is identical to the source target matrix row by row, in order, so the two are aligned with each other. A negative control confirms the check has discriminating power: when the rows are deliberately shuffled, both identity checks fail.</w:t>
      </w:r>
    </w:p>
    <w:p>
      <w:pPr>
        <w:spacing w:after="160" w:line="276"/>
        <w:jc w:val="both"/>
      </w:pPr>
      <w:r>
        <w:rPr>
          <w:rFonts w:ascii="Calibri" w:cs="Calibri" w:eastAsia="Calibri" w:hAnsi="Calibri"/>
          <w:sz w:val="22"/>
          <w:szCs w:val="22"/>
        </w:rPr>
        <w:t xml:space="preserve">All analysis scripts select y[:, 0]. The prior computation routine maps the target label “Fat” to index 0, so the ANOVA, VIP and Random Forest priors were computed on moisture as well.</w:t>
      </w:r>
    </w:p>
    <w:p>
      <w:pPr>
        <w:pStyle w:val="Heading2"/>
        <w:spacing w:after="120" w:before="260"/>
      </w:pPr>
      <w:r>
        <w:rPr>
          <w:rFonts w:ascii="Calibri" w:cs="Calibri" w:eastAsia="Calibri" w:hAnsi="Calibri"/>
          <w:b/>
          <w:bCs/>
          <w:color w:val="000000"/>
          <w:sz w:val="23"/>
          <w:szCs w:val="23"/>
        </w:rPr>
        <w:t xml:space="preserve">2. Which column reproduces the published numbers</w:t>
      </w:r>
    </w:p>
    <w:p>
      <w:pPr>
        <w:spacing w:after="160" w:line="276"/>
        <w:jc w:val="both"/>
      </w:pPr>
      <w:r>
        <w:rPr>
          <w:rFonts w:ascii="Calibri" w:cs="Calibri" w:eastAsia="Calibri" w:hAnsi="Calibri"/>
          <w:sz w:val="22"/>
          <w:szCs w:val="22"/>
        </w:rPr>
        <w:t xml:space="preserve">Only the first. The table below gives the published values against the reproduction; the agreement extends to the one-standard-error analysis quoted in Section 4.2, which confirms that the protocol being reproduced is the article’s own and not an approximation. The Gasoline results reproduce exactly and are unaffected.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1800"/>
        <w:gridCol w:w="1826"/>
      </w:tblGrid>
      <w:tr>
        <w:trPr>
          <w:tblHeader/>
        </w:trPr>
        <w:tc>
          <w:tcPr>
            <w:tcW w:type="dxa" w:w="3400"/>
            <w:shd w:fill="EEEEEE"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Quantity</w:t>
            </w:r>
          </w:p>
        </w:tc>
        <w:tc>
          <w:tcPr>
            <w:tcW w:type="dxa" w:w="2000"/>
            <w:shd w:fill="EEEEEE" w:val="clear"/>
            <w:tcMar>
              <w:top w:type="dxa" w:w="60"/>
              <w:left w:type="dxa" w:w="100"/>
              <w:bottom w:type="dxa" w:w="60"/>
              <w:right w:type="dxa" w:w="100"/>
            </w:tcMar>
          </w:tcPr>
          <w:p>
            <w:pPr>
              <w:spacing w:after="0"/>
              <w:jc w:val="center"/>
            </w:pPr>
            <w:r>
              <w:rPr>
                <w:rFonts w:ascii="Calibri" w:cs="Calibri" w:eastAsia="Calibri" w:hAnsi="Calibri"/>
                <w:b/>
                <w:bCs/>
                <w:sz w:val="20"/>
                <w:szCs w:val="20"/>
              </w:rPr>
              <w:t xml:space="preserve">Published</w:t>
            </w:r>
          </w:p>
        </w:tc>
        <w:tc>
          <w:tcPr>
            <w:tcW w:type="dxa" w:w="1800"/>
            <w:shd w:fill="EEEEEE" w:val="clear"/>
            <w:tcMar>
              <w:top w:type="dxa" w:w="60"/>
              <w:left w:type="dxa" w:w="100"/>
              <w:bottom w:type="dxa" w:w="60"/>
              <w:right w:type="dxa" w:w="100"/>
            </w:tcMar>
          </w:tcPr>
          <w:p>
            <w:pPr>
              <w:spacing w:after="0"/>
              <w:jc w:val="center"/>
            </w:pPr>
            <w:r>
              <w:rPr>
                <w:rFonts w:ascii="Calibri" w:cs="Calibri" w:eastAsia="Calibri" w:hAnsi="Calibri"/>
                <w:b/>
                <w:bCs/>
                <w:sz w:val="20"/>
                <w:szCs w:val="20"/>
              </w:rPr>
              <w:t xml:space="preserve">Reproduced</w:t>
            </w:r>
          </w:p>
        </w:tc>
        <w:tc>
          <w:tcPr>
            <w:tcW w:type="dxa" w:w="1826"/>
            <w:shd w:fill="EEEEEE" w:val="clear"/>
            <w:tcMar>
              <w:top w:type="dxa" w:w="60"/>
              <w:left w:type="dxa" w:w="100"/>
              <w:bottom w:type="dxa" w:w="60"/>
              <w:right w:type="dxa" w:w="100"/>
            </w:tcMar>
          </w:tcPr>
          <w:p>
            <w:pPr>
              <w:spacing w:after="0"/>
              <w:jc w:val="center"/>
            </w:pPr>
            <w:r>
              <w:rPr>
                <w:rFonts w:ascii="Calibri" w:cs="Calibri" w:eastAsia="Calibri" w:hAnsi="Calibri"/>
                <w:b/>
                <w:bCs/>
                <w:sz w:val="20"/>
                <w:szCs w:val="20"/>
              </w:rPr>
              <w:t xml:space="preserve">Column</w:t>
            </w:r>
          </w:p>
        </w:tc>
      </w:tr>
      <w:tr>
        <w:trPr>
          <w:tblHeader w:val="false"/>
        </w:trPr>
        <w:tc>
          <w:tcPr>
            <w:tcW w:type="dxa" w:w="34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PLS single test, R²</w:t>
            </w:r>
          </w:p>
        </w:tc>
        <w:tc>
          <w:tcPr>
            <w:tcW w:type="dxa" w:w="200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0.919</w:t>
            </w:r>
          </w:p>
        </w:tc>
        <w:tc>
          <w:tcPr>
            <w:tcW w:type="dxa" w:w="180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0.9191</w:t>
            </w:r>
          </w:p>
        </w:tc>
        <w:tc>
          <w:tcPr>
            <w:tcW w:type="dxa" w:w="1826"/>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moisture</w:t>
            </w:r>
          </w:p>
        </w:tc>
      </w:tr>
      <w:tr>
        <w:trPr>
          <w:tblHeader w:val="false"/>
        </w:trPr>
        <w:tc>
          <w:tcPr>
            <w:tcW w:type="dxa" w:w="34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PLS single test, RMSE</w:t>
            </w:r>
          </w:p>
        </w:tc>
        <w:tc>
          <w:tcPr>
            <w:tcW w:type="dxa" w:w="200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0.296</w:t>
            </w:r>
          </w:p>
        </w:tc>
        <w:tc>
          <w:tcPr>
            <w:tcW w:type="dxa" w:w="180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0.2957</w:t>
            </w:r>
          </w:p>
        </w:tc>
        <w:tc>
          <w:tcPr>
            <w:tcW w:type="dxa" w:w="1826"/>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moisture</w:t>
            </w:r>
          </w:p>
        </w:tc>
      </w:tr>
      <w:tr>
        <w:trPr>
          <w:tblHeader w:val="false"/>
        </w:trPr>
        <w:tc>
          <w:tcPr>
            <w:tcW w:type="dxa" w:w="34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RMSECV at H minimum</w:t>
            </w:r>
          </w:p>
        </w:tc>
        <w:tc>
          <w:tcPr>
            <w:tcW w:type="dxa" w:w="200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0.2093 ± 0.0269</w:t>
            </w:r>
          </w:p>
        </w:tc>
        <w:tc>
          <w:tcPr>
            <w:tcW w:type="dxa" w:w="180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0.2093 ± 0.0269</w:t>
            </w:r>
          </w:p>
        </w:tc>
        <w:tc>
          <w:tcPr>
            <w:tcW w:type="dxa" w:w="1826"/>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moisture</w:t>
            </w:r>
          </w:p>
        </w:tc>
      </w:tr>
      <w:tr>
        <w:trPr>
          <w:tblHeader w:val="false"/>
        </w:trPr>
        <w:tc>
          <w:tcPr>
            <w:tcW w:type="dxa" w:w="34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H at minimum / H*</w:t>
            </w:r>
          </w:p>
        </w:tc>
        <w:tc>
          <w:tcPr>
            <w:tcW w:type="dxa" w:w="200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14 / 10</w:t>
            </w:r>
          </w:p>
        </w:tc>
        <w:tc>
          <w:tcPr>
            <w:tcW w:type="dxa" w:w="180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14 / 10</w:t>
            </w:r>
          </w:p>
        </w:tc>
        <w:tc>
          <w:tcPr>
            <w:tcW w:type="dxa" w:w="1826"/>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moisture</w:t>
            </w:r>
          </w:p>
        </w:tc>
      </w:tr>
      <w:tr>
        <w:trPr>
          <w:tblHeader w:val="false"/>
        </w:trPr>
        <w:tc>
          <w:tcPr>
            <w:tcW w:type="dxa" w:w="34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PLS single test on fat, R²</w:t>
            </w:r>
          </w:p>
        </w:tc>
        <w:tc>
          <w:tcPr>
            <w:tcW w:type="dxa" w:w="200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w:t>
            </w:r>
          </w:p>
        </w:tc>
        <w:tc>
          <w:tcPr>
            <w:tcW w:type="dxa" w:w="180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0.9462</w:t>
            </w:r>
          </w:p>
        </w:tc>
        <w:tc>
          <w:tcPr>
            <w:tcW w:type="dxa" w:w="1826"/>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fat</w:t>
            </w:r>
          </w:p>
        </w:tc>
      </w:tr>
      <w:tr>
        <w:trPr>
          <w:tblHeader w:val="false"/>
        </w:trPr>
        <w:tc>
          <w:tcPr>
            <w:tcW w:type="dxa" w:w="34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H* on fat</w:t>
            </w:r>
          </w:p>
        </w:tc>
        <w:tc>
          <w:tcPr>
            <w:tcW w:type="dxa" w:w="200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w:t>
            </w:r>
          </w:p>
        </w:tc>
        <w:tc>
          <w:tcPr>
            <w:tcW w:type="dxa" w:w="180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12</w:t>
            </w:r>
          </w:p>
        </w:tc>
        <w:tc>
          <w:tcPr>
            <w:tcW w:type="dxa" w:w="1826"/>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fat</w:t>
            </w:r>
          </w:p>
        </w:tc>
      </w:tr>
      <w:tr>
        <w:trPr>
          <w:tblHeader w:val="false"/>
        </w:trPr>
        <w:tc>
          <w:tcPr>
            <w:tcW w:type="dxa" w:w="34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Gasoline PLS, R² / RMSE</w:t>
            </w:r>
          </w:p>
        </w:tc>
        <w:tc>
          <w:tcPr>
            <w:tcW w:type="dxa" w:w="200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0.975 / 0.145</w:t>
            </w:r>
          </w:p>
        </w:tc>
        <w:tc>
          <w:tcPr>
            <w:tcW w:type="dxa" w:w="180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0.9752 / 0.1453</w:t>
            </w:r>
          </w:p>
        </w:tc>
        <w:tc>
          <w:tcPr>
            <w:tcW w:type="dxa" w:w="1826"/>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octane</w:t>
            </w:r>
          </w:p>
        </w:tc>
      </w:tr>
      <w:tr>
        <w:trPr>
          <w:tblHeader w:val="false"/>
        </w:trPr>
        <w:tc>
          <w:tcPr>
            <w:tcW w:type="dxa" w:w="34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Gasoline H*</w:t>
            </w:r>
          </w:p>
        </w:tc>
        <w:tc>
          <w:tcPr>
            <w:tcW w:type="dxa" w:w="200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5</w:t>
            </w:r>
          </w:p>
        </w:tc>
        <w:tc>
          <w:tcPr>
            <w:tcW w:type="dxa" w:w="180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5</w:t>
            </w:r>
          </w:p>
        </w:tc>
        <w:tc>
          <w:tcPr>
            <w:tcW w:type="dxa" w:w="1826"/>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octane</w:t>
            </w:r>
          </w:p>
        </w:tc>
      </w:tr>
    </w:tbl>
    <w:p>
      <w:pPr>
        <w:spacing w:after="100" w:line="276"/>
        <w:jc w:val="both"/>
      </w:pPr>
    </w:p>
    <w:p>
      <w:pPr>
        <w:spacing w:after="160" w:line="276"/>
        <w:jc w:val="both"/>
      </w:pPr>
      <w:r>
        <w:rPr>
          <w:rFonts w:ascii="Calibri" w:cs="Calibri" w:eastAsia="Calibri" w:hAnsi="Calibri"/>
          <w:sz w:val="22"/>
          <w:szCs w:val="22"/>
        </w:rPr>
        <w:t xml:space="preserve">The five-fold PLS standard deviation is the one quantity that does not reproduce. The article gives ± 0.018; the authors’ own saved output for the same folds gives ± 0.0439, and re-running gives 0.0439 as a population standard deviation and 0.0491 as a sample standard deviation. No calculation we have tried yields 0.018.</w:t>
      </w:r>
    </w:p>
    <w:p>
      <w:pPr>
        <w:pStyle w:val="Heading2"/>
        <w:spacing w:after="120" w:before="260"/>
      </w:pPr>
      <w:r>
        <w:rPr>
          <w:rFonts w:ascii="Calibri" w:cs="Calibri" w:eastAsia="Calibri" w:hAnsi="Calibri"/>
          <w:b/>
          <w:bCs/>
          <w:color w:val="000000"/>
          <w:sz w:val="23"/>
          <w:szCs w:val="23"/>
        </w:rPr>
        <w:t xml:space="preserve">3. The gate values</w:t>
      </w:r>
    </w:p>
    <w:p>
      <w:pPr>
        <w:spacing w:after="160" w:line="276"/>
        <w:jc w:val="both"/>
      </w:pPr>
      <w:r>
        <w:rPr>
          <w:rFonts w:ascii="Calibri" w:cs="Calibri" w:eastAsia="Calibri" w:hAnsi="Calibri"/>
          <w:sz w:val="22"/>
          <w:szCs w:val="22"/>
        </w:rPr>
        <w:t xml:space="preserve">Two independent lines of evidence establish that the published gate values are those at initialization.</w:t>
      </w:r>
    </w:p>
    <w:p>
      <w:pPr>
        <w:spacing w:after="160" w:line="276"/>
        <w:jc w:val="both"/>
      </w:pPr>
      <w:r>
        <w:rPr>
          <w:rFonts w:ascii="Calibri" w:cs="Calibri" w:eastAsia="Calibri" w:hAnsi="Calibri"/>
          <w:b/>
          <w:bCs/>
          <w:sz w:val="22"/>
          <w:szCs w:val="22"/>
        </w:rPr>
        <w:t xml:space="preserve">Code.</w:t>
      </w:r>
      <w:r>
        <w:rPr>
          <w:rFonts w:ascii="Calibri" w:cs="Calibri" w:eastAsia="Calibri" w:hAnsi="Calibri"/>
          <w:sz w:val="22"/>
          <w:szCs w:val="22"/>
        </w:rPr>
        <w:t xml:space="preserve"> The gate analysis script instantiates a new model and reads its gate weights. There is no model loading in it, and a search of the entire repository finds no call that saves or loads a model, so no trained model exists to load. The figure of the “learned” gates is produced by that same script.</w:t>
      </w:r>
    </w:p>
    <w:p>
      <w:pPr>
        <w:spacing w:after="160" w:line="276"/>
        <w:jc w:val="both"/>
      </w:pPr>
      <w:r>
        <w:rPr>
          <w:rFonts w:ascii="Calibri" w:cs="Calibri" w:eastAsia="Calibri" w:hAnsi="Calibri"/>
          <w:b/>
          <w:bCs/>
          <w:sz w:val="22"/>
          <w:szCs w:val="22"/>
        </w:rPr>
        <w:t xml:space="preserve">Measurement.</w:t>
      </w:r>
      <w:r>
        <w:rPr>
          <w:rFonts w:ascii="Calibri" w:cs="Calibri" w:eastAsia="Calibri" w:hAnsi="Calibri"/>
          <w:sz w:val="22"/>
          <w:szCs w:val="22"/>
        </w:rPr>
        <w:t xml:space="preserve"> The criterion was fixed before measuring: a condition reproduces a published pair when the top-gate weight and the gate–prior correlation both match at three decimal places, the published precision. Because the pipeline sets no random seed, every trained condition was repeated over ten seeds.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0"/>
        <w:gridCol w:w="1900"/>
        <w:gridCol w:w="1950"/>
        <w:gridCol w:w="2026"/>
      </w:tblGrid>
      <w:tr>
        <w:trPr>
          <w:tblHeader/>
        </w:trPr>
        <w:tc>
          <w:tcPr>
            <w:tcW w:type="dxa" w:w="3150"/>
            <w:shd w:fill="EEEEEE"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Quantity</w:t>
            </w:r>
          </w:p>
        </w:tc>
        <w:tc>
          <w:tcPr>
            <w:tcW w:type="dxa" w:w="1900"/>
            <w:shd w:fill="EEEEEE" w:val="clear"/>
            <w:tcMar>
              <w:top w:type="dxa" w:w="60"/>
              <w:left w:type="dxa" w:w="100"/>
              <w:bottom w:type="dxa" w:w="60"/>
              <w:right w:type="dxa" w:w="100"/>
            </w:tcMar>
          </w:tcPr>
          <w:p>
            <w:pPr>
              <w:spacing w:after="0"/>
              <w:jc w:val="center"/>
            </w:pPr>
            <w:r>
              <w:rPr>
                <w:rFonts w:ascii="Calibri" w:cs="Calibri" w:eastAsia="Calibri" w:hAnsi="Calibri"/>
                <w:b/>
                <w:bCs/>
                <w:sz w:val="20"/>
                <w:szCs w:val="20"/>
              </w:rPr>
              <w:t xml:space="preserve">Untrained</w:t>
            </w:r>
          </w:p>
        </w:tc>
        <w:tc>
          <w:tcPr>
            <w:tcW w:type="dxa" w:w="1950"/>
            <w:shd w:fill="EEEEEE" w:val="clear"/>
            <w:tcMar>
              <w:top w:type="dxa" w:w="60"/>
              <w:left w:type="dxa" w:w="100"/>
              <w:bottom w:type="dxa" w:w="60"/>
              <w:right w:type="dxa" w:w="100"/>
            </w:tcMar>
          </w:tcPr>
          <w:p>
            <w:pPr>
              <w:spacing w:after="0"/>
              <w:jc w:val="center"/>
            </w:pPr>
            <w:r>
              <w:rPr>
                <w:rFonts w:ascii="Calibri" w:cs="Calibri" w:eastAsia="Calibri" w:hAnsi="Calibri"/>
                <w:b/>
                <w:bCs/>
                <w:sz w:val="20"/>
                <w:szCs w:val="20"/>
              </w:rPr>
              <w:t xml:space="preserve">Trained (10 seeds)</w:t>
            </w:r>
          </w:p>
        </w:tc>
        <w:tc>
          <w:tcPr>
            <w:tcW w:type="dxa" w:w="2026"/>
            <w:shd w:fill="EEEEEE" w:val="clear"/>
            <w:tcMar>
              <w:top w:type="dxa" w:w="60"/>
              <w:left w:type="dxa" w:w="100"/>
              <w:bottom w:type="dxa" w:w="60"/>
              <w:right w:type="dxa" w:w="100"/>
            </w:tcMar>
          </w:tcPr>
          <w:p>
            <w:pPr>
              <w:spacing w:after="0"/>
              <w:jc w:val="center"/>
            </w:pPr>
            <w:r>
              <w:rPr>
                <w:rFonts w:ascii="Calibri" w:cs="Calibri" w:eastAsia="Calibri" w:hAnsi="Calibri"/>
                <w:b/>
                <w:bCs/>
                <w:sz w:val="20"/>
                <w:szCs w:val="20"/>
              </w:rPr>
              <w:t xml:space="preserve">Published</w:t>
            </w:r>
          </w:p>
        </w:tc>
      </w:tr>
      <w:tr>
        <w:trPr>
          <w:tblHeader w:val="false"/>
        </w:trPr>
        <w:tc>
          <w:tcPr>
            <w:tcW w:type="dxa" w:w="315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Tecator, top band</w:t>
            </w:r>
          </w:p>
        </w:tc>
        <w:tc>
          <w:tcPr>
            <w:tcW w:type="dxa" w:w="190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931 nm</w:t>
            </w:r>
          </w:p>
        </w:tc>
        <w:tc>
          <w:tcPr>
            <w:tcW w:type="dxa" w:w="195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931 nm</w:t>
            </w:r>
          </w:p>
        </w:tc>
        <w:tc>
          <w:tcPr>
            <w:tcW w:type="dxa" w:w="2026"/>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931 nm</w:t>
            </w:r>
          </w:p>
        </w:tc>
      </w:tr>
      <w:tr>
        <w:trPr>
          <w:tblHeader w:val="false"/>
        </w:trPr>
        <w:tc>
          <w:tcPr>
            <w:tcW w:type="dxa" w:w="315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Tecator, top gate weight</w:t>
            </w:r>
          </w:p>
        </w:tc>
        <w:tc>
          <w:tcPr>
            <w:tcW w:type="dxa" w:w="190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0.2148</w:t>
            </w:r>
          </w:p>
        </w:tc>
        <w:tc>
          <w:tcPr>
            <w:tcW w:type="dxa" w:w="195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0.2136 – 0.2192</w:t>
            </w:r>
          </w:p>
        </w:tc>
        <w:tc>
          <w:tcPr>
            <w:tcW w:type="dxa" w:w="2026"/>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0.215</w:t>
            </w:r>
          </w:p>
        </w:tc>
      </w:tr>
      <w:tr>
        <w:trPr>
          <w:tblHeader w:val="false"/>
        </w:trPr>
        <w:tc>
          <w:tcPr>
            <w:tcW w:type="dxa" w:w="315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Tecator, corr. with prior</w:t>
            </w:r>
          </w:p>
        </w:tc>
        <w:tc>
          <w:tcPr>
            <w:tcW w:type="dxa" w:w="190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0.3482</w:t>
            </w:r>
          </w:p>
        </w:tc>
        <w:tc>
          <w:tcPr>
            <w:tcW w:type="dxa" w:w="195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0.3326 – 0.3403</w:t>
            </w:r>
          </w:p>
        </w:tc>
        <w:tc>
          <w:tcPr>
            <w:tcW w:type="dxa" w:w="2026"/>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0.348</w:t>
            </w:r>
          </w:p>
        </w:tc>
      </w:tr>
      <w:tr>
        <w:trPr>
          <w:tblHeader w:val="false"/>
        </w:trPr>
        <w:tc>
          <w:tcPr>
            <w:tcW w:type="dxa" w:w="315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Tecator, C–H region</w:t>
            </w:r>
          </w:p>
        </w:tc>
        <w:tc>
          <w:tcPr>
            <w:tcW w:type="dxa" w:w="190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7.39%</w:t>
            </w:r>
          </w:p>
        </w:tc>
        <w:tc>
          <w:tcPr>
            <w:tcW w:type="dxa" w:w="195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7.14 – 7.34%</w:t>
            </w:r>
          </w:p>
        </w:tc>
        <w:tc>
          <w:tcPr>
            <w:tcW w:type="dxa" w:w="2026"/>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7.4%</w:t>
            </w:r>
          </w:p>
        </w:tc>
      </w:tr>
      <w:tr>
        <w:trPr>
          <w:tblHeader w:val="false"/>
        </w:trPr>
        <w:tc>
          <w:tcPr>
            <w:tcW w:type="dxa" w:w="315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Tecator, O–H region</w:t>
            </w:r>
          </w:p>
        </w:tc>
        <w:tc>
          <w:tcPr>
            <w:tcW w:type="dxa" w:w="190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3.54%</w:t>
            </w:r>
          </w:p>
        </w:tc>
        <w:tc>
          <w:tcPr>
            <w:tcW w:type="dxa" w:w="195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3.51 – 3.58%</w:t>
            </w:r>
          </w:p>
        </w:tc>
        <w:tc>
          <w:tcPr>
            <w:tcW w:type="dxa" w:w="2026"/>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3.5%</w:t>
            </w:r>
          </w:p>
        </w:tc>
      </w:tr>
      <w:tr>
        <w:trPr>
          <w:tblHeader w:val="false"/>
        </w:trPr>
        <w:tc>
          <w:tcPr>
            <w:tcW w:type="dxa" w:w="315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Gasoline, top band</w:t>
            </w:r>
          </w:p>
        </w:tc>
        <w:tc>
          <w:tcPr>
            <w:tcW w:type="dxa" w:w="190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154</w:t>
            </w:r>
          </w:p>
        </w:tc>
        <w:tc>
          <w:tcPr>
            <w:tcW w:type="dxa" w:w="195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154</w:t>
            </w:r>
          </w:p>
        </w:tc>
        <w:tc>
          <w:tcPr>
            <w:tcW w:type="dxa" w:w="2026"/>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154</w:t>
            </w:r>
          </w:p>
        </w:tc>
      </w:tr>
      <w:tr>
        <w:trPr>
          <w:tblHeader w:val="false"/>
        </w:trPr>
        <w:tc>
          <w:tcPr>
            <w:tcW w:type="dxa" w:w="315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Gasoline, top gate weight</w:t>
            </w:r>
          </w:p>
        </w:tc>
        <w:tc>
          <w:tcPr>
            <w:tcW w:type="dxa" w:w="190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0.1298</w:t>
            </w:r>
          </w:p>
        </w:tc>
        <w:tc>
          <w:tcPr>
            <w:tcW w:type="dxa" w:w="195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0.1023 – 0.1129</w:t>
            </w:r>
          </w:p>
        </w:tc>
        <w:tc>
          <w:tcPr>
            <w:tcW w:type="dxa" w:w="2026"/>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0.130</w:t>
            </w:r>
          </w:p>
        </w:tc>
      </w:tr>
      <w:tr>
        <w:trPr>
          <w:tblHeader w:val="false"/>
        </w:trPr>
        <w:tc>
          <w:tcPr>
            <w:tcW w:type="dxa" w:w="315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Gasoline, corr. with prior</w:t>
            </w:r>
          </w:p>
        </w:tc>
        <w:tc>
          <w:tcPr>
            <w:tcW w:type="dxa" w:w="190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0.5066</w:t>
            </w:r>
          </w:p>
        </w:tc>
        <w:tc>
          <w:tcPr>
            <w:tcW w:type="dxa" w:w="195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0.4873 – 0.4999</w:t>
            </w:r>
          </w:p>
        </w:tc>
        <w:tc>
          <w:tcPr>
            <w:tcW w:type="dxa" w:w="2026"/>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0.507</w:t>
            </w:r>
          </w:p>
        </w:tc>
      </w:tr>
    </w:tbl>
    <w:p>
      <w:pPr>
        <w:spacing w:after="100" w:line="276"/>
        <w:jc w:val="both"/>
      </w:pPr>
    </w:p>
    <w:p>
      <w:pPr>
        <w:spacing w:after="160" w:line="276"/>
        <w:jc w:val="both"/>
      </w:pPr>
      <w:r>
        <w:rPr>
          <w:rFonts w:ascii="Calibri" w:cs="Calibri" w:eastAsia="Calibri" w:hAnsi="Calibri"/>
          <w:sz w:val="22"/>
          <w:szCs w:val="22"/>
        </w:rPr>
        <w:t xml:space="preserve">Untrained reproduces the pair in ten of ten seeds on both datasets. Trained reproduces it in none, on either dataset: on Tecator the correlation falls below the published value in every seed, and on Gasoline both quantities do. Individual quantities taken in isolation behave differently — the Tecator top weight and the O–H figure remain compatible with the published values — which is why the joint criterion was fixed in advance.</w:t>
      </w:r>
    </w:p>
    <w:p>
      <w:pPr>
        <w:spacing w:after="160" w:line="276"/>
        <w:jc w:val="both"/>
      </w:pPr>
      <w:r>
        <w:rPr>
          <w:rFonts w:ascii="Calibri" w:cs="Calibri" w:eastAsia="Calibri" w:hAnsi="Calibri"/>
          <w:sz w:val="22"/>
          <w:szCs w:val="22"/>
        </w:rPr>
        <w:t xml:space="preserve">A sweep was then run over training length (0 to 200 epochs without early stopping), learning rate (10⁻⁴ to 10⁻²) and KL weight (0 to 10), ten seeds each, on both datasets — twenty conditions in all. Zero training reproduces the pair in 10 of 10 seeds on both datasets. Every other condition reproduces it in 3 of 10 or fewer, and the few partial hits occur only at one to five epochs or at a learning rate of 10⁻⁴, that is, in conditions where training has barely moved the model. What this does not exclude is a training configuration outside the sweep; the claim is therefore that the published values correspond to the initialization, not that no training was ever performed.</w:t>
      </w:r>
    </w:p>
    <w:p>
      <w:pPr>
        <w:pStyle w:val="Heading2"/>
        <w:spacing w:after="120" w:before="260"/>
      </w:pPr>
      <w:r>
        <w:rPr>
          <w:rFonts w:ascii="Calibri" w:cs="Calibri" w:eastAsia="Calibri" w:hAnsi="Calibri"/>
          <w:b/>
          <w:bCs/>
          <w:color w:val="000000"/>
          <w:sz w:val="23"/>
          <w:szCs w:val="23"/>
        </w:rPr>
        <w:t xml:space="preserve">4. The mechanism</w:t>
      </w:r>
    </w:p>
    <w:p>
      <w:pPr>
        <w:spacing w:after="160" w:line="276"/>
        <w:jc w:val="both"/>
      </w:pPr>
      <w:r>
        <w:rPr>
          <w:rFonts w:ascii="Calibri" w:cs="Calibri" w:eastAsia="Calibri" w:hAnsi="Calibri"/>
          <w:sz w:val="22"/>
          <w:szCs w:val="22"/>
        </w:rPr>
        <w:t xml:space="preserve">The prior is min–max normalized, so its maximum is exactly 1. The clip at 1 − 10⁻⁷ applied before the logit transform sends that value to 16.12, while the neighbouring band, 1% lower in the prior, maps to 4.65 — a gate an order of magnitude smaller for a one percent difference in the prior. The minimum of the prior maps to −16.12, which produces the trough visible in the published figure.</w:t>
      </w:r>
    </w:p>
    <w:p>
      <w:pPr>
        <w:spacing w:after="160" w:line="276"/>
        <w:jc w:val="both"/>
      </w:pPr>
      <w:r>
        <w:rPr>
          <w:rFonts w:ascii="Calibri" w:cs="Calibri" w:eastAsia="Calibri" w:hAnsi="Calibri"/>
          <w:sz w:val="22"/>
          <w:szCs w:val="22"/>
        </w:rPr>
        <w:t xml:space="preserve">On Tecator the leading band begins 11.47 logits ahead of the second; on Gasoline, 12.21. Under the article’s protocol the largest displacement of any logit over ten seeds is between 1.4 and 1.9 on Tecator and between 1.2 and 1.8 on Gasoline, and the gap between first and second ends essentially where it began. The leading gate cannot change rank. Only the lower positions, where logits are close together, reorder — and that is what the across-fold stability reported in Section 5.2 measures.</w:t>
      </w:r>
    </w:p>
    <w:p>
      <w:pPr>
        <w:pStyle w:val="Heading2"/>
        <w:spacing w:after="120" w:before="260"/>
      </w:pPr>
      <w:r>
        <w:rPr>
          <w:rFonts w:ascii="Calibri" w:cs="Calibri" w:eastAsia="Calibri" w:hAnsi="Calibri"/>
          <w:b/>
          <w:bCs/>
          <w:color w:val="000000"/>
          <w:sz w:val="23"/>
          <w:szCs w:val="23"/>
        </w:rPr>
        <w:t xml:space="preserve">5. The KL grid search</w:t>
      </w:r>
    </w:p>
    <w:p>
      <w:pPr>
        <w:spacing w:after="160" w:line="276"/>
        <w:jc w:val="both"/>
      </w:pPr>
      <w:r>
        <w:rPr>
          <w:rFonts w:ascii="Calibri" w:cs="Calibri" w:eastAsia="Calibri" w:hAnsi="Calibri"/>
          <w:sz w:val="22"/>
          <w:szCs w:val="22"/>
        </w:rPr>
        <w:t xml:space="preserve">The grid over the KL weight was re-run under the protocol the text describes, ten seeds per value, on both datasets. None of the three claims in Section 3.4 reproduces. On Tecator the median gate–prior correlation is 0.337 at λ = 10⁻⁴, 0.337 at 10⁻³, 0.338 at 10⁻² and 0.348 at 10⁻¹ — the last two being the range where the article claims collapse above r = 0.85. Extending the grid well beyond what the article tested gives 0.42 at λ = 1 and 0.49 at λ = 10; on Gasoline, 0.55 and 0.61. No run in any condition approaches 0.85.</w:t>
      </w:r>
    </w:p>
    <w:p>
      <w:pPr>
        <w:spacing w:after="160" w:line="276"/>
        <w:jc w:val="both"/>
      </w:pPr>
      <w:r>
        <w:rPr>
          <w:rFonts w:ascii="Calibri" w:cs="Calibri" w:eastAsia="Calibri" w:hAnsi="Calibri"/>
          <w:sz w:val="22"/>
          <w:szCs w:val="22"/>
        </w:rPr>
        <w:t xml:space="preserve">At λ = 10⁻⁴ the correlation is close to that obtained under random initialization (0.323, range 0.249 to 0.427), so the correlation alone does not distinguish them. The two are not interchangeable, however: the prior-initialized gates retain 931 nm as the leading band, which random initialization does not produce. The claim as stated, which concerns chemical interpretability, is not supported.</w:t>
      </w:r>
    </w:p>
    <w:p>
      <w:pPr>
        <w:spacing w:after="160" w:line="276"/>
        <w:jc w:val="both"/>
      </w:pPr>
      <w:r>
        <w:rPr>
          <w:rFonts w:ascii="Calibri" w:cs="Calibri" w:eastAsia="Calibri" w:hAnsi="Calibri"/>
          <w:sz w:val="22"/>
          <w:szCs w:val="22"/>
        </w:rPr>
        <w:t xml:space="preserve">A further observation makes the point concrete: at λ = 0, with the regularizer switched off entirely, the Tecator correlation is 0.337 — the same value obtained at the article’s λ = 0.001. At the weight the article uses, the KL term makes no measurable difference to the gates.</w:t>
      </w:r>
    </w:p>
    <w:p>
      <w:pPr>
        <w:spacing w:after="160" w:line="276"/>
        <w:jc w:val="both"/>
      </w:pPr>
      <w:r>
        <w:rPr>
          <w:rFonts w:ascii="Calibri" w:cs="Calibri" w:eastAsia="Calibri" w:hAnsi="Calibri"/>
          <w:sz w:val="22"/>
          <w:szCs w:val="22"/>
        </w:rPr>
        <w:t xml:space="preserve">All of this is consistent with the mechanism above: with displacements of at most about 2 logits against an initial gap of 11.5, the value of λ cannot move the leading gates appreciably.</w:t>
      </w:r>
    </w:p>
    <w:p>
      <w:pPr>
        <w:pStyle w:val="Heading2"/>
        <w:spacing w:after="120" w:before="260"/>
      </w:pPr>
      <w:r>
        <w:rPr>
          <w:rFonts w:ascii="Calibri" w:cs="Calibri" w:eastAsia="Calibri" w:hAnsi="Calibri"/>
          <w:b/>
          <w:bCs/>
          <w:color w:val="000000"/>
          <w:sz w:val="23"/>
          <w:szCs w:val="23"/>
        </w:rPr>
        <w:t xml:space="preserve">6. Agreement between the two reproductions</w:t>
      </w:r>
    </w:p>
    <w:p>
      <w:pPr>
        <w:spacing w:after="160" w:line="276"/>
        <w:jc w:val="both"/>
      </w:pPr>
      <w:r>
        <w:rPr>
          <w:rFonts w:ascii="Calibri" w:cs="Calibri" w:eastAsia="Calibri" w:hAnsi="Calibri"/>
          <w:sz w:val="22"/>
          <w:szCs w:val="22"/>
        </w:rPr>
        <w:t xml:space="preserve">The deterministic quantities — the column identity, every PLS result, H*, the parameter counts, and the untrained gate values — agree to every reported digit across all three reproductions, on three machines with different library versions. So do the trained gate measurements: the Tecator gate–prior correlation after training falls in 0.332–0.340 in all three, and the largest logit displacement in 1.5–1.9 against an initial gap of 11.47.</w:t>
      </w:r>
    </w:p>
    <w:p>
      <w:pPr>
        <w:spacing w:after="160" w:line="276"/>
        <w:jc w:val="both"/>
      </w:pPr>
      <w:r>
        <w:rPr>
          <w:rFonts w:ascii="Calibri" w:cs="Calibri" w:eastAsia="Calibri" w:hAnsi="Calibri"/>
          <w:sz w:val="22"/>
          <w:szCs w:val="22"/>
        </w:rPr>
        <w:t xml:space="preserve">The network arms do not. The published pipeline uses different hyperparameters for different arms — the compact model trains with a KL weight of 10⁻³, weight decay 10⁻⁴ and patience 30; the heavy CNN with a KL weight of 10⁻⁴, no weight decay and patience 20; the randomly initialized arm runs all 200 epochs without early stopping — and applying one recipe to all of them shifts the heavy-CNN median by several tenths of an R² unit. With the recipes matched, the three reproductions still give medians that differ by up to 0.03 on the same arm: the single-test ANOVA arm on the published target gives 0.905, 0.922 and 0.932. The difference is attributable to library versions, which affect layer initialization and the consumption of the random number stream, and it is small against the replicate spread within any one run — that same arm ranges from 0.82 to 0.95.</w:t>
      </w:r>
    </w:p>
    <w:p>
      <w:pPr>
        <w:spacing w:after="160" w:line="276"/>
        <w:jc w:val="both"/>
      </w:pPr>
      <w:r>
        <w:rPr>
          <w:rFonts w:ascii="Calibri" w:cs="Calibri" w:eastAsia="Calibri" w:hAnsi="Calibri"/>
          <w:sz w:val="22"/>
          <w:szCs w:val="22"/>
        </w:rPr>
        <w:t xml:space="preserve">This is reported rather than reconciled, because it is itself part of the finding: single runs of this pipeline are not reproducible, which is why the corrected table reports medians and ranges rather than point values, and why the performance gap is stated as a range.</w:t>
      </w:r>
    </w:p>
    <w:p>
      <w:pPr>
        <w:pStyle w:val="Heading2"/>
        <w:spacing w:after="120" w:before="260"/>
      </w:pPr>
      <w:r>
        <w:rPr>
          <w:rFonts w:ascii="Calibri" w:cs="Calibri" w:eastAsia="Calibri" w:hAnsi="Calibri"/>
          <w:b/>
          <w:bCs/>
          <w:color w:val="000000"/>
          <w:sz w:val="23"/>
          <w:szCs w:val="23"/>
        </w:rPr>
        <w:t xml:space="preserve">7. What the re-run values are not</w:t>
      </w:r>
    </w:p>
    <w:p>
      <w:pPr>
        <w:spacing w:after="0" w:line="276"/>
        <w:jc w:val="both"/>
      </w:pPr>
      <w:r>
        <w:rPr>
          <w:rFonts w:ascii="Calibri" w:cs="Calibri" w:eastAsia="Calibri" w:hAnsi="Calibri"/>
          <w:sz w:val="22"/>
          <w:szCs w:val="22"/>
        </w:rPr>
        <w:t xml:space="preserve">None of the re-run values should be read as a clean measure of performance. The published protocol stops training by observing the test set in the single-split arms, and the final model is that of the last epoch; the five-fold arm has the analogous problem against its validation fold, and computes the prior over the full training set, which contains those folds. The protocol was reproduced exactly as published, without correcting these properties, so that the effect of the target change could be measured with everything else held fixed.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2026-10-02T15:21:39.819Z</dcterms:created>
  <dcterms:modified xsi:type="dcterms:W3CDTF">2026-10-02T15:21:39.819Z</dcterms:modified>
</cp:coreProperties>
</file>

<file path=docProps/custom.xml><?xml version="1.0" encoding="utf-8"?>
<Properties xmlns="http://schemas.openxmlformats.org/officeDocument/2006/custom-properties" xmlns:vt="http://schemas.openxmlformats.org/officeDocument/2006/docPropsVTypes"/>
</file>