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5f6368"/>
          <w:sz w:val="26"/>
          <w:szCs w:val="26"/>
        </w:rPr>
        <w:t xml:space="preserve">PROPUESTA TÉCNICA</w:t>
      </w:r>
    </w:p>
    <w:p>
      <w:pPr>
        <w:spacing w:after="200" w:before="200"/>
        <w:jc w:val="center"/>
      </w:pPr>
      <w:r>
        <w:rPr>
          <w:b/>
          <w:bCs/>
          <w:color w:val="174EA6"/>
          <w:sz w:val="44"/>
          <w:szCs w:val="44"/>
        </w:rPr>
        <w:t xml:space="preserve">Implementación de Solución Web de 3 Niveles</w:t>
      </w:r>
    </w:p>
    <w:p>
      <w:pPr>
        <w:spacing w:after="200"/>
        <w:jc w:val="center"/>
      </w:pPr>
      <w:r>
        <w:rPr>
          <w:b/>
          <w:bCs/>
          <w:color w:val="1A73E8"/>
          <w:sz w:val="26"/>
          <w:szCs w:val="26"/>
        </w:rPr>
        <w:t xml:space="preserve">Infraestructura en Microsoft Azure — Aplicativo, Base de Datos y Frontend (WAF)</w:t>
      </w:r>
    </w:p>
    <w:p>
      <w:pPr>
        <w:spacing w:after="600"/>
        <w:jc w:val="center"/>
      </w:pPr>
      <w:r>
        <w:rPr>
          <w:b/>
          <w:bCs/>
          <w:color w:val="B06000"/>
          <w:sz w:val="24"/>
          <w:szCs w:val="24"/>
        </w:rPr>
        <w:t xml:space="preserve">MODELO PaaS (Platform as a Service)</w:t>
      </w:r>
    </w:p>
    <w:p>
      <w:pPr>
        <w:spacing w:after="400"/>
      </w:pPr>
    </w:p>
    <w:p>
      <w:pPr>
        <w:jc w:val="center"/>
      </w:pPr>
      <w:r>
        <w:rPr>
          <w:i/>
          <w:iCs/>
          <w:color w:val="202124"/>
          <w:sz w:val="20"/>
          <w:szCs w:val="20"/>
        </w:rPr>
        <w:t xml:space="preserve">Alcance: oficina principal de 60 usuarios en esquema multisucursal (+3 oficinas)</w:t>
      </w:r>
    </w:p>
    <w:p>
      <w:pPr>
        <w:spacing w:after="1400"/>
      </w:pPr>
    </w:p>
    <w:p>
      <w:pPr>
        <w:jc w:val="center"/>
      </w:pPr>
      <w:r>
        <w:rPr>
          <w:color w:val="5f6368"/>
          <w:sz w:val="19"/>
          <w:szCs w:val="19"/>
        </w:rPr>
        <w:t xml:space="preserve">Versión 1.0</w:t>
      </w:r>
    </w:p>
    <w:p>
      <w:pPr>
        <w:jc w:val="center"/>
      </w:pPr>
      <w:r>
        <w:rPr>
          <w:color w:val="5f6368"/>
          <w:sz w:val="19"/>
          <w:szCs w:val="19"/>
        </w:rPr>
        <w:t xml:space="preserve">Fecha: 27 de agosto de 2026</w:t>
      </w:r>
    </w:p>
    <w:p>
      <w:r>
        <w:br w:type="page"/>
      </w:r>
    </w:p>
    <w:p>
      <w:pPr>
        <w:pStyle w:val="Heading1"/>
        <w:pBdr>
          <w:bottom w:val="single" w:color="174EA6" w:sz="8" w:space="4"/>
        </w:pBdr>
        <w:spacing w:after="200" w:before="400"/>
      </w:pPr>
      <w:r>
        <w:rPr>
          <w:b/>
          <w:bCs/>
          <w:color w:val="174EA6"/>
          <w:sz w:val="30"/>
          <w:szCs w:val="30"/>
        </w:rPr>
        <w:t xml:space="preserve">1. Situación Actual</w:t>
      </w:r>
    </w:p>
    <w:p>
      <w:pPr>
        <w:spacing w:after="160" w:line="276"/>
        <w:jc w:val="both"/>
      </w:pPr>
      <w:r>
        <w:rPr>
          <w:b w:val="false"/>
          <w:bCs w:val="false"/>
          <w:i w:val="false"/>
          <w:iCs w:val="false"/>
          <w:color w:val="202124"/>
          <w:sz w:val="21"/>
          <w:szCs w:val="21"/>
        </w:rPr>
        <w:t xml:space="preserve">El cliente requiere implementar una nueva solución web provista por un proveedor externo (ISV), la cual será utilizada por aproximadamente 60 usuarios concurrentes distribuidos en un esquema multisucursal (más de 3 oficinas). Este documento presenta una variante de la propuesta original bajo un modelo PaaS (Platform as a Service), en la cual Microsoft Azure administra directamente el sistema operativo, el motor de base de datos y el runtime de la aplicación, reduciendo la carga operativa del cliente frente al modelo tradicional basado en máquinas virtuales (IaaS).</w:t>
      </w:r>
    </w:p>
    <w:p>
      <w:pPr>
        <w:spacing w:after="160" w:line="276"/>
        <w:jc w:val="both"/>
      </w:pPr>
      <w:r>
        <w:rPr>
          <w:b w:val="false"/>
          <w:bCs w:val="false"/>
          <w:i w:val="false"/>
          <w:iCs w:val="false"/>
          <w:color w:val="202124"/>
          <w:sz w:val="21"/>
          <w:szCs w:val="21"/>
        </w:rPr>
        <w:t xml:space="preserve">El proveedor de la solución había entregado originalmente un requerimiento de infraestructura basado en servidores (VMs) con Windows Server, SQL Server Standard, MS Office Profesional y licenciamiento de Terminal Services. Al migrar este requerimiento a un modelo PaaS puro, es necesario hacer una precisión técnica importante: los servicios PaaS de cómputo web (Azure App Service) no otorgan acceso al sistema operativo subyacente, por lo que no es posible instalar MS Office ni habilitar Terminal Services/RDP sobre ellos. Esta diferencia se documenta y resuelve en la sección de Recomendaciones (12.0), proponiendo Azure Virtual Desktop (AVD) como el servicio administrado equivalente de Microsoft para ese caso de uso específico.</w:t>
      </w:r>
    </w:p>
    <w:p>
      <w:pPr>
        <w:spacing w:after="160" w:line="276"/>
        <w:jc w:val="both"/>
      </w:pPr>
      <w:r>
        <w:rPr>
          <w:b w:val="false"/>
          <w:bCs w:val="false"/>
          <w:i w:val="false"/>
          <w:iCs w:val="false"/>
          <w:color w:val="202124"/>
          <w:sz w:val="21"/>
          <w:szCs w:val="21"/>
        </w:rPr>
        <w:t xml:space="preserve">Al igual que en el diseño original, se mantiene el requisito del proveedor de un esquema de 3 niveles con segmentación de red (VNet/subredes) y un componente WAF (reverse proxy) para la publicación segura del tráfico HTTPS. Se mantiene también la duda planteada por el cliente sobre la herramienta de acceso remoto TC Plus (puerto 443) frente a la publicación de la aplicación, la cual se resuelve en la sección de Recomendaciones.</w:t>
      </w:r>
    </w:p>
    <w:p>
      <w:pPr>
        <w:pStyle w:val="Heading1"/>
        <w:pBdr>
          <w:bottom w:val="single" w:color="174EA6" w:sz="8" w:space="4"/>
        </w:pBdr>
        <w:spacing w:after="200" w:before="400"/>
      </w:pPr>
      <w:r>
        <w:rPr>
          <w:b/>
          <w:bCs/>
          <w:color w:val="174EA6"/>
          <w:sz w:val="30"/>
          <w:szCs w:val="30"/>
        </w:rPr>
        <w:t xml:space="preserve">2. Objetivos</w:t>
      </w:r>
    </w:p>
    <w:p>
      <w:pPr>
        <w:pStyle w:val="Heading2"/>
        <w:spacing w:after="140" w:before="260"/>
      </w:pPr>
      <w:r>
        <w:rPr>
          <w:b/>
          <w:bCs/>
          <w:color w:val="1A73E8"/>
          <w:sz w:val="24"/>
          <w:szCs w:val="24"/>
        </w:rPr>
        <w:t xml:space="preserve">2.1 Objetivo General</w:t>
      </w:r>
    </w:p>
    <w:p>
      <w:pPr>
        <w:spacing w:after="160" w:line="276"/>
        <w:jc w:val="both"/>
      </w:pPr>
      <w:r>
        <w:rPr>
          <w:b w:val="false"/>
          <w:bCs w:val="false"/>
          <w:i w:val="false"/>
          <w:iCs w:val="false"/>
          <w:color w:val="202124"/>
          <w:sz w:val="21"/>
          <w:szCs w:val="21"/>
        </w:rPr>
        <w:t xml:space="preserve">Diseñar y estimar una arquitectura de infraestructura en la nube de Microsoft Azure, bajo un modelo PaaS (Platform as a Service), que soporte la solución web de 3 niveles requerida por el proveedor externo, minimizando la administración de sistemas operativos y motores de base de datos, y garantizando disponibilidad, segmentación de seguridad de red, capacidad para 60 usuarios concurrentes multisucursal, y mecanismos de monitoreo y respaldo nativos de la plataforma.</w:t>
      </w:r>
    </w:p>
    <w:p>
      <w:pPr>
        <w:pStyle w:val="Heading2"/>
        <w:spacing w:after="140" w:before="260"/>
      </w:pPr>
      <w:r>
        <w:rPr>
          <w:b/>
          <w:bCs/>
          <w:color w:val="1A73E8"/>
          <w:sz w:val="24"/>
          <w:szCs w:val="24"/>
        </w:rPr>
        <w:t xml:space="preserve">2.2 Objetivos Específicos</w:t>
      </w:r>
    </w:p>
    <w:p>
      <w:pPr>
        <w:pStyle w:val="ListParagraph"/>
        <w:numPr>
          <w:ilvl w:val="0"/>
          <w:numId w:val="2"/>
        </w:numPr>
        <w:spacing w:after="90" w:line="276"/>
      </w:pPr>
      <w:r>
        <w:rPr>
          <w:color w:val="202124"/>
          <w:sz w:val="21"/>
          <w:szCs w:val="21"/>
        </w:rPr>
        <w:t xml:space="preserve">Dimensionar un plan de Azure App Service y una instancia de Azure SQL Managed Instance equivalentes en capacidad a los recursos de cómputo solicitados originalmente (vCPU/RAM).</w:t>
      </w:r>
    </w:p>
    <w:p>
      <w:pPr>
        <w:pStyle w:val="ListParagraph"/>
        <w:numPr>
          <w:ilvl w:val="0"/>
          <w:numId w:val="2"/>
        </w:numPr>
        <w:spacing w:after="90" w:line="276"/>
      </w:pPr>
      <w:r>
        <w:rPr>
          <w:color w:val="202124"/>
          <w:sz w:val="21"/>
          <w:szCs w:val="21"/>
        </w:rPr>
        <w:t xml:space="preserve">Diseñar una topología de red (VNet Integration, subred delegada, Private Endpoint) que preserve el aislamiento de niveles solicitado por el proveedor, adaptado a servicios PaaS.</w:t>
      </w:r>
    </w:p>
    <w:p>
      <w:pPr>
        <w:pStyle w:val="ListParagraph"/>
        <w:numPr>
          <w:ilvl w:val="0"/>
          <w:numId w:val="2"/>
        </w:numPr>
        <w:spacing w:after="90" w:line="276"/>
      </w:pPr>
      <w:r>
        <w:rPr>
          <w:color w:val="202124"/>
          <w:sz w:val="21"/>
          <w:szCs w:val="21"/>
        </w:rPr>
        <w:t xml:space="preserve">Definir el componente de publicación segura (WAF / reverse proxy) que filtre el tráfico HTTPS público (443) hacia la capa de aplicación PaaS.</w:t>
      </w:r>
    </w:p>
    <w:p>
      <w:pPr>
        <w:pStyle w:val="ListParagraph"/>
        <w:numPr>
          <w:ilvl w:val="0"/>
          <w:numId w:val="2"/>
        </w:numPr>
        <w:spacing w:after="90" w:line="276"/>
      </w:pPr>
      <w:r>
        <w:rPr>
          <w:color w:val="202124"/>
          <w:sz w:val="21"/>
          <w:szCs w:val="21"/>
        </w:rPr>
        <w:t xml:space="preserve">Establecer las reglas de comunicación entre niveles (NSG / restricciones de acceso) restringiendo el tráfico únicamente a los puertos requeridos (443 y 1433).</w:t>
      </w:r>
    </w:p>
    <w:p>
      <w:pPr>
        <w:pStyle w:val="ListParagraph"/>
        <w:numPr>
          <w:ilvl w:val="0"/>
          <w:numId w:val="2"/>
        </w:numPr>
        <w:spacing w:after="90" w:line="276"/>
      </w:pPr>
      <w:r>
        <w:rPr>
          <w:color w:val="202124"/>
          <w:sz w:val="21"/>
          <w:szCs w:val="21"/>
        </w:rPr>
        <w:t xml:space="preserve">Resolver formalmente la incompatibilidad entre el requerimiento de MS Office/Terminal Services y el modelo PaaS, proponiendo Azure Virtual Desktop como alternativa administrada.</w:t>
      </w:r>
    </w:p>
    <w:p>
      <w:pPr>
        <w:pStyle w:val="ListParagraph"/>
        <w:numPr>
          <w:ilvl w:val="0"/>
          <w:numId w:val="2"/>
        </w:numPr>
        <w:spacing w:after="90" w:line="276"/>
      </w:pPr>
      <w:r>
        <w:rPr>
          <w:color w:val="202124"/>
          <w:sz w:val="21"/>
          <w:szCs w:val="21"/>
        </w:rPr>
        <w:t xml:space="preserve">Evaluar el uso de la herramienta de acceso remoto actual del cliente (TC Plus) frente al esquema de publicación en el puerto 443 y proponer un modelo de administración seguro.</w:t>
      </w:r>
    </w:p>
    <w:p>
      <w:pPr>
        <w:pStyle w:val="ListParagraph"/>
        <w:numPr>
          <w:ilvl w:val="0"/>
          <w:numId w:val="2"/>
        </w:numPr>
        <w:spacing w:after="90" w:line="276"/>
      </w:pPr>
      <w:r>
        <w:rPr>
          <w:color w:val="202124"/>
          <w:sz w:val="21"/>
          <w:szCs w:val="21"/>
        </w:rPr>
        <w:t xml:space="preserve">Estimar el ancho de banda necesario para 60 usuarios concurrentes conectados remotamente desde las sucursales.</w:t>
      </w:r>
    </w:p>
    <w:p>
      <w:pPr>
        <w:pStyle w:val="ListParagraph"/>
        <w:numPr>
          <w:ilvl w:val="0"/>
          <w:numId w:val="2"/>
        </w:numPr>
        <w:spacing w:after="90" w:line="276"/>
      </w:pPr>
      <w:r>
        <w:rPr>
          <w:color w:val="202124"/>
          <w:sz w:val="21"/>
          <w:szCs w:val="21"/>
        </w:rPr>
        <w:t xml:space="preserve">Proveer una estimación de costos mensuales en Azure (calculadora de precios) para presupuestar el proyecto bajo el modelo PaaS.</w:t>
      </w:r>
    </w:p>
    <w:p>
      <w:pPr>
        <w:pStyle w:val="ListParagraph"/>
        <w:numPr>
          <w:ilvl w:val="0"/>
          <w:numId w:val="2"/>
        </w:numPr>
        <w:spacing w:after="90" w:line="276"/>
      </w:pPr>
      <w:r>
        <w:rPr>
          <w:color w:val="202124"/>
          <w:sz w:val="21"/>
          <w:szCs w:val="21"/>
        </w:rPr>
        <w:t xml:space="preserve">Entregar un plan de trabajo con fases, tiempos estimados y equipo requerido para la implementación.</w:t>
      </w:r>
    </w:p>
    <w:p>
      <w:pPr>
        <w:pStyle w:val="ListParagraph"/>
        <w:numPr>
          <w:ilvl w:val="0"/>
          <w:numId w:val="2"/>
        </w:numPr>
        <w:spacing w:after="90" w:line="276"/>
      </w:pPr>
      <w:r>
        <w:rPr>
          <w:color w:val="202124"/>
          <w:sz w:val="21"/>
          <w:szCs w:val="21"/>
        </w:rPr>
        <w:t xml:space="preserve">Contrastar, a alto nivel, las diferencias clave frente al modelo IaaS (VMs) presentado previamente, para apoyar la decisión final del cliente.</w:t>
      </w:r>
    </w:p>
    <w:p>
      <w:pPr>
        <w:pStyle w:val="Heading1"/>
        <w:pBdr>
          <w:bottom w:val="single" w:color="174EA6" w:sz="8" w:space="4"/>
        </w:pBdr>
        <w:spacing w:after="200" w:before="400"/>
      </w:pPr>
      <w:r>
        <w:rPr>
          <w:b/>
          <w:bCs/>
          <w:color w:val="174EA6"/>
          <w:sz w:val="30"/>
          <w:szCs w:val="30"/>
        </w:rPr>
        <w:t xml:space="preserve">2.3 Comparativo rápido IaaS vs. PaaS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shd w:fill="174EA6" w:val="clear"/>
            <w:tcMar>
              <w:top w:type="dxa" w:w="80"/>
              <w:left w:type="dxa" w:w="100"/>
              <w:bottom w:type="dxa" w:w="80"/>
              <w:right w:type="dxa" w:w="100"/>
            </w:tcMar>
            <w:vAlign w:val="center"/>
          </w:tcPr>
          <w:p>
            <w:pPr>
              <w:jc w:val="left"/>
            </w:pPr>
            <w:r>
              <w:rPr>
                <w:b/>
                <w:bCs/>
                <w:color w:val="FFFFFF"/>
                <w:sz w:val="19"/>
                <w:szCs w:val="19"/>
              </w:rPr>
              <w:t xml:space="preserve">Aspecto</w:t>
            </w:r>
          </w:p>
        </w:tc>
        <w:tc>
          <w:tcPr>
            <w:tcW w:type="dxa" w:w="3730"/>
            <w:shd w:fill="174EA6" w:val="clear"/>
            <w:tcMar>
              <w:top w:type="dxa" w:w="80"/>
              <w:left w:type="dxa" w:w="100"/>
              <w:bottom w:type="dxa" w:w="80"/>
              <w:right w:type="dxa" w:w="100"/>
            </w:tcMar>
            <w:vAlign w:val="center"/>
          </w:tcPr>
          <w:p>
            <w:pPr>
              <w:jc w:val="left"/>
            </w:pPr>
            <w:r>
              <w:rPr>
                <w:b/>
                <w:bCs/>
                <w:color w:val="FFFFFF"/>
                <w:sz w:val="19"/>
                <w:szCs w:val="19"/>
              </w:rPr>
              <w:t xml:space="preserve">Modelo IaaS (VMs) — propuesta previa</w:t>
            </w:r>
          </w:p>
        </w:tc>
        <w:tc>
          <w:tcPr>
            <w:tcW w:type="dxa" w:w="3730"/>
            <w:shd w:fill="174EA6" w:val="clear"/>
            <w:tcMar>
              <w:top w:type="dxa" w:w="80"/>
              <w:left w:type="dxa" w:w="100"/>
              <w:bottom w:type="dxa" w:w="80"/>
              <w:right w:type="dxa" w:w="100"/>
            </w:tcMar>
            <w:vAlign w:val="center"/>
          </w:tcPr>
          <w:p>
            <w:pPr>
              <w:jc w:val="left"/>
            </w:pPr>
            <w:r>
              <w:rPr>
                <w:b/>
                <w:bCs/>
                <w:color w:val="FFFFFF"/>
                <w:sz w:val="19"/>
                <w:szCs w:val="19"/>
              </w:rPr>
              <w:t xml:space="preserve">Modelo PaaS — esta propuesta</w:t>
            </w:r>
          </w:p>
        </w:tc>
      </w:tr>
      <w:tr>
        <w:tc>
          <w:tcPr>
            <w:tcW w:type="dxa" w:w="19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Administración de SO</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Cliente/integrador aplica parches y actualiza Windows Server</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Microsoft administra el SO subyacente; no hay acceso a él</w:t>
            </w:r>
          </w:p>
        </w:tc>
      </w:tr>
      <w:tr>
        <w:tc>
          <w:tcPr>
            <w:tcW w:type="dxa" w:w="19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Motor de Base de Datos</w:t>
            </w:r>
          </w:p>
        </w:tc>
        <w:tc>
          <w:tcPr>
            <w:tcW w:type="dxa" w:w="373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SQL Server Standard instalado y administrado manualmente</w:t>
            </w:r>
          </w:p>
        </w:tc>
        <w:tc>
          <w:tcPr>
            <w:tcW w:type="dxa" w:w="373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SQL Managed Instance — administrado, con parches y backups automáticos</w:t>
            </w:r>
          </w:p>
        </w:tc>
      </w:tr>
      <w:tr>
        <w:tc>
          <w:tcPr>
            <w:tcW w:type="dxa" w:w="19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Escalabilidad</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Manual (cambiar tamaño de VM o agregar VMs)</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Autoescalado nativo del App Service (instancias) según demanda</w:t>
            </w:r>
          </w:p>
        </w:tc>
      </w:tr>
      <w:tr>
        <w:tc>
          <w:tcPr>
            <w:tcW w:type="dxa" w:w="19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MS Office / Terminal Services</w:t>
            </w:r>
          </w:p>
        </w:tc>
        <w:tc>
          <w:tcPr>
            <w:tcW w:type="dxa" w:w="373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Soportado de forma nativa en la VM</w:t>
            </w:r>
          </w:p>
        </w:tc>
        <w:tc>
          <w:tcPr>
            <w:tcW w:type="dxa" w:w="373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No soportado en PaaS puro; requiere Azure Virtual Desktop como componente adicional</w:t>
            </w:r>
          </w:p>
        </w:tc>
      </w:tr>
      <w:tr>
        <w:tc>
          <w:tcPr>
            <w:tcW w:type="dxa" w:w="19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Backups</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Configurados manualmente (Azure Backup + backups nativos de SQL)</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Automáticos por defecto (App Service + SQL MI con PITR de 35 días)</w:t>
            </w:r>
          </w:p>
        </w:tc>
      </w:tr>
      <w:tr>
        <w:tc>
          <w:tcPr>
            <w:tcW w:type="dxa" w:w="19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Control granular del entorno</w:t>
            </w:r>
          </w:p>
        </w:tc>
        <w:tc>
          <w:tcPr>
            <w:tcW w:type="dxa" w:w="373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Alto (acceso total al SO, instalación de software adicional)</w:t>
            </w:r>
          </w:p>
        </w:tc>
        <w:tc>
          <w:tcPr>
            <w:tcW w:type="dxa" w:w="373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Limitado (sandboxed); mayor estandarización, menor flexibilidad</w:t>
            </w:r>
          </w:p>
        </w:tc>
      </w:tr>
      <w:tr>
        <w:tc>
          <w:tcPr>
            <w:tcW w:type="dxa" w:w="19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Costo típico</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Menor costo base de cómputo, pero con carga operativa (parches, agentes, backups)</w:t>
            </w:r>
          </w:p>
        </w:tc>
        <w:tc>
          <w:tcPr>
            <w:tcW w:type="dxa" w:w="373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Mayor costo base de plataforma, pero menor esfuerzo operativo/administrativo</w:t>
            </w:r>
          </w:p>
        </w:tc>
      </w:tr>
    </w:tbl>
    <w:p>
      <w:pPr>
        <w:pStyle w:val="Heading1"/>
        <w:pBdr>
          <w:bottom w:val="single" w:color="174EA6" w:sz="8" w:space="4"/>
        </w:pBdr>
        <w:spacing w:after="200" w:before="400"/>
      </w:pPr>
      <w:r>
        <w:rPr>
          <w:b/>
          <w:bCs/>
          <w:color w:val="174EA6"/>
          <w:sz w:val="30"/>
          <w:szCs w:val="30"/>
        </w:rPr>
        <w:t xml:space="preserve">3. Arquitectura</w:t>
      </w:r>
    </w:p>
    <w:p>
      <w:pPr>
        <w:spacing w:after="160" w:line="276"/>
        <w:jc w:val="both"/>
      </w:pPr>
      <w:r>
        <w:rPr>
          <w:b w:val="false"/>
          <w:bCs w:val="false"/>
          <w:i w:val="false"/>
          <w:iCs w:val="false"/>
          <w:color w:val="202124"/>
          <w:sz w:val="21"/>
          <w:szCs w:val="21"/>
        </w:rPr>
        <w:t xml:space="preserve">La siguiente imagen resume la arquitectura propuesta de 3 niveles bajo modelo PaaS sobre una Virtual Network (VNet) de Azure: Azure App Service (Aplicativo), Azure SQL Managed Instance (Base de Datos) y Azure Application Gateway con WAF (Frontend/publicación), manteniendo la segmentación de red solicitada por el proveedor mediante VNet Integration, subred delegada y Private Endpoint.</w:t>
      </w:r>
    </w:p>
    <w:p>
      <w:pPr>
        <w:spacing w:after="120" w:before="120"/>
        <w:jc w:val="center"/>
      </w:pPr>
      <w:r>
        <w:drawing>
          <wp:inline distT="0" distB="0" distL="0" distR="0">
            <wp:extent cx="59055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714875"/>
                    </a:xfrm>
                    <a:prstGeom prst="rect">
                      <a:avLst/>
                    </a:prstGeom>
                  </pic:spPr>
                </pic:pic>
              </a:graphicData>
            </a:graphic>
          </wp:inline>
        </w:drawing>
      </w:r>
    </w:p>
    <w:p>
      <w:pPr>
        <w:spacing w:after="160" w:line="276"/>
        <w:jc w:val="both"/>
      </w:pPr>
      <w:r>
        <w:rPr>
          <w:b w:val="false"/>
          <w:bCs w:val="false"/>
          <w:i/>
          <w:iCs/>
          <w:color w:val="202124"/>
          <w:sz w:val="21"/>
          <w:szCs w:val="21"/>
        </w:rPr>
        <w:t xml:space="preserve">Nota: se incluye una subred opcional de Azure Virtual Desktop (AVD) para resolver el requerimiento de MS Office/Terminal Services, y se conservan Azure Bastion y Azure VPN Gateway como componentes opcionales de administración, igual que en la propuesta IaaS.</w:t>
      </w:r>
    </w:p>
    <w:p>
      <w:pPr>
        <w:pStyle w:val="Heading1"/>
        <w:pBdr>
          <w:bottom w:val="single" w:color="174EA6" w:sz="8" w:space="4"/>
        </w:pBdr>
        <w:spacing w:after="200" w:before="400"/>
      </w:pPr>
      <w:r>
        <w:rPr>
          <w:b/>
          <w:bCs/>
          <w:color w:val="174EA6"/>
          <w:sz w:val="30"/>
          <w:szCs w:val="30"/>
        </w:rPr>
        <w:t xml:space="preserve">4. Descripción de la Arquitectura</w:t>
      </w:r>
    </w:p>
    <w:p>
      <w:pPr>
        <w:pStyle w:val="Heading2"/>
        <w:spacing w:after="140" w:before="260"/>
      </w:pPr>
      <w:r>
        <w:rPr>
          <w:b/>
          <w:bCs/>
          <w:color w:val="1A73E8"/>
          <w:sz w:val="24"/>
          <w:szCs w:val="24"/>
        </w:rPr>
        <w:t xml:space="preserve">4.1 Nivel 1 — Frontend / Publicación (DMZ)</w:t>
      </w:r>
    </w:p>
    <w:p>
      <w:pPr>
        <w:spacing w:after="160" w:line="276"/>
        <w:jc w:val="both"/>
      </w:pPr>
      <w:r>
        <w:rPr>
          <w:b w:val="false"/>
          <w:bCs w:val="false"/>
          <w:i w:val="false"/>
          <w:iCs w:val="false"/>
          <w:color w:val="202124"/>
          <w:sz w:val="21"/>
          <w:szCs w:val="21"/>
        </w:rPr>
        <w:t xml:space="preserve">Se mantiene Azure Application Gateway v2 con Web Application Firewall (WAF_v2) como reverse proxy de publicación (este componente ya es un servicio PaaS administrado por Azure, incluso en la propuesta IaaS original). Recibe el tráfico público HTTPS (puerto 443), termina TLS, filtra tráfico malicioso (OWASP Core Rule Set) y reenvía las peticiones hacia el Azure App Service mediante un Private Endpoint. Es el único elemento con exposición directa a Internet.</w:t>
      </w:r>
    </w:p>
    <w:p>
      <w:pPr>
        <w:pStyle w:val="Heading2"/>
        <w:spacing w:after="140" w:before="260"/>
      </w:pPr>
      <w:r>
        <w:rPr>
          <w:b/>
          <w:bCs/>
          <w:color w:val="1A73E8"/>
          <w:sz w:val="24"/>
          <w:szCs w:val="24"/>
        </w:rPr>
        <w:t xml:space="preserve">4.1.1 IP Pública (PIP)</w:t>
      </w:r>
    </w:p>
    <w:p>
      <w:pPr>
        <w:spacing w:after="160" w:line="276"/>
        <w:jc w:val="both"/>
      </w:pPr>
      <w:r>
        <w:rPr>
          <w:b w:val="false"/>
          <w:bCs w:val="false"/>
          <w:i w:val="false"/>
          <w:iCs w:val="false"/>
          <w:color w:val="202124"/>
          <w:sz w:val="21"/>
          <w:szCs w:val="21"/>
        </w:rPr>
        <w:t xml:space="preserve">Se contempla 1 (una) IP Pública Standard (estática, con zona redundante) asignada exclusivamente al listener del Application Gateway/WAF. Esta es la única IP pública requerida en el diseño; el App Service y el Azure SQL Managed Instance no tienen ni requieren IP pública propia (el App Service se configura con acceso público deshabilitado y Private Endpoint habilitado).</w:t>
      </w:r>
    </w:p>
    <w:p>
      <w:pPr>
        <w:pStyle w:val="Heading2"/>
        <w:spacing w:after="140" w:before="260"/>
      </w:pPr>
      <w:r>
        <w:rPr>
          <w:b/>
          <w:bCs/>
          <w:color w:val="1A73E8"/>
          <w:sz w:val="24"/>
          <w:szCs w:val="24"/>
        </w:rPr>
        <w:t xml:space="preserve">4.1.2 Azure VPN Gateway (Site-to-Site) — Recomendado como opcional</w:t>
      </w:r>
    </w:p>
    <w:p>
      <w:pPr>
        <w:pStyle w:val="ListParagraph"/>
        <w:numPr>
          <w:ilvl w:val="0"/>
          <w:numId w:val="2"/>
        </w:numPr>
        <w:spacing w:after="90" w:line="276"/>
      </w:pPr>
      <w:r>
        <w:rPr>
          <w:color w:val="202124"/>
          <w:sz w:val="21"/>
          <w:szCs w:val="21"/>
        </w:rPr>
        <w:t xml:space="preserve">El acceso funcional de los 60 usuarios a la aplicación NO requiere VPN, ya que se realiza 100% vía HTTPS público a través del WAF.</w:t>
      </w:r>
    </w:p>
    <w:p>
      <w:pPr>
        <w:pStyle w:val="ListParagraph"/>
        <w:numPr>
          <w:ilvl w:val="0"/>
          <w:numId w:val="2"/>
        </w:numPr>
        <w:spacing w:after="90" w:line="276"/>
      </w:pPr>
      <w:r>
        <w:rPr>
          <w:color w:val="202124"/>
          <w:sz w:val="21"/>
          <w:szCs w:val="21"/>
        </w:rPr>
        <w:t xml:space="preserve">Se recomienda un Azure VPN Gateway (Site-to-Site) para el tráfico administrativo: acceso privado y cifrado desde cada sucursal hacia la VNet, útil por ejemplo para conectarse con SQL Server Management Studio (SSMS) al Azure SQL Managed Instance, o para administrar el App Service desde herramientas internas.</w:t>
      </w:r>
    </w:p>
    <w:p>
      <w:pPr>
        <w:pStyle w:val="ListParagraph"/>
        <w:numPr>
          <w:ilvl w:val="0"/>
          <w:numId w:val="2"/>
        </w:numPr>
        <w:spacing w:after="90" w:line="276"/>
      </w:pPr>
      <w:r>
        <w:rPr>
          <w:color w:val="202124"/>
          <w:sz w:val="21"/>
          <w:szCs w:val="21"/>
        </w:rPr>
        <w:t xml:space="preserve">Dimensionamiento sugerido: SKU VpnGw1. Igual que en la propuesta IaaS, es un componente opcional; la alternativa es TC Plus + Azure Bastion (ver sección 12.2).</w:t>
      </w:r>
    </w:p>
    <w:p>
      <w:pPr>
        <w:pStyle w:val="Heading2"/>
        <w:spacing w:after="140" w:before="260"/>
      </w:pPr>
      <w:r>
        <w:rPr>
          <w:b/>
          <w:bCs/>
          <w:color w:val="1A73E8"/>
          <w:sz w:val="24"/>
          <w:szCs w:val="24"/>
        </w:rPr>
        <w:t xml:space="preserve">4.2 Nivel 2 — Aplicativo (Azure App Service — PaaS)</w:t>
      </w:r>
    </w:p>
    <w:p>
      <w:pPr>
        <w:spacing w:after="160" w:line="276"/>
        <w:jc w:val="both"/>
      </w:pPr>
      <w:r>
        <w:rPr>
          <w:b w:val="false"/>
          <w:bCs w:val="false"/>
          <w:i w:val="false"/>
          <w:iCs w:val="false"/>
          <w:color w:val="202124"/>
          <w:sz w:val="21"/>
          <w:szCs w:val="21"/>
        </w:rPr>
        <w:t xml:space="preserve">El servidor de Aplicación se reemplaza por Azure App Service (Windows), un servicio PaaS totalmente administrado por Microsoft: no requiere aprovisionar ni parchear un sistema operativo, incluye balanceo de carga y autoescalado nativos, y despliega la aplicación del proveedor mediante los mecanismos estándar de App Service (paquete/ZIP deploy, contenedor Windows, o CI/CD).</w:t>
      </w:r>
    </w:p>
    <w:p>
      <w:pPr>
        <w:pStyle w:val="ListParagraph"/>
        <w:numPr>
          <w:ilvl w:val="0"/>
          <w:numId w:val="2"/>
        </w:numPr>
        <w:spacing w:after="90" w:line="276"/>
      </w:pPr>
      <w:r>
        <w:rPr>
          <w:color w:val="202124"/>
          <w:sz w:val="21"/>
          <w:szCs w:val="21"/>
        </w:rPr>
        <w:t xml:space="preserve">Se habilita Regional VNet Integration para que el App Service alcance de forma privada al Azure SQL Managed Instance (tráfico saliente por la VNet, puerto 1433).</w:t>
      </w:r>
    </w:p>
    <w:p>
      <w:pPr>
        <w:pStyle w:val="ListParagraph"/>
        <w:numPr>
          <w:ilvl w:val="0"/>
          <w:numId w:val="2"/>
        </w:numPr>
        <w:spacing w:after="90" w:line="276"/>
      </w:pPr>
      <w:r>
        <w:rPr>
          <w:color w:val="202124"/>
          <w:sz w:val="21"/>
          <w:szCs w:val="21"/>
        </w:rPr>
        <w:t xml:space="preserve">Se habilita Private Endpoint (inbound) para que el App Service solo sea alcanzable desde dentro de la VNet — específicamente desde la subred del Application Gateway — eliminando cualquier exposición pública directa al App Service.</w:t>
      </w:r>
    </w:p>
    <w:p>
      <w:pPr>
        <w:pStyle w:val="ListParagraph"/>
        <w:numPr>
          <w:ilvl w:val="0"/>
          <w:numId w:val="2"/>
        </w:numPr>
        <w:spacing w:after="90" w:line="276"/>
      </w:pPr>
      <w:r>
        <w:rPr>
          <w:color w:val="202124"/>
          <w:sz w:val="21"/>
          <w:szCs w:val="21"/>
        </w:rPr>
        <w:t xml:space="preserve">El plan de App Service se ejecuta en un App Service Plan dedicado (no compartido con otras aplicaciones), lo cual es equivalente en aislamiento de cómputo a tener una VM dedicada.</w:t>
      </w:r>
    </w:p>
    <w:p>
      <w:pPr>
        <w:pStyle w:val="Heading2"/>
        <w:spacing w:after="140" w:before="260"/>
      </w:pPr>
      <w:r>
        <w:rPr>
          <w:b/>
          <w:bCs/>
          <w:color w:val="1A73E8"/>
          <w:sz w:val="24"/>
          <w:szCs w:val="24"/>
        </w:rPr>
        <w:t xml:space="preserve">4.3 Nivel 3 — Base de Datos (Azure SQL Managed Instance — PaaS)</w:t>
      </w:r>
    </w:p>
    <w:p>
      <w:pPr>
        <w:spacing w:after="160" w:line="276"/>
        <w:jc w:val="both"/>
      </w:pPr>
      <w:r>
        <w:rPr>
          <w:b w:val="false"/>
          <w:bCs w:val="false"/>
          <w:i w:val="false"/>
          <w:iCs w:val="false"/>
          <w:color w:val="202124"/>
          <w:sz w:val="21"/>
          <w:szCs w:val="21"/>
        </w:rPr>
        <w:t xml:space="preserve">El servidor de Base de Datos se reemplaza por Azure SQL Managed Instance, el servicio PaaS de Microsoft con mayor compatibilidad con SQL Server on-premises/IaaS (soporta SQL Agent, Service Broker, CLR, cross-database queries, etc., a diferencia de Azure SQL Database). Se inyecta directamente en una subred delegada y dedicada dentro de la VNet — no usa Private Endpoint como otros servicios PaaS, sino que reside nativamente dentro de la subred, preservando el mismo modelo de aislamiento de red (NSG) solicitado por el proveedor.</w:t>
      </w:r>
    </w:p>
    <w:p>
      <w:pPr>
        <w:pStyle w:val="ListParagraph"/>
        <w:numPr>
          <w:ilvl w:val="0"/>
          <w:numId w:val="2"/>
        </w:numPr>
        <w:spacing w:after="90" w:line="276"/>
      </w:pPr>
      <w:r>
        <w:rPr>
          <w:color w:val="202124"/>
          <w:sz w:val="21"/>
          <w:szCs w:val="21"/>
        </w:rPr>
        <w:t xml:space="preserve">Solo acepta tráfico entrante en el puerto 1433 desde la subred del App Service (regla de NSG en la subred delegada de SQL MI).</w:t>
      </w:r>
    </w:p>
    <w:p>
      <w:pPr>
        <w:pStyle w:val="ListParagraph"/>
        <w:numPr>
          <w:ilvl w:val="0"/>
          <w:numId w:val="2"/>
        </w:numPr>
        <w:spacing w:after="90" w:line="276"/>
      </w:pPr>
      <w:r>
        <w:rPr>
          <w:color w:val="202124"/>
          <w:sz w:val="21"/>
          <w:szCs w:val="21"/>
        </w:rPr>
        <w:t xml:space="preserve">Backups automáticos completos/diferenciales/de log, con restauración a un punto en el tiempo (PITR) de hasta 35 días sin configuración adicional.</w:t>
      </w:r>
    </w:p>
    <w:p>
      <w:pPr>
        <w:pStyle w:val="ListParagraph"/>
        <w:numPr>
          <w:ilvl w:val="0"/>
          <w:numId w:val="2"/>
        </w:numPr>
        <w:spacing w:after="90" w:line="276"/>
      </w:pPr>
      <w:r>
        <w:rPr>
          <w:color w:val="202124"/>
          <w:sz w:val="21"/>
          <w:szCs w:val="21"/>
        </w:rPr>
        <w:t xml:space="preserve">Parches, actualizaciones de motor y alta disponibilidad interna (zona redundante en tier Business Critical) administrados por Microsoft.</w:t>
      </w:r>
    </w:p>
    <w:p>
      <w:pPr>
        <w:pStyle w:val="Heading2"/>
        <w:spacing w:after="140" w:before="260"/>
      </w:pPr>
      <w:r>
        <w:rPr>
          <w:b/>
          <w:bCs/>
          <w:color w:val="1A73E8"/>
          <w:sz w:val="24"/>
          <w:szCs w:val="24"/>
        </w:rPr>
        <w:t xml:space="preserve">4.4 Administración, Monitoreo y Backups (servicios PaaS nativos)</w:t>
      </w:r>
    </w:p>
    <w:p>
      <w:pPr>
        <w:spacing w:after="160" w:line="276"/>
        <w:jc w:val="both"/>
      </w:pPr>
      <w:r>
        <w:rPr>
          <w:b w:val="false"/>
          <w:bCs w:val="false"/>
          <w:i w:val="false"/>
          <w:iCs w:val="false"/>
          <w:color w:val="202124"/>
          <w:sz w:val="21"/>
          <w:szCs w:val="21"/>
        </w:rPr>
        <w:t xml:space="preserve">A diferencia del modelo IaaS, gran parte de la operación diaria (parches, backups, alta disponibilidad del motor) queda a cargo de Azure de forma nativa. Se complementa con:</w:t>
      </w:r>
    </w:p>
    <w:p>
      <w:pPr>
        <w:pStyle w:val="ListParagraph"/>
        <w:numPr>
          <w:ilvl w:val="0"/>
          <w:numId w:val="2"/>
        </w:numPr>
        <w:spacing w:after="90" w:line="276"/>
      </w:pPr>
      <w:r>
        <w:rPr>
          <w:color w:val="202124"/>
          <w:sz w:val="21"/>
          <w:szCs w:val="21"/>
        </w:rPr>
        <w:t xml:space="preserve">Application Insights: telemetría de rendimiento y errores de la aplicación web (tiempos de respuesta, excepciones, dependencias) sin necesidad de instalar agentes.</w:t>
      </w:r>
    </w:p>
    <w:p>
      <w:pPr>
        <w:pStyle w:val="ListParagraph"/>
        <w:numPr>
          <w:ilvl w:val="0"/>
          <w:numId w:val="2"/>
        </w:numPr>
        <w:spacing w:after="90" w:line="276"/>
      </w:pPr>
      <w:r>
        <w:rPr>
          <w:color w:val="202124"/>
          <w:sz w:val="21"/>
          <w:szCs w:val="21"/>
        </w:rPr>
        <w:t xml:space="preserve">Azure Monitor / Log Analytics: métricas de infraestructura PaaS (CPU, memoria, conexiones) y alertas proactivas.</w:t>
      </w:r>
    </w:p>
    <w:p>
      <w:pPr>
        <w:pStyle w:val="ListParagraph"/>
        <w:numPr>
          <w:ilvl w:val="0"/>
          <w:numId w:val="2"/>
        </w:numPr>
        <w:spacing w:after="90" w:line="276"/>
      </w:pPr>
      <w:r>
        <w:rPr>
          <w:color w:val="202124"/>
          <w:sz w:val="21"/>
          <w:szCs w:val="21"/>
        </w:rPr>
        <w:t xml:space="preserve">Azure AD / Microsoft Entra ID: control de accesos administrativos (RBAC) a los recursos de Azure, y opcionalmente autenticación de usuarios finales a la aplicación (SSO) si el proveedor lo soporta.</w:t>
      </w:r>
    </w:p>
    <w:p>
      <w:pPr>
        <w:pStyle w:val="ListParagraph"/>
        <w:numPr>
          <w:ilvl w:val="0"/>
          <w:numId w:val="2"/>
        </w:numPr>
        <w:spacing w:after="90" w:line="276"/>
      </w:pPr>
      <w:r>
        <w:rPr>
          <w:color w:val="202124"/>
          <w:sz w:val="21"/>
          <w:szCs w:val="21"/>
        </w:rPr>
        <w:t xml:space="preserve">Azure Backup complementario para retención extendida más allá de los 35 días nativos de SQL Managed Instance, si el cliente lo requiere por política de retención.</w:t>
      </w:r>
    </w:p>
    <w:p>
      <w:pPr>
        <w:pStyle w:val="Heading2"/>
        <w:spacing w:after="140" w:before="260"/>
      </w:pPr>
      <w:r>
        <w:rPr>
          <w:b/>
          <w:bCs/>
          <w:color w:val="1A73E8"/>
          <w:sz w:val="24"/>
          <w:szCs w:val="24"/>
        </w:rPr>
        <w:t xml:space="preserve">4.5 Requerimiento de MS Office / Terminal Services → Azure Virtual Desktop (AVD)</w:t>
      </w:r>
    </w:p>
    <w:p>
      <w:pPr>
        <w:spacing w:after="160" w:line="276"/>
        <w:jc w:val="both"/>
      </w:pPr>
      <w:r>
        <w:rPr>
          <w:b w:val="false"/>
          <w:bCs w:val="false"/>
          <w:i w:val="false"/>
          <w:iCs w:val="false"/>
          <w:color w:val="202124"/>
          <w:sz w:val="21"/>
          <w:szCs w:val="21"/>
        </w:rPr>
        <w:t xml:space="preserve">Dado que Azure App Service no permite instalar software adicional (como MS Office) ni habilitar Terminal Services/RDP —al ser un entorno PaaS en sandbox sin acceso al sistema operativo—, se incorpora como componente opcional Azure Virtual Desktop (AVD) para cubrir ese requerimiento específico, en caso de que efectivamente algún grupo de usuarios necesite una sesión de escritorio completa con Office instalado (por ejemplo, para generar/editar reportes de la aplicación en Word/Excel de forma nativa):</w:t>
      </w:r>
    </w:p>
    <w:p>
      <w:pPr>
        <w:pStyle w:val="ListParagraph"/>
        <w:numPr>
          <w:ilvl w:val="0"/>
          <w:numId w:val="2"/>
        </w:numPr>
        <w:spacing w:after="90" w:line="276"/>
      </w:pPr>
      <w:r>
        <w:rPr>
          <w:color w:val="202124"/>
          <w:sz w:val="21"/>
          <w:szCs w:val="21"/>
        </w:rPr>
        <w:t xml:space="preserve">AVD es el servicio de virtualización de escritorios/aplicaciones de Microsoft: el plano de control (broker de conexión, gateway, diagnóstico, licenciamiento de Windows multi-sesión) es 100% administrado por Microsoft — de ahí que se considere el 'reemplazo PaaS' de Terminal Services.</w:t>
      </w:r>
    </w:p>
    <w:p>
      <w:pPr>
        <w:pStyle w:val="ListParagraph"/>
        <w:numPr>
          <w:ilvl w:val="0"/>
          <w:numId w:val="2"/>
        </w:numPr>
        <w:spacing w:after="90" w:line="276"/>
      </w:pPr>
      <w:r>
        <w:rPr>
          <w:color w:val="202124"/>
          <w:sz w:val="21"/>
          <w:szCs w:val="21"/>
        </w:rPr>
        <w:t xml:space="preserve">Los Session Hosts (las máquinas donde corre Windows y Office) sí son VMs, pero pueden administrarse con Auto-scale de AVD (encendido/apagado según demanda) y unirse a Azure AD, reduciendo notablemente el esfuerzo operativo comparado con un servidor de Terminal Services tradicional.</w:t>
      </w:r>
    </w:p>
    <w:p>
      <w:pPr>
        <w:pStyle w:val="ListParagraph"/>
        <w:numPr>
          <w:ilvl w:val="0"/>
          <w:numId w:val="2"/>
        </w:numPr>
        <w:spacing w:after="90" w:line="276"/>
      </w:pPr>
      <w:r>
        <w:rPr>
          <w:color w:val="202124"/>
          <w:sz w:val="21"/>
          <w:szCs w:val="21"/>
        </w:rPr>
        <w:t xml:space="preserve">Este componente es opcional y se dimensiona y cotiza por separado según la cantidad real de usuarios que requieran esta funcionalidad (no necesariamente los 60 usuarios totales).</w:t>
      </w:r>
    </w:p>
    <w:p>
      <w:pPr>
        <w:pStyle w:val="ListParagraph"/>
        <w:numPr>
          <w:ilvl w:val="0"/>
          <w:numId w:val="2"/>
        </w:numPr>
        <w:spacing w:after="90" w:line="276"/>
      </w:pPr>
      <w:r>
        <w:rPr>
          <w:color w:val="202124"/>
          <w:sz w:val="21"/>
          <w:szCs w:val="21"/>
        </w:rPr>
        <w:t xml:space="preserve">Si ningún usuario requiere realmente Office/escritorio completo (es decir, si el requerimiento original respondía a una plantilla estándar del proveedor y la aplicación es 100% web), se puede omitir AVD por completo y usar únicamente Azure App Service, simplificando y abaratando el proyecto.</w:t>
      </w:r>
    </w:p>
    <w:p>
      <w:pPr>
        <w:pStyle w:val="Heading1"/>
        <w:pBdr>
          <w:bottom w:val="single" w:color="174EA6" w:sz="8" w:space="4"/>
        </w:pBdr>
        <w:spacing w:after="200" w:before="400"/>
      </w:pPr>
      <w:r>
        <w:rPr>
          <w:b/>
          <w:bCs/>
          <w:color w:val="174EA6"/>
          <w:sz w:val="30"/>
          <w:szCs w:val="30"/>
        </w:rPr>
        <w:t xml:space="preserve">5. Alcances</w:t>
      </w:r>
    </w:p>
    <w:p>
      <w:pPr>
        <w:pStyle w:val="ListParagraph"/>
        <w:numPr>
          <w:ilvl w:val="0"/>
          <w:numId w:val="2"/>
        </w:numPr>
        <w:spacing w:after="90" w:line="276"/>
      </w:pPr>
      <w:r>
        <w:rPr>
          <w:color w:val="202124"/>
          <w:sz w:val="21"/>
          <w:szCs w:val="21"/>
        </w:rPr>
        <w:t xml:space="preserve">Diseño de la arquitectura de red en Azure (VNet, subred de Application Gateway, VNet Integration del App Service, subred delegada de SQL Managed Instance) según lo solicitado por el proveedor, adaptado al modelo PaaS.</w:t>
      </w:r>
    </w:p>
    <w:p>
      <w:pPr>
        <w:pStyle w:val="ListParagraph"/>
        <w:numPr>
          <w:ilvl w:val="0"/>
          <w:numId w:val="2"/>
        </w:numPr>
        <w:spacing w:after="90" w:line="276"/>
      </w:pPr>
      <w:r>
        <w:rPr>
          <w:color w:val="202124"/>
          <w:sz w:val="21"/>
          <w:szCs w:val="21"/>
        </w:rPr>
        <w:t xml:space="preserve">Aprovisionamiento de un Azure App Service (Plan Premium v3) para el Aplicativo, conforme al dimensionamiento equivalente indicado.</w:t>
      </w:r>
    </w:p>
    <w:p>
      <w:pPr>
        <w:pStyle w:val="ListParagraph"/>
        <w:numPr>
          <w:ilvl w:val="0"/>
          <w:numId w:val="2"/>
        </w:numPr>
        <w:spacing w:after="90" w:line="276"/>
      </w:pPr>
      <w:r>
        <w:rPr>
          <w:color w:val="202124"/>
          <w:sz w:val="21"/>
          <w:szCs w:val="21"/>
        </w:rPr>
        <w:t xml:space="preserve">Aprovisionamiento de un Azure SQL Managed Instance (General Purpose) para la Base de Datos, conforme al dimensionamiento equivalente indicado.</w:t>
      </w:r>
    </w:p>
    <w:p>
      <w:pPr>
        <w:pStyle w:val="ListParagraph"/>
        <w:numPr>
          <w:ilvl w:val="0"/>
          <w:numId w:val="2"/>
        </w:numPr>
        <w:spacing w:after="90" w:line="276"/>
      </w:pPr>
      <w:r>
        <w:rPr>
          <w:color w:val="202124"/>
          <w:sz w:val="21"/>
          <w:szCs w:val="21"/>
        </w:rPr>
        <w:t xml:space="preserve">Asignación y configuración de 1 IP Pública (Standard, estática) para el listener del Application Gateway/WAF.</w:t>
      </w:r>
    </w:p>
    <w:p>
      <w:pPr>
        <w:pStyle w:val="ListParagraph"/>
        <w:numPr>
          <w:ilvl w:val="0"/>
          <w:numId w:val="2"/>
        </w:numPr>
        <w:spacing w:after="90" w:line="276"/>
      </w:pPr>
      <w:r>
        <w:rPr>
          <w:color w:val="202124"/>
          <w:sz w:val="21"/>
          <w:szCs w:val="21"/>
        </w:rPr>
        <w:t xml:space="preserve">Configuración de Azure Application Gateway (WAF_v2) para publicación segura del tráfico HTTPS público, con Private Endpoint hacia el App Service.</w:t>
      </w:r>
    </w:p>
    <w:p>
      <w:pPr>
        <w:pStyle w:val="ListParagraph"/>
        <w:numPr>
          <w:ilvl w:val="0"/>
          <w:numId w:val="2"/>
        </w:numPr>
        <w:spacing w:after="90" w:line="276"/>
      </w:pPr>
      <w:r>
        <w:rPr>
          <w:color w:val="202124"/>
          <w:sz w:val="21"/>
          <w:szCs w:val="21"/>
        </w:rPr>
        <w:t xml:space="preserve">Configuración de Azure VPN Gateway (Site-to-Site, opcional) para conectividad privada de administración desde las sucursales, incluyendo la configuración de al menos 1 túnel IPsec de referencia.</w:t>
      </w:r>
    </w:p>
    <w:p>
      <w:pPr>
        <w:pStyle w:val="ListParagraph"/>
        <w:numPr>
          <w:ilvl w:val="0"/>
          <w:numId w:val="2"/>
        </w:numPr>
        <w:spacing w:after="90" w:line="276"/>
      </w:pPr>
      <w:r>
        <w:rPr>
          <w:color w:val="202124"/>
          <w:sz w:val="21"/>
          <w:szCs w:val="21"/>
        </w:rPr>
        <w:t xml:space="preserve">Configuración de Azure Bastion (opcional) para acceso administrativo puntual (por ejemplo, para SSMS hacia el SQL Managed Instance desde una VM de administración).</w:t>
      </w:r>
    </w:p>
    <w:p>
      <w:pPr>
        <w:pStyle w:val="ListParagraph"/>
        <w:numPr>
          <w:ilvl w:val="0"/>
          <w:numId w:val="2"/>
        </w:numPr>
        <w:spacing w:after="90" w:line="276"/>
      </w:pPr>
      <w:r>
        <w:rPr>
          <w:color w:val="202124"/>
          <w:sz w:val="21"/>
          <w:szCs w:val="21"/>
        </w:rPr>
        <w:t xml:space="preserve">Configuración de reglas de NSG/restricciones de acceso entre subredes conforme a la matriz de puertos definida (443 y 1433).</w:t>
      </w:r>
    </w:p>
    <w:p>
      <w:pPr>
        <w:pStyle w:val="ListParagraph"/>
        <w:numPr>
          <w:ilvl w:val="0"/>
          <w:numId w:val="2"/>
        </w:numPr>
        <w:spacing w:after="90" w:line="276"/>
      </w:pPr>
      <w:r>
        <w:rPr>
          <w:color w:val="202124"/>
          <w:sz w:val="21"/>
          <w:szCs w:val="21"/>
        </w:rPr>
        <w:t xml:space="preserve">Configuración de monitoreo con Application Insights y Azure Monitor/Log Analytics, y alertas de disponibilidad y consumo de recursos.</w:t>
      </w:r>
    </w:p>
    <w:p>
      <w:pPr>
        <w:pStyle w:val="ListParagraph"/>
        <w:numPr>
          <w:ilvl w:val="0"/>
          <w:numId w:val="2"/>
        </w:numPr>
        <w:spacing w:after="90" w:line="276"/>
      </w:pPr>
      <w:r>
        <w:rPr>
          <w:color w:val="202124"/>
          <w:sz w:val="21"/>
          <w:szCs w:val="21"/>
        </w:rPr>
        <w:t xml:space="preserve">Verificación y ajuste de la configuración de backups automáticos del App Service y de Azure SQL Managed Instance (PITR); configuración de Azure Backup complementario si se requiere retención extendida.</w:t>
      </w:r>
    </w:p>
    <w:p>
      <w:pPr>
        <w:pStyle w:val="ListParagraph"/>
        <w:numPr>
          <w:ilvl w:val="0"/>
          <w:numId w:val="2"/>
        </w:numPr>
        <w:spacing w:after="90" w:line="276"/>
      </w:pPr>
      <w:r>
        <w:rPr>
          <w:color w:val="202124"/>
          <w:sz w:val="21"/>
          <w:szCs w:val="21"/>
        </w:rPr>
        <w:t xml:space="preserve">Definición y dimensionamiento de referencia de Azure Virtual Desktop (AVD) como alternativa al requerimiento de MS Office/Terminal Services, incluyendo un Host Pool piloto (el despliegue completo para todos los usuarios que lo requieran se ajusta según cantidad final confirmada).</w:t>
      </w:r>
    </w:p>
    <w:p>
      <w:pPr>
        <w:pStyle w:val="ListParagraph"/>
        <w:numPr>
          <w:ilvl w:val="0"/>
          <w:numId w:val="2"/>
        </w:numPr>
        <w:spacing w:after="90" w:line="276"/>
      </w:pPr>
      <w:r>
        <w:rPr>
          <w:color w:val="202124"/>
          <w:sz w:val="21"/>
          <w:szCs w:val="21"/>
        </w:rPr>
        <w:t xml:space="preserve">Documentación técnica de la arquitectura implementada (diagrama, configuración de red, reglas de acceso, credenciales entregadas de forma segura).</w:t>
      </w:r>
    </w:p>
    <w:p>
      <w:pPr>
        <w:pStyle w:val="ListParagraph"/>
        <w:numPr>
          <w:ilvl w:val="0"/>
          <w:numId w:val="2"/>
        </w:numPr>
        <w:spacing w:after="90" w:line="276"/>
      </w:pPr>
      <w:r>
        <w:rPr>
          <w:color w:val="202124"/>
          <w:sz w:val="21"/>
          <w:szCs w:val="21"/>
        </w:rPr>
        <w:t xml:space="preserve">Acompañamiento durante el despliegue de la aplicación del proveedor externo sobre el App Service, en lo referente a la infraestructura (no al desarrollo del aplicativo en sí).</w:t>
      </w:r>
    </w:p>
    <w:p>
      <w:pPr>
        <w:pStyle w:val="Heading1"/>
        <w:pBdr>
          <w:bottom w:val="single" w:color="174EA6" w:sz="8" w:space="4"/>
        </w:pBdr>
        <w:spacing w:after="200" w:before="400"/>
      </w:pPr>
      <w:r>
        <w:rPr>
          <w:b/>
          <w:bCs/>
          <w:color w:val="174EA6"/>
          <w:sz w:val="30"/>
          <w:szCs w:val="30"/>
        </w:rPr>
        <w:t xml:space="preserve">6. Fuera de Alcance</w:t>
      </w:r>
    </w:p>
    <w:p>
      <w:pPr>
        <w:pStyle w:val="ListParagraph"/>
        <w:numPr>
          <w:ilvl w:val="0"/>
          <w:numId w:val="2"/>
        </w:numPr>
        <w:spacing w:after="90" w:line="276"/>
      </w:pPr>
      <w:r>
        <w:rPr>
          <w:color w:val="202124"/>
          <w:sz w:val="21"/>
          <w:szCs w:val="21"/>
        </w:rPr>
        <w:t xml:space="preserve">Desarrollo, adaptación de código, instalación, configuración, licenciamiento o soporte del software aplicativo propio del proveedor externo (ISV).</w:t>
      </w:r>
    </w:p>
    <w:p>
      <w:pPr>
        <w:pStyle w:val="ListParagraph"/>
        <w:numPr>
          <w:ilvl w:val="0"/>
          <w:numId w:val="2"/>
        </w:numPr>
        <w:spacing w:after="90" w:line="276"/>
      </w:pPr>
      <w:r>
        <w:rPr>
          <w:color w:val="202124"/>
          <w:sz w:val="21"/>
          <w:szCs w:val="21"/>
        </w:rPr>
        <w:t xml:space="preserve">Validación de compatibilidad técnica del código del proveedor con el entorno sandboxed de Azure App Service (dependencias de sistema, escritura en disco local, uso de registro de Windows, etc.). Se recomienda que el proveedor confirme esta compatibilidad antes de aprobar el modelo PaaS (ver Supuestos).</w:t>
      </w:r>
    </w:p>
    <w:p>
      <w:pPr>
        <w:pStyle w:val="ListParagraph"/>
        <w:numPr>
          <w:ilvl w:val="0"/>
          <w:numId w:val="2"/>
        </w:numPr>
        <w:spacing w:after="90" w:line="276"/>
      </w:pPr>
      <w:r>
        <w:rPr>
          <w:color w:val="202124"/>
          <w:sz w:val="21"/>
          <w:szCs w:val="21"/>
        </w:rPr>
        <w:t xml:space="preserve">Migración de datos históricos hacia la nueva base de datos.</w:t>
      </w:r>
    </w:p>
    <w:p>
      <w:pPr>
        <w:pStyle w:val="ListParagraph"/>
        <w:numPr>
          <w:ilvl w:val="0"/>
          <w:numId w:val="2"/>
        </w:numPr>
        <w:spacing w:after="90" w:line="276"/>
      </w:pPr>
      <w:r>
        <w:rPr>
          <w:color w:val="202124"/>
          <w:sz w:val="21"/>
          <w:szCs w:val="21"/>
        </w:rPr>
        <w:t xml:space="preserve">Pruebas funcionales, de estrés o de rendimiento de la aplicación del proveedor (solo se validará infraestructura: conectividad, recursos, red).</w:t>
      </w:r>
    </w:p>
    <w:p>
      <w:pPr>
        <w:pStyle w:val="ListParagraph"/>
        <w:numPr>
          <w:ilvl w:val="0"/>
          <w:numId w:val="2"/>
        </w:numPr>
        <w:spacing w:after="90" w:line="276"/>
      </w:pPr>
      <w:r>
        <w:rPr>
          <w:color w:val="202124"/>
          <w:sz w:val="21"/>
          <w:szCs w:val="21"/>
        </w:rPr>
        <w:t xml:space="preserve">Configuración de enlaces de Internet dedicados por sucursal (ISP, routers, SD-WAN) — se entregará solo el requerimiento estimado de ancho de banda.</w:t>
      </w:r>
    </w:p>
    <w:p>
      <w:pPr>
        <w:pStyle w:val="ListParagraph"/>
        <w:numPr>
          <w:ilvl w:val="0"/>
          <w:numId w:val="2"/>
        </w:numPr>
        <w:spacing w:after="90" w:line="276"/>
      </w:pPr>
      <w:r>
        <w:rPr>
          <w:color w:val="202124"/>
          <w:sz w:val="21"/>
          <w:szCs w:val="21"/>
        </w:rPr>
        <w:t xml:space="preserve">Configuración de equipos/routers locales en cada sucursal para levantar su extremo del túnel VPN Site-to-Site.</w:t>
      </w:r>
    </w:p>
    <w:p>
      <w:pPr>
        <w:pStyle w:val="ListParagraph"/>
        <w:numPr>
          <w:ilvl w:val="0"/>
          <w:numId w:val="2"/>
        </w:numPr>
        <w:spacing w:after="90" w:line="276"/>
      </w:pPr>
      <w:r>
        <w:rPr>
          <w:color w:val="202124"/>
          <w:sz w:val="21"/>
          <w:szCs w:val="21"/>
        </w:rPr>
        <w:t xml:space="preserve">Soporte y administración de la herramienta de acceso remoto TC Plus (licenciamiento, configuración de agentes en endpoints de usuarios).</w:t>
      </w:r>
    </w:p>
    <w:p>
      <w:pPr>
        <w:pStyle w:val="ListParagraph"/>
        <w:numPr>
          <w:ilvl w:val="0"/>
          <w:numId w:val="2"/>
        </w:numPr>
        <w:spacing w:after="90" w:line="276"/>
      </w:pPr>
      <w:r>
        <w:rPr>
          <w:color w:val="202124"/>
          <w:sz w:val="21"/>
          <w:szCs w:val="21"/>
        </w:rPr>
        <w:t xml:space="preserve">Despliegue completo de Azure Virtual Desktop para la totalidad de usuarios (se entrega el diseño de referencia y un piloto; el rollout completo se cotiza aparte según cantidad final de usuarios que lo requieran).</w:t>
      </w:r>
    </w:p>
    <w:p>
      <w:pPr>
        <w:pStyle w:val="ListParagraph"/>
        <w:numPr>
          <w:ilvl w:val="0"/>
          <w:numId w:val="2"/>
        </w:numPr>
        <w:spacing w:after="90" w:line="276"/>
      </w:pPr>
      <w:r>
        <w:rPr>
          <w:color w:val="202124"/>
          <w:sz w:val="21"/>
          <w:szCs w:val="21"/>
        </w:rPr>
        <w:t xml:space="preserve">Hardening avanzado o auditoría de cumplimiento normativo específico (PCI-DSS, ISO 27001, etc.), salvo que se contrate como servicio adicional.</w:t>
      </w:r>
    </w:p>
    <w:p>
      <w:pPr>
        <w:pStyle w:val="ListParagraph"/>
        <w:numPr>
          <w:ilvl w:val="0"/>
          <w:numId w:val="2"/>
        </w:numPr>
        <w:spacing w:after="90" w:line="276"/>
      </w:pPr>
      <w:r>
        <w:rPr>
          <w:color w:val="202124"/>
          <w:sz w:val="21"/>
          <w:szCs w:val="21"/>
        </w:rPr>
        <w:t xml:space="preserve">Configuración de Disaster Recovery en una segunda región — puede cotizarse como fase adicional (Azure SQL Managed Instance soporta failover groups geo-redundantes como opción futura).</w:t>
      </w:r>
    </w:p>
    <w:p>
      <w:pPr>
        <w:pStyle w:val="ListParagraph"/>
        <w:numPr>
          <w:ilvl w:val="0"/>
          <w:numId w:val="2"/>
        </w:numPr>
        <w:spacing w:after="90" w:line="276"/>
      </w:pPr>
      <w:r>
        <w:rPr>
          <w:color w:val="202124"/>
          <w:sz w:val="21"/>
          <w:szCs w:val="21"/>
        </w:rPr>
        <w:t xml:space="preserve">Capacitación funcional a usuarios finales sobre el uso de la aplicación.</w:t>
      </w:r>
    </w:p>
    <w:p>
      <w:pPr>
        <w:pStyle w:val="ListParagraph"/>
        <w:numPr>
          <w:ilvl w:val="0"/>
          <w:numId w:val="2"/>
        </w:numPr>
        <w:spacing w:after="90" w:line="276"/>
      </w:pPr>
      <w:r>
        <w:rPr>
          <w:color w:val="202124"/>
          <w:sz w:val="21"/>
          <w:szCs w:val="21"/>
        </w:rPr>
        <w:t xml:space="preserve">Costos de licenciamiento del software del proveedor (aplicativo) y de MS Office / AVD bajo modalidad distinta a la aquí estimada.</w:t>
      </w:r>
    </w:p>
    <w:p>
      <w:pPr>
        <w:pStyle w:val="Heading1"/>
        <w:pBdr>
          <w:bottom w:val="single" w:color="174EA6" w:sz="8" w:space="4"/>
        </w:pBdr>
        <w:spacing w:after="200" w:before="400"/>
      </w:pPr>
      <w:r>
        <w:rPr>
          <w:b/>
          <w:bCs/>
          <w:color w:val="174EA6"/>
          <w:sz w:val="30"/>
          <w:szCs w:val="30"/>
        </w:rPr>
        <w:t xml:space="preserve">7. Requerimientos Técnicos</w:t>
      </w:r>
    </w:p>
    <w:p>
      <w:pPr>
        <w:pStyle w:val="Heading2"/>
        <w:spacing w:after="140" w:before="260"/>
      </w:pPr>
      <w:r>
        <w:rPr>
          <w:b/>
          <w:bCs/>
          <w:color w:val="1A73E8"/>
          <w:sz w:val="24"/>
          <w:szCs w:val="24"/>
        </w:rPr>
        <w:t xml:space="preserve">7.1 Aplicativo — Azure App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74EA6"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5960"/>
            <w:shd w:fill="174EA6" w:val="clear"/>
            <w:tcMar>
              <w:top w:type="dxa" w:w="80"/>
              <w:left w:type="dxa" w:w="100"/>
              <w:bottom w:type="dxa" w:w="80"/>
              <w:right w:type="dxa" w:w="100"/>
            </w:tcMar>
            <w:vAlign w:val="center"/>
          </w:tcPr>
          <w:p>
            <w:pPr>
              <w:jc w:val="left"/>
            </w:pPr>
            <w:r>
              <w:rPr>
                <w:b/>
                <w:bCs/>
                <w:color w:val="FFFFFF"/>
                <w:sz w:val="19"/>
                <w:szCs w:val="19"/>
              </w:rPr>
              <w:t xml:space="preserve">Especificación</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Servicio</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App Service (Web App), Sistema Operativo Windows</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Plan de App Service</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Premium v3 — P3v3</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vCPU equivalente</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8 vCore (equivalente al requerimiento original de 2x4 núcleos)</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Memoria RAM</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32 GB</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Almacenamiento</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250 GB incluidos en el plan (gestionado por la plataforma; no requiere discos separados de OS/Logs/App)</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Escalamiento</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Autoescalado horizontal: 1 instancia base, hasta 3 instancias en demanda pico</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Runtime soportado</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 definir con el proveedor: .NET, Java, Node.js, PHP o contenedor Windows (App Service admite todos)</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Conectividad</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Regional VNet Integration (salida privada a BD) + Private Endpoint (entrada solo desde Application Gateway)</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Nota sobre MS Office / Terminal Services</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No soportado en App Service. Ver sección 4.5 y 12.0 — alternativa: Azure Virtual Desktop</w:t>
            </w:r>
          </w:p>
        </w:tc>
      </w:tr>
    </w:tbl>
    <w:p>
      <w:pPr>
        <w:spacing w:after="120"/>
      </w:pPr>
    </w:p>
    <w:p>
      <w:pPr>
        <w:pStyle w:val="Heading2"/>
        <w:spacing w:after="140" w:before="260"/>
      </w:pPr>
      <w:r>
        <w:rPr>
          <w:b/>
          <w:bCs/>
          <w:color w:val="1A73E8"/>
          <w:sz w:val="24"/>
          <w:szCs w:val="24"/>
        </w:rPr>
        <w:t xml:space="preserve">7.2 Base de Datos — Azure SQL Managed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74EA6"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5960"/>
            <w:shd w:fill="174EA6" w:val="clear"/>
            <w:tcMar>
              <w:top w:type="dxa" w:w="80"/>
              <w:left w:type="dxa" w:w="100"/>
              <w:bottom w:type="dxa" w:w="80"/>
              <w:right w:type="dxa" w:w="100"/>
            </w:tcMar>
            <w:vAlign w:val="center"/>
          </w:tcPr>
          <w:p>
            <w:pPr>
              <w:jc w:val="left"/>
            </w:pPr>
            <w:r>
              <w:rPr>
                <w:b/>
                <w:bCs/>
                <w:color w:val="FFFFFF"/>
                <w:sz w:val="19"/>
                <w:szCs w:val="19"/>
              </w:rPr>
              <w:t xml:space="preserve">Especificación</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Servicio</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SQL Managed Instance</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Tier / Familia de cómputo</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General Purpose — Gen5</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vCore</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8 vCore (equivalente al requerimiento original de 2x4 núcleos)</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Memoria RAM aproximada</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~41 GB (asignada automáticamente según tier/vCore; no configurable de forma independiente)</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Compatibilidad</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Alta compatibilidad con SQL Server Standard (SQL Agent, cross-database queries, CLR, Service Broker)</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Almacenamiento</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Hasta 2 TB incluidos (ajustable; equivalente al disco de BD de 2TB solicitado originalmente)</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Backups</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Automáticos completos/diferenciales/log — restauración a un punto en el tiempo (PITR) hasta 35 días, sin configuración adicional</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Red</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Inyectada de forma nativa en subred delegada dentro de la VNet (no usa Private Endpoint, sino integración directa)</w:t>
            </w:r>
          </w:p>
        </w:tc>
      </w:tr>
    </w:tbl>
    <w:p>
      <w:pPr>
        <w:spacing w:after="120"/>
      </w:pPr>
    </w:p>
    <w:p>
      <w:pPr>
        <w:pStyle w:val="Heading2"/>
        <w:spacing w:after="140" w:before="260"/>
      </w:pPr>
      <w:r>
        <w:rPr>
          <w:b/>
          <w:bCs/>
          <w:color w:val="1A73E8"/>
          <w:sz w:val="24"/>
          <w:szCs w:val="24"/>
        </w:rPr>
        <w:t xml:space="preserve">7.3 Azure Virtual Desktop (opcional — para requerimiento de Office/Terminal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74EA6" w:val="clear"/>
            <w:tcMar>
              <w:top w:type="dxa" w:w="80"/>
              <w:left w:type="dxa" w:w="100"/>
              <w:bottom w:type="dxa" w:w="80"/>
              <w:right w:type="dxa" w:w="100"/>
            </w:tcMar>
            <w:vAlign w:val="center"/>
          </w:tcPr>
          <w:p>
            <w:pPr>
              <w:jc w:val="left"/>
            </w:pPr>
            <w:r>
              <w:rPr>
                <w:b/>
                <w:bCs/>
                <w:color w:val="FFFFFF"/>
                <w:sz w:val="19"/>
                <w:szCs w:val="19"/>
              </w:rPr>
              <w:t xml:space="preserve">Componente</w:t>
            </w:r>
          </w:p>
        </w:tc>
        <w:tc>
          <w:tcPr>
            <w:tcW w:type="dxa" w:w="5960"/>
            <w:shd w:fill="174EA6" w:val="clear"/>
            <w:tcMar>
              <w:top w:type="dxa" w:w="80"/>
              <w:left w:type="dxa" w:w="100"/>
              <w:bottom w:type="dxa" w:w="80"/>
              <w:right w:type="dxa" w:w="100"/>
            </w:tcMar>
            <w:vAlign w:val="center"/>
          </w:tcPr>
          <w:p>
            <w:pPr>
              <w:jc w:val="left"/>
            </w:pPr>
            <w:r>
              <w:rPr>
                <w:b/>
                <w:bCs/>
                <w:color w:val="FFFFFF"/>
                <w:sz w:val="19"/>
                <w:szCs w:val="19"/>
              </w:rPr>
              <w:t xml:space="preserve">Especificación</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Servicio</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Virtual Desktop (Host Pool + Session Hosts)</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Sistema Operativo Session Host</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Windows 11 Enterprise multi-sesión (o Windows Server 2025, según licenciamiento)</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Software adicional</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MS Office Profesional instalado en la imagen del Session Host</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Dimensionamiento de referencia</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Session Host Dsv5 (4 vCPU / 16GB) por cada ~8-10 usuarios concurrentes de escritorio (ajustar según uso real)</w:t>
            </w:r>
          </w:p>
        </w:tc>
      </w:tr>
      <w:tr>
        <w:tc>
          <w:tcPr>
            <w:tcW w:type="dxa" w:w="3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Licenciamiento</w:t>
            </w:r>
          </w:p>
        </w:tc>
        <w:tc>
          <w:tcPr>
            <w:tcW w:type="dxa" w:w="59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Windows 11 Enterprise/M365 (según perfil de usuario) + licencias de MS Office</w:t>
            </w:r>
          </w:p>
        </w:tc>
      </w:tr>
      <w:tr>
        <w:tc>
          <w:tcPr>
            <w:tcW w:type="dxa" w:w="3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Administración</w:t>
            </w:r>
          </w:p>
        </w:tc>
        <w:tc>
          <w:tcPr>
            <w:tcW w:type="dxa" w:w="59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Auto-scale de AVD (apagar/encender Session Hosts fuera de horario) para optimizar costo</w:t>
            </w:r>
          </w:p>
        </w:tc>
      </w:tr>
    </w:tbl>
    <w:p>
      <w:pPr>
        <w:spacing w:after="120"/>
      </w:pPr>
    </w:p>
    <w:p>
      <w:pPr>
        <w:pStyle w:val="Heading2"/>
        <w:spacing w:after="140" w:before="260"/>
      </w:pPr>
      <w:r>
        <w:rPr>
          <w:b/>
          <w:bCs/>
          <w:color w:val="1A73E8"/>
          <w:sz w:val="24"/>
          <w:szCs w:val="24"/>
        </w:rPr>
        <w:t xml:space="preserve">7.4 Recursos de Red (IP Pública y Conectividad)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shd w:fill="174EA6" w:val="clear"/>
            <w:tcMar>
              <w:top w:type="dxa" w:w="80"/>
              <w:left w:type="dxa" w:w="100"/>
              <w:bottom w:type="dxa" w:w="80"/>
              <w:right w:type="dxa" w:w="100"/>
            </w:tcMar>
            <w:vAlign w:val="center"/>
          </w:tcPr>
          <w:p>
            <w:pPr>
              <w:jc w:val="left"/>
            </w:pPr>
            <w:r>
              <w:rPr>
                <w:b/>
                <w:bCs/>
                <w:color w:val="FFFFFF"/>
                <w:sz w:val="19"/>
                <w:szCs w:val="19"/>
              </w:rPr>
              <w:t xml:space="preserve">Recurso</w:t>
            </w:r>
          </w:p>
        </w:tc>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Cantidad</w:t>
            </w:r>
          </w:p>
        </w:tc>
        <w:tc>
          <w:tcPr>
            <w:tcW w:type="dxa" w:w="4160"/>
            <w:shd w:fill="174EA6" w:val="clear"/>
            <w:tcMar>
              <w:top w:type="dxa" w:w="80"/>
              <w:left w:type="dxa" w:w="100"/>
              <w:bottom w:type="dxa" w:w="80"/>
              <w:right w:type="dxa" w:w="100"/>
            </w:tcMar>
            <w:vAlign w:val="center"/>
          </w:tcPr>
          <w:p>
            <w:pPr>
              <w:jc w:val="left"/>
            </w:pPr>
            <w:r>
              <w:rPr>
                <w:b/>
                <w:bCs/>
                <w:color w:val="FFFFFF"/>
                <w:sz w:val="19"/>
                <w:szCs w:val="19"/>
              </w:rPr>
              <w:t xml:space="preserve">Especificación / Notas</w:t>
            </w:r>
          </w:p>
        </w:tc>
      </w:tr>
      <w:tr>
        <w:tc>
          <w:tcPr>
            <w:tcW w:type="dxa" w:w="2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IP Pública (PIP)</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w:t>
            </w:r>
          </w:p>
        </w:tc>
        <w:tc>
          <w:tcPr>
            <w:tcW w:type="dxa" w:w="4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SKU Standard, estática, zona-redundante. Asignada únicamente al listener del Application Gateway/WAF.</w:t>
            </w:r>
          </w:p>
        </w:tc>
      </w:tr>
      <w:tr>
        <w:tc>
          <w:tcPr>
            <w:tcW w:type="dxa" w:w="2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VPN Gateway (Site-to-Site)</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(opcional/recomendado)</w:t>
            </w:r>
          </w:p>
        </w:tc>
        <w:tc>
          <w:tcPr>
            <w:tcW w:type="dxa" w:w="4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SKU VpnGw1, para conectividad privada de administración entre sucursales y la VNet de Azure.</w:t>
            </w:r>
          </w:p>
        </w:tc>
      </w:tr>
      <w:tr>
        <w:tc>
          <w:tcPr>
            <w:tcW w:type="dxa" w:w="2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Túneles IPsec S2S</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por sucursal (a confirmar)</w:t>
            </w:r>
          </w:p>
        </w:tc>
        <w:tc>
          <w:tcPr>
            <w:tcW w:type="dxa" w:w="41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Cada sucursal que requiera acceso administrativo privado necesita su propio túnel.</w:t>
            </w:r>
          </w:p>
        </w:tc>
      </w:tr>
      <w:tr>
        <w:tc>
          <w:tcPr>
            <w:tcW w:type="dxa" w:w="2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Bastion</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(opcional)</w:t>
            </w:r>
          </w:p>
        </w:tc>
        <w:tc>
          <w:tcPr>
            <w:tcW w:type="dxa" w:w="41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SKU Standard. Solo necesario para acceso puntual (ej. SSMS hacia SQL MI desde una VM de administración).</w:t>
            </w:r>
          </w:p>
        </w:tc>
      </w:tr>
    </w:tbl>
    <w:p>
      <w:pPr>
        <w:spacing w:after="120"/>
      </w:pPr>
    </w:p>
    <w:p>
      <w:pPr>
        <w:pStyle w:val="Heading2"/>
        <w:spacing w:after="140" w:before="260"/>
      </w:pPr>
      <w:r>
        <w:rPr>
          <w:b/>
          <w:bCs/>
          <w:color w:val="1A73E8"/>
          <w:sz w:val="24"/>
          <w:szCs w:val="24"/>
        </w:rPr>
        <w:t xml:space="preserve">7.5 Matriz de comunicación entre niveles (NSG / restricciones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Origen</w:t>
            </w:r>
          </w:p>
        </w:tc>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Destino</w:t>
            </w:r>
          </w:p>
        </w:tc>
        <w:tc>
          <w:tcPr>
            <w:tcW w:type="dxa" w:w="2200"/>
            <w:shd w:fill="174EA6" w:val="clear"/>
            <w:tcMar>
              <w:top w:type="dxa" w:w="80"/>
              <w:left w:type="dxa" w:w="100"/>
              <w:bottom w:type="dxa" w:w="80"/>
              <w:right w:type="dxa" w:w="100"/>
            </w:tcMar>
            <w:vAlign w:val="center"/>
          </w:tcPr>
          <w:p>
            <w:pPr>
              <w:jc w:val="left"/>
            </w:pPr>
            <w:r>
              <w:rPr>
                <w:b/>
                <w:bCs/>
                <w:color w:val="FFFFFF"/>
                <w:sz w:val="19"/>
                <w:szCs w:val="19"/>
              </w:rPr>
              <w:t xml:space="preserve">Puerto/Protocolo</w:t>
            </w:r>
          </w:p>
        </w:tc>
        <w:tc>
          <w:tcPr>
            <w:tcW w:type="dxa" w:w="2360"/>
            <w:shd w:fill="174EA6" w:val="clear"/>
            <w:tcMar>
              <w:top w:type="dxa" w:w="80"/>
              <w:left w:type="dxa" w:w="100"/>
              <w:bottom w:type="dxa" w:w="80"/>
              <w:right w:type="dxa" w:w="100"/>
            </w:tcMar>
            <w:vAlign w:val="center"/>
          </w:tcPr>
          <w:p>
            <w:pPr>
              <w:jc w:val="left"/>
            </w:pPr>
            <w:r>
              <w:rPr>
                <w:b/>
                <w:bCs/>
                <w:color w:val="FFFFFF"/>
                <w:sz w:val="19"/>
                <w:szCs w:val="19"/>
              </w:rPr>
              <w:t xml:space="preserve">Propósito</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Internet (usuarios)</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Application Gateway (DMZ)</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443 (HTTPS)</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Publicación de la aplicación web</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Application Gateway (DMZ)</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App Service (Private Endpoint)</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TCP 443 (interno)</w:t>
            </w:r>
          </w:p>
        </w:tc>
        <w:tc>
          <w:tcPr>
            <w:tcW w:type="dxa" w:w="23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Reenvío de solicitudes al backend PaaS</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App Service (VNet Integration)</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SQL Managed Instance</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1433</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Conexión a la base de datos</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Sucursales (túnel VPN)</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VPN Gateway</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UDP 500 / 4500 (IPsec)</w:t>
            </w:r>
          </w:p>
        </w:tc>
        <w:tc>
          <w:tcPr>
            <w:tcW w:type="dxa" w:w="23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Túnel Site-to-Site para tráfico administrativo</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Administrador TI</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Bastion</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443 (HTTPS, portal Azure)</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Acceso administrativo remoto puntual</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Usuarios AVD (opcional)</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Virtual Desktop</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TCP 443 (HTTPS, servicio AVD)</w:t>
            </w:r>
          </w:p>
        </w:tc>
        <w:tc>
          <w:tcPr>
            <w:tcW w:type="dxa" w:w="23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Conexión de escritorio remoto vía cliente AVD (sin exponer RDP a Internet)</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App Service / SQL MI</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Monitor / App Insights</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TCP 443</w:t>
            </w:r>
          </w:p>
        </w:tc>
        <w:tc>
          <w:tcPr>
            <w:tcW w:type="dxa" w:w="23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Telemetría (servicios PaaS de Azure)</w:t>
            </w:r>
          </w:p>
        </w:tc>
      </w:tr>
    </w:tbl>
    <w:p>
      <w:pPr>
        <w:spacing w:after="120"/>
      </w:pPr>
    </w:p>
    <w:p>
      <w:pPr>
        <w:pStyle w:val="Heading2"/>
        <w:spacing w:after="140" w:before="260"/>
      </w:pPr>
      <w:r>
        <w:rPr>
          <w:b/>
          <w:bCs/>
          <w:color w:val="1A73E8"/>
          <w:sz w:val="24"/>
          <w:szCs w:val="24"/>
        </w:rPr>
        <w:t xml:space="preserve">7.6 Estimación de ancho de banda (usuarios remotos)</w:t>
      </w:r>
    </w:p>
    <w:p>
      <w:pPr>
        <w:spacing w:after="160" w:line="276"/>
        <w:jc w:val="both"/>
      </w:pPr>
      <w:r>
        <w:rPr>
          <w:b w:val="false"/>
          <w:bCs w:val="false"/>
          <w:i w:val="false"/>
          <w:iCs w:val="false"/>
          <w:color w:val="202124"/>
          <w:sz w:val="21"/>
          <w:szCs w:val="21"/>
        </w:rPr>
        <w:t xml:space="preserve">El proveedor indicó un consumo estimado por usuario conectado remotamente. Se listan los valores tal como fueron proporcionados, y se incluye una observación técnica al respecto: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74EA6" w:val="clear"/>
            <w:tcMar>
              <w:top w:type="dxa" w:w="80"/>
              <w:left w:type="dxa" w:w="100"/>
              <w:bottom w:type="dxa" w:w="80"/>
              <w:right w:type="dxa" w:w="100"/>
            </w:tcMar>
            <w:vAlign w:val="center"/>
          </w:tcPr>
          <w:p>
            <w:pPr>
              <w:jc w:val="left"/>
            </w:pPr>
            <w:r>
              <w:rPr>
                <w:b/>
                <w:bCs/>
                <w:color w:val="FFFFFF"/>
                <w:sz w:val="19"/>
                <w:szCs w:val="19"/>
              </w:rPr>
              <w:t xml:space="preserve">Concepto</w:t>
            </w:r>
          </w:p>
        </w:tc>
        <w:tc>
          <w:tcPr>
            <w:tcW w:type="dxa" w:w="3120"/>
            <w:shd w:fill="174EA6" w:val="clear"/>
            <w:tcMar>
              <w:top w:type="dxa" w:w="80"/>
              <w:left w:type="dxa" w:w="100"/>
              <w:bottom w:type="dxa" w:w="80"/>
              <w:right w:type="dxa" w:w="100"/>
            </w:tcMar>
            <w:vAlign w:val="center"/>
          </w:tcPr>
          <w:p>
            <w:pPr>
              <w:jc w:val="left"/>
            </w:pPr>
            <w:r>
              <w:rPr>
                <w:b/>
                <w:bCs/>
                <w:color w:val="FFFFFF"/>
                <w:sz w:val="19"/>
                <w:szCs w:val="19"/>
              </w:rPr>
              <w:t xml:space="preserve">Valor por usuario (dato proveedor)</w:t>
            </w:r>
          </w:p>
        </w:tc>
        <w:tc>
          <w:tcPr>
            <w:tcW w:type="dxa" w:w="3120"/>
            <w:shd w:fill="174EA6" w:val="clear"/>
            <w:tcMar>
              <w:top w:type="dxa" w:w="80"/>
              <w:left w:type="dxa" w:w="100"/>
              <w:bottom w:type="dxa" w:w="80"/>
              <w:right w:type="dxa" w:w="100"/>
            </w:tcMar>
            <w:vAlign w:val="center"/>
          </w:tcPr>
          <w:p>
            <w:pPr>
              <w:jc w:val="left"/>
            </w:pPr>
            <w:r>
              <w:rPr>
                <w:b/>
                <w:bCs/>
                <w:color w:val="FFFFFF"/>
                <w:sz w:val="19"/>
                <w:szCs w:val="19"/>
              </w:rPr>
              <w:t xml:space="preserve">Total 60 usuarios</w:t>
            </w:r>
          </w:p>
        </w:tc>
      </w:tr>
      <w:tr>
        <w:tc>
          <w:tcPr>
            <w:tcW w:type="dxa" w:w="312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Recepción de datos (descarga)</w:t>
            </w:r>
          </w:p>
        </w:tc>
        <w:tc>
          <w:tcPr>
            <w:tcW w:type="dxa" w:w="312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64 kbps</w:t>
            </w:r>
          </w:p>
        </w:tc>
        <w:tc>
          <w:tcPr>
            <w:tcW w:type="dxa" w:w="312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 3.84 Mbps</w:t>
            </w:r>
          </w:p>
        </w:tc>
      </w:tr>
      <w:tr>
        <w:tc>
          <w:tcPr>
            <w:tcW w:type="dxa" w:w="312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Transmisión (subida)</w:t>
            </w:r>
          </w:p>
        </w:tc>
        <w:tc>
          <w:tcPr>
            <w:tcW w:type="dxa" w:w="312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15 bps (*)</w:t>
            </w:r>
          </w:p>
        </w:tc>
        <w:tc>
          <w:tcPr>
            <w:tcW w:type="dxa" w:w="312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 900 bps (*)</w:t>
            </w:r>
          </w:p>
        </w:tc>
      </w:tr>
    </w:tbl>
    <w:p>
      <w:pPr>
        <w:pBdr>
          <w:left w:val="single" w:color="B06000" w:sz="18" w:space="8"/>
        </w:pBdr>
        <w:shd w:fill="FEF7E0" w:val="clear"/>
        <w:spacing w:after="160" w:before="80" w:line="276"/>
        <w:ind w:left="120"/>
      </w:pPr>
      <w:r>
        <w:rPr>
          <w:i/>
          <w:iCs/>
          <w:color w:val="6B4A00"/>
          <w:sz w:val="21"/>
          <w:szCs w:val="21"/>
        </w:rPr>
        <w:t xml:space="preserve">(*) El valor de subida indicado por el proveedor (15 bps) es órdenes de magnitud menor al de bajada y aparenta ser un error de unidad (posiblemente '15 Kbps' o '150 Kbps'). Para aplicaciones web transaccionales (formularios, consultas, carga de archivos) es común un ratio de subida/bajada más cercano a 1:4 o 1:2. Se recomienda validar este dato con el proveedor antes de dimensionar los enlaces de Internet de cada sucursal. Como referencia conservadora, se sugiere presupuestar un enlace mínimo de 10–20 Mbps simétricos por sucursal (según cantidad de usuarios concurrentes en cada una), más un margen de crecimiento del 30%.</w:t>
      </w:r>
    </w:p>
    <w:p>
      <w:pPr>
        <w:pStyle w:val="Heading1"/>
        <w:pBdr>
          <w:bottom w:val="single" w:color="174EA6" w:sz="8" w:space="4"/>
        </w:pBdr>
        <w:spacing w:after="200" w:before="400"/>
      </w:pPr>
      <w:r>
        <w:rPr>
          <w:b/>
          <w:bCs/>
          <w:color w:val="174EA6"/>
          <w:sz w:val="30"/>
          <w:szCs w:val="30"/>
        </w:rPr>
        <w:t xml:space="preserve">8. Equipo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shd w:fill="174EA6" w:val="clear"/>
            <w:tcMar>
              <w:top w:type="dxa" w:w="80"/>
              <w:left w:type="dxa" w:w="100"/>
              <w:bottom w:type="dxa" w:w="80"/>
              <w:right w:type="dxa" w:w="100"/>
            </w:tcMar>
            <w:vAlign w:val="center"/>
          </w:tcPr>
          <w:p>
            <w:pPr>
              <w:jc w:val="left"/>
            </w:pPr>
            <w:r>
              <w:rPr>
                <w:b/>
                <w:bCs/>
                <w:color w:val="FFFFFF"/>
                <w:sz w:val="19"/>
                <w:szCs w:val="19"/>
              </w:rPr>
              <w:t xml:space="preserve">Rol</w:t>
            </w:r>
          </w:p>
        </w:tc>
        <w:tc>
          <w:tcPr>
            <w:tcW w:type="dxa" w:w="4560"/>
            <w:shd w:fill="174EA6" w:val="clear"/>
            <w:tcMar>
              <w:top w:type="dxa" w:w="80"/>
              <w:left w:type="dxa" w:w="100"/>
              <w:bottom w:type="dxa" w:w="80"/>
              <w:right w:type="dxa" w:w="100"/>
            </w:tcMar>
            <w:vAlign w:val="center"/>
          </w:tcPr>
          <w:p>
            <w:pPr>
              <w:jc w:val="left"/>
            </w:pPr>
            <w:r>
              <w:rPr>
                <w:b/>
                <w:bCs/>
                <w:color w:val="FFFFFF"/>
                <w:sz w:val="19"/>
                <w:szCs w:val="19"/>
              </w:rPr>
              <w:t xml:space="preserve">Responsabilidad principal</w:t>
            </w:r>
          </w:p>
        </w:tc>
        <w:tc>
          <w:tcPr>
            <w:tcW w:type="dxa" w:w="2200"/>
            <w:shd w:fill="174EA6" w:val="clear"/>
            <w:tcMar>
              <w:top w:type="dxa" w:w="80"/>
              <w:left w:type="dxa" w:w="100"/>
              <w:bottom w:type="dxa" w:w="80"/>
              <w:right w:type="dxa" w:w="100"/>
            </w:tcMar>
            <w:vAlign w:val="center"/>
          </w:tcPr>
          <w:p>
            <w:pPr>
              <w:jc w:val="left"/>
            </w:pPr>
            <w:r>
              <w:rPr>
                <w:b/>
                <w:bCs/>
                <w:color w:val="FFFFFF"/>
                <w:sz w:val="19"/>
                <w:szCs w:val="19"/>
              </w:rPr>
              <w:t xml:space="preserve">Dedicación estimada</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Arquitecto Cloud (Azure)</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Diseño de la arquitectura PaaS, definición de VNet Integration/Private Endpoint, validación de SKUs y costos</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todo el proyecto</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Ingeniero DevOps / Cloud Engineer</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Aprovisionamiento de App Service, SQL Managed Instance, Application Gateway, configuración de despliegue (CI/CD)</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Tiempo completo — fase de implementación</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DBA SQL / Azure SQL</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Configuración de Azure SQL Managed Instance, migración/creación de bases, seguridad, validación de compatibilidad con SQL Server Standard</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fase de implementación y pruebas</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Especialista en Seguridad / Redes</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Configuración de WAF, restricciones de acceso del App Service, revisión de exposición de puertos (incluye análisis TC Plus)</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Parcial — fases de diseño e implementación</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Ingeniero de Monitoreo/Operaciones</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Configuración de Application Insights, Azure Monitor, Log Analytics, Azure Backup</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fase final</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Especialista en AVD (si aplica)</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Diseño e implementación del Host Pool de Azure Virtual Desktop para el requerimiento de Office/Terminal Services</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Parcial — solo si se confirma el uso de AVD</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Gerente de Proyecto (PM)</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Coordinación con el proveedor externo, seguimiento de cronograma, gestión de riesgos</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todo el proyecto</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Contacto técnico del proveedor (ISV)</w:t>
            </w:r>
          </w:p>
        </w:tc>
        <w:tc>
          <w:tcPr>
            <w:tcW w:type="dxa" w:w="4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Validación de compatibilidad de la app con App Service, despliegue, pruebas funcionales</w:t>
            </w:r>
          </w:p>
        </w:tc>
        <w:tc>
          <w:tcPr>
            <w:tcW w:type="dxa" w:w="22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Según cronograma del proveedor</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Contacto técnico del cliente</w:t>
            </w:r>
          </w:p>
        </w:tc>
        <w:tc>
          <w:tcPr>
            <w:tcW w:type="dxa" w:w="4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Aprobaciones, accesos, información de sucursales y usuarios, pruebas de aceptación</w:t>
            </w:r>
          </w:p>
        </w:tc>
        <w:tc>
          <w:tcPr>
            <w:tcW w:type="dxa" w:w="22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Parcial — todo el proyecto</w:t>
            </w:r>
          </w:p>
        </w:tc>
      </w:tr>
    </w:tbl>
    <w:p>
      <w:pPr>
        <w:pStyle w:val="Heading1"/>
        <w:pBdr>
          <w:bottom w:val="single" w:color="174EA6" w:sz="8" w:space="4"/>
        </w:pBdr>
        <w:spacing w:after="200" w:before="400"/>
      </w:pPr>
      <w:r>
        <w:rPr>
          <w:b/>
          <w:bCs/>
          <w:color w:val="174EA6"/>
          <w:sz w:val="30"/>
          <w:szCs w:val="30"/>
        </w:rPr>
        <w:t xml:space="preserve">9. Supuestos</w:t>
      </w:r>
    </w:p>
    <w:p>
      <w:pPr>
        <w:pStyle w:val="ListParagraph"/>
        <w:numPr>
          <w:ilvl w:val="0"/>
          <w:numId w:val="2"/>
        </w:numPr>
        <w:spacing w:after="90" w:line="276"/>
      </w:pPr>
      <w:r>
        <w:rPr>
          <w:color w:val="202124"/>
          <w:sz w:val="21"/>
          <w:szCs w:val="21"/>
        </w:rPr>
        <w:t xml:space="preserve">El cliente cuenta con una suscripción de Azure activa (o se gestionará su alta) con permisos suficientes para crear los recursos descritos.</w:t>
      </w:r>
    </w:p>
    <w:p>
      <w:pPr>
        <w:pStyle w:val="ListParagraph"/>
        <w:numPr>
          <w:ilvl w:val="0"/>
          <w:numId w:val="2"/>
        </w:numPr>
        <w:spacing w:after="90" w:line="276"/>
      </w:pPr>
      <w:r>
        <w:rPr>
          <w:color w:val="202124"/>
          <w:sz w:val="21"/>
          <w:szCs w:val="21"/>
        </w:rPr>
        <w:t xml:space="preserve">El proveedor externo (ISV) confirma que la aplicación es compatible con un entorno PaaS (Azure App Service): sin dependencia de acceso al sistema operativo, sin necesidad de instalar software adicional en el servidor de aplicación, y sin escritura persistente crítica en disco local fuera de lo soportado por App Service. Esta validación es responsabilidad del proveedor y es un requisito previo para adoptar este modelo.</w:t>
      </w:r>
    </w:p>
    <w:p>
      <w:pPr>
        <w:pStyle w:val="ListParagraph"/>
        <w:numPr>
          <w:ilvl w:val="0"/>
          <w:numId w:val="2"/>
        </w:numPr>
        <w:spacing w:after="90" w:line="276"/>
      </w:pPr>
      <w:r>
        <w:rPr>
          <w:color w:val="202124"/>
          <w:sz w:val="21"/>
          <w:szCs w:val="21"/>
        </w:rPr>
        <w:t xml:space="preserve">Si el requerimiento de MS Office/Terminal Services es indispensable para algún grupo de usuarios, se asume que ese grupo será atendido mediante Azure Virtual Desktop (componente opcional, sección 4.5), y no mediante el App Service.</w:t>
      </w:r>
    </w:p>
    <w:p>
      <w:pPr>
        <w:pStyle w:val="ListParagraph"/>
        <w:numPr>
          <w:ilvl w:val="0"/>
          <w:numId w:val="2"/>
        </w:numPr>
        <w:spacing w:after="90" w:line="276"/>
      </w:pPr>
      <w:r>
        <w:rPr>
          <w:color w:val="202124"/>
          <w:sz w:val="21"/>
          <w:szCs w:val="21"/>
        </w:rPr>
        <w:t xml:space="preserve">Las licencias de MS Office (para AVD, si aplica) serán adquiridas por el cliente bajo la modalidad correspondiente (Microsoft 365 Apps for Enterprise u otra que incluya derechos de uso en escritorio virtual).</w:t>
      </w:r>
    </w:p>
    <w:p>
      <w:pPr>
        <w:pStyle w:val="ListParagraph"/>
        <w:numPr>
          <w:ilvl w:val="0"/>
          <w:numId w:val="2"/>
        </w:numPr>
        <w:spacing w:after="90" w:line="276"/>
      </w:pPr>
      <w:r>
        <w:rPr>
          <w:color w:val="202124"/>
          <w:sz w:val="21"/>
          <w:szCs w:val="21"/>
        </w:rPr>
        <w:t xml:space="preserve">El diseño contempla una sola región de Azure; no se incluye Disaster Recovery multi-región salvo que se solicite como alcance adicional (Azure SQL Managed Instance lo soporta como upgrade futuro vía Failover Groups).</w:t>
      </w:r>
    </w:p>
    <w:p>
      <w:pPr>
        <w:pStyle w:val="ListParagraph"/>
        <w:numPr>
          <w:ilvl w:val="0"/>
          <w:numId w:val="2"/>
        </w:numPr>
        <w:spacing w:after="90" w:line="276"/>
      </w:pPr>
      <w:r>
        <w:rPr>
          <w:color w:val="202124"/>
          <w:sz w:val="21"/>
          <w:szCs w:val="21"/>
        </w:rPr>
        <w:t xml:space="preserve">El valor de ancho de banda de subida (15 bps) proporcionado por el proveedor será validado/corregido antes de dimensionar los enlaces de Internet finales.</w:t>
      </w:r>
    </w:p>
    <w:p>
      <w:pPr>
        <w:pStyle w:val="ListParagraph"/>
        <w:numPr>
          <w:ilvl w:val="0"/>
          <w:numId w:val="2"/>
        </w:numPr>
        <w:spacing w:after="90" w:line="276"/>
      </w:pPr>
      <w:r>
        <w:rPr>
          <w:color w:val="202124"/>
          <w:sz w:val="21"/>
          <w:szCs w:val="21"/>
        </w:rPr>
        <w:t xml:space="preserve">TC Plus continuará utilizándose únicamente para labores de administración/soporte técnico y no para el acceso funcional de los 60 usuarios a la aplicación.</w:t>
      </w:r>
    </w:p>
    <w:p>
      <w:pPr>
        <w:pStyle w:val="ListParagraph"/>
        <w:numPr>
          <w:ilvl w:val="0"/>
          <w:numId w:val="2"/>
        </w:numPr>
        <w:spacing w:after="90" w:line="276"/>
      </w:pPr>
      <w:r>
        <w:rPr>
          <w:color w:val="202124"/>
          <w:sz w:val="21"/>
          <w:szCs w:val="21"/>
        </w:rPr>
        <w:t xml:space="preserve">Las sucursales cuentan (o contarán) con enlaces de Internet independientes hacia la nube pública; no se asume una WAN privada entre sucursales salvo indicación contraria.</w:t>
      </w:r>
    </w:p>
    <w:p>
      <w:pPr>
        <w:pStyle w:val="ListParagraph"/>
        <w:numPr>
          <w:ilvl w:val="0"/>
          <w:numId w:val="2"/>
        </w:numPr>
        <w:spacing w:after="90" w:line="276"/>
      </w:pPr>
      <w:r>
        <w:rPr>
          <w:color w:val="202124"/>
          <w:sz w:val="21"/>
          <w:szCs w:val="21"/>
        </w:rPr>
        <w:t xml:space="preserve">Los tiempos de aprovisionamiento de recursos en Azure no contemplan demoras por aprobación de cupos/cuotas (quotas) de la suscripción, las cuales se gestionarán en paralelo si aplica.</w:t>
      </w:r>
    </w:p>
    <w:p>
      <w:pPr>
        <w:pStyle w:val="ListParagraph"/>
        <w:numPr>
          <w:ilvl w:val="0"/>
          <w:numId w:val="2"/>
        </w:numPr>
        <w:spacing w:after="90" w:line="276"/>
      </w:pPr>
      <w:r>
        <w:rPr>
          <w:color w:val="202124"/>
          <w:sz w:val="21"/>
          <w:szCs w:val="21"/>
        </w:rPr>
        <w:t xml:space="preserve">El horario de ventana de mantenimiento e instalación será coordinado con el cliente y el proveedor externo.</w:t>
      </w:r>
    </w:p>
    <w:p>
      <w:pPr>
        <w:pStyle w:val="Heading1"/>
        <w:pBdr>
          <w:bottom w:val="single" w:color="174EA6" w:sz="8" w:space="4"/>
        </w:pBdr>
        <w:spacing w:after="200" w:before="400"/>
      </w:pPr>
      <w:r>
        <w:rPr>
          <w:b/>
          <w:bCs/>
          <w:color w:val="174EA6"/>
          <w:sz w:val="30"/>
          <w:szCs w:val="30"/>
        </w:rPr>
        <w:t xml:space="preserve">10. Estimación de Tiempos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00"/>
        <w:gridCol w:w="1860"/>
      </w:tblGrid>
      <w:tr>
        <w:trPr>
          <w:tblHeader/>
        </w:trPr>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Fase</w:t>
            </w:r>
          </w:p>
        </w:tc>
        <w:tc>
          <w:tcPr>
            <w:tcW w:type="dxa" w:w="5100"/>
            <w:shd w:fill="174EA6" w:val="clear"/>
            <w:tcMar>
              <w:top w:type="dxa" w:w="80"/>
              <w:left w:type="dxa" w:w="100"/>
              <w:bottom w:type="dxa" w:w="80"/>
              <w:right w:type="dxa" w:w="100"/>
            </w:tcMar>
            <w:vAlign w:val="center"/>
          </w:tcPr>
          <w:p>
            <w:pPr>
              <w:jc w:val="left"/>
            </w:pPr>
            <w:r>
              <w:rPr>
                <w:b/>
                <w:bCs/>
                <w:color w:val="FFFFFF"/>
                <w:sz w:val="19"/>
                <w:szCs w:val="19"/>
              </w:rPr>
              <w:t xml:space="preserve">Actividades principales</w:t>
            </w:r>
          </w:p>
        </w:tc>
        <w:tc>
          <w:tcPr>
            <w:tcW w:type="dxa" w:w="1860"/>
            <w:shd w:fill="174EA6" w:val="clear"/>
            <w:tcMar>
              <w:top w:type="dxa" w:w="80"/>
              <w:left w:type="dxa" w:w="100"/>
              <w:bottom w:type="dxa" w:w="80"/>
              <w:right w:type="dxa" w:w="100"/>
            </w:tcMar>
            <w:vAlign w:val="center"/>
          </w:tcPr>
          <w:p>
            <w:pPr>
              <w:jc w:val="left"/>
            </w:pPr>
            <w:r>
              <w:rPr>
                <w:b/>
                <w:bCs/>
                <w:color w:val="FFFFFF"/>
                <w:sz w:val="19"/>
                <w:szCs w:val="19"/>
              </w:rPr>
              <w:t xml:space="preserve">Duración estimada</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Planeación y diseño detallado</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Validación de compatibilidad de la app con PaaS, dimensionamiento final, definición de red, aprobación del diseño</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semana</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2. Aprovisionamiento de infraestructura PaaS</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Creación de VNet, subredes, Application Gateway/WAF, App Service, SQL Managed Instance</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 a 5 días</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3. Configuración de red y conectividad privada</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VNet Integration, Private Endpoint, subred delegada de SQL MI, VPN Gateway/Bastion (si aplica)</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3 a 5 días</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4. Configuración de seguridad y publicación</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Restricciones de acceso, políticas WAF, certificados TLS, pruebas de conectividad 443/1433</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 a 5 días</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5. Despliegue del aplicativo (proveedor externo)</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Despliegue del paquete/código en App Service, configuración de cadenas de conexión, pruebas iniciales</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a 2 semanas (depende del proveedor)</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6. AVD (opcional, si se confirma su uso)</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Creación de Host Pool, imagen con MS Office, piloto con usuarios que requieren escritorio completo</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semana adicional (en paralelo)</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7. Monitoreo, backups y validación final</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Application Insights, Azure Monitor, validación de backups automáticos, revisión de accesos (TC Plus/Bastion)</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3 a 5 días</w:t>
            </w:r>
          </w:p>
        </w:tc>
      </w:tr>
      <w:tr>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8. Pruebas integrales</w:t>
            </w:r>
          </w:p>
        </w:tc>
        <w:tc>
          <w:tcPr>
            <w:tcW w:type="dxa" w:w="51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Pruebas de carga básica, validación con usuarios piloto de al menos 2 sucursales, ajustes</w:t>
            </w:r>
          </w:p>
        </w:tc>
        <w:tc>
          <w:tcPr>
            <w:tcW w:type="dxa" w:w="18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 semana</w:t>
            </w:r>
          </w:p>
        </w:tc>
      </w:tr>
      <w:tr>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9. Salida a producción y estabilización</w:t>
            </w:r>
          </w:p>
        </w:tc>
        <w:tc>
          <w:tcPr>
            <w:tcW w:type="dxa" w:w="51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Puesta en marcha general, monitoreo hipercuidado (hypercare) post-salida</w:t>
            </w:r>
          </w:p>
        </w:tc>
        <w:tc>
          <w:tcPr>
            <w:tcW w:type="dxa" w:w="18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a 2 semanas</w:t>
            </w:r>
          </w:p>
        </w:tc>
      </w:tr>
    </w:tbl>
    <w:p>
      <w:pPr>
        <w:spacing w:after="80"/>
      </w:pPr>
    </w:p>
    <w:p>
      <w:pPr>
        <w:spacing w:after="160" w:line="276"/>
        <w:jc w:val="both"/>
      </w:pPr>
      <w:r>
        <w:rPr>
          <w:b/>
          <w:bCs/>
          <w:i w:val="false"/>
          <w:iCs w:val="false"/>
          <w:color w:val="202124"/>
          <w:sz w:val="21"/>
          <w:szCs w:val="21"/>
        </w:rPr>
        <w:t xml:space="preserve">Duración total estimada: 5 a 7 semanas calendario (ligeramente menor que el modelo IaaS, al eliminarse la instalación y configuración manual de sistema operativo y motor de base de datos), sujeto a los tiempos de despliegue y pruebas del aplicativo por parte del proveedor externo.</w:t>
      </w:r>
    </w:p>
    <w:p>
      <w:pPr>
        <w:pStyle w:val="Heading1"/>
        <w:pBdr>
          <w:bottom w:val="single" w:color="174EA6" w:sz="8" w:space="4"/>
        </w:pBdr>
        <w:spacing w:after="200" w:before="400"/>
      </w:pPr>
      <w:r>
        <w:rPr>
          <w:b/>
          <w:bCs/>
          <w:color w:val="174EA6"/>
          <w:sz w:val="30"/>
          <w:szCs w:val="30"/>
        </w:rPr>
        <w:t xml:space="preserve">11. Estimación de Costos (Calculadora de Azure)</w:t>
      </w:r>
    </w:p>
    <w:p>
      <w:pPr>
        <w:spacing w:after="160" w:line="276"/>
        <w:jc w:val="both"/>
      </w:pPr>
      <w:r>
        <w:rPr>
          <w:b w:val="false"/>
          <w:bCs w:val="false"/>
          <w:i w:val="false"/>
          <w:iCs w:val="false"/>
          <w:color w:val="202124"/>
          <w:sz w:val="21"/>
          <w:szCs w:val="21"/>
        </w:rPr>
        <w:t xml:space="preserve">A continuación se presenta una estimación referencial de costos mensuales en modalidad Pay-As-You-Go, considerando una región estándar de Azure (ej. East US 2 / South Central US) y precios de lista vigentes. Estos valores deben validarse y ajustarse en la calculadora oficial de Azure (https://azure.microsoft.com/pricing/calculator/) según la región específica, el tipo de cambio y el programa comercial del cliente (CSP, EA, MCA).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560"/>
        <w:gridCol w:w="1800"/>
      </w:tblGrid>
      <w:tr>
        <w:trPr>
          <w:tblHeader/>
        </w:trPr>
        <w:tc>
          <w:tcPr>
            <w:tcW w:type="dxa" w:w="2600"/>
            <w:shd w:fill="174EA6" w:val="clear"/>
            <w:tcMar>
              <w:top w:type="dxa" w:w="80"/>
              <w:left w:type="dxa" w:w="100"/>
              <w:bottom w:type="dxa" w:w="80"/>
              <w:right w:type="dxa" w:w="100"/>
            </w:tcMar>
            <w:vAlign w:val="center"/>
          </w:tcPr>
          <w:p>
            <w:pPr>
              <w:jc w:val="left"/>
            </w:pPr>
            <w:r>
              <w:rPr>
                <w:b/>
                <w:bCs/>
                <w:color w:val="FFFFFF"/>
                <w:sz w:val="19"/>
                <w:szCs w:val="19"/>
              </w:rPr>
              <w:t xml:space="preserve">Recurso</w:t>
            </w:r>
          </w:p>
        </w:tc>
        <w:tc>
          <w:tcPr>
            <w:tcW w:type="dxa" w:w="2400"/>
            <w:shd w:fill="174EA6" w:val="clear"/>
            <w:tcMar>
              <w:top w:type="dxa" w:w="80"/>
              <w:left w:type="dxa" w:w="100"/>
              <w:bottom w:type="dxa" w:w="80"/>
              <w:right w:type="dxa" w:w="100"/>
            </w:tcMar>
            <w:vAlign w:val="center"/>
          </w:tcPr>
          <w:p>
            <w:pPr>
              <w:jc w:val="left"/>
            </w:pPr>
            <w:r>
              <w:rPr>
                <w:b/>
                <w:bCs/>
                <w:color w:val="FFFFFF"/>
                <w:sz w:val="19"/>
                <w:szCs w:val="19"/>
              </w:rPr>
              <w:t xml:space="preserve">SKU / Tier sugerido</w:t>
            </w:r>
          </w:p>
        </w:tc>
        <w:tc>
          <w:tcPr>
            <w:tcW w:type="dxa" w:w="2560"/>
            <w:shd w:fill="174EA6" w:val="clear"/>
            <w:tcMar>
              <w:top w:type="dxa" w:w="80"/>
              <w:left w:type="dxa" w:w="100"/>
              <w:bottom w:type="dxa" w:w="80"/>
              <w:right w:type="dxa" w:w="100"/>
            </w:tcMar>
            <w:vAlign w:val="center"/>
          </w:tcPr>
          <w:p>
            <w:pPr>
              <w:jc w:val="left"/>
            </w:pPr>
            <w:r>
              <w:rPr>
                <w:b/>
                <w:bCs/>
                <w:color w:val="FFFFFF"/>
                <w:sz w:val="19"/>
                <w:szCs w:val="19"/>
              </w:rPr>
              <w:t xml:space="preserve">Especificación</w:t>
            </w:r>
          </w:p>
        </w:tc>
        <w:tc>
          <w:tcPr>
            <w:tcW w:type="dxa" w:w="1800"/>
            <w:shd w:fill="174EA6" w:val="clear"/>
            <w:tcMar>
              <w:top w:type="dxa" w:w="80"/>
              <w:left w:type="dxa" w:w="100"/>
              <w:bottom w:type="dxa" w:w="80"/>
              <w:right w:type="dxa" w:w="100"/>
            </w:tcMar>
            <w:vAlign w:val="center"/>
          </w:tcPr>
          <w:p>
            <w:pPr>
              <w:jc w:val="left"/>
            </w:pPr>
            <w:r>
              <w:rPr>
                <w:b/>
                <w:bCs/>
                <w:color w:val="FFFFFF"/>
                <w:sz w:val="19"/>
                <w:szCs w:val="19"/>
              </w:rPr>
              <w:t xml:space="preserve">Costo mensual estimado (USD)*</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App Service (Aplicativo)</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Premium v3 — P3v3</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8 vCore / 32 GB RAM, 1 instancia base</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$700 – $900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SQL Managed Instance (BD)</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General Purpose — 8 vCore, Gen5</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 licencia incluida (License Included)</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$3,450 – $3,950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SQL Managed Instance — con Azure Hybrid Benefit</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General Purpose — 8 vCore, Gen5</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Solo cómputo (BYOL de SQL Server con Software Assurance)</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$1,550 – $1,900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Application Gateway WAF_v2</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WAF_v2 (fijo + unidades de capacidad)</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1–2 instancias, autoescalado básico</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$260 – $400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IP Pública (PIP)</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Standard, estática</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 IP zona-redundante para el WAF</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$3 – $5</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Azure VPN Gateway (S2S)</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VpnGw1</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Conectividad privada sucursales ↔ Azure (opcional)</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$140 – $180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Bastion</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Standard SKU (opcional)</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Acceso administrativo puntual</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$140 – $190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Application Insights / Log Analytics</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Pay-as-you-go (ingesta de logs)</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Monitoreo de App Service + SQL MI + alertas</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$40 – $100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Backup (retención extendida, opcional)</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GRS o LRS según criticidad</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Complementa el PITR nativo de 35 días de SQL MI</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$30 – $70</w:t>
            </w:r>
          </w:p>
        </w:tc>
      </w:tr>
      <w:tr>
        <w:tc>
          <w:tcPr>
            <w:tcW w:type="dxa" w:w="26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Salida de datos (egress) estimada</w:t>
            </w:r>
          </w:p>
        </w:tc>
        <w:tc>
          <w:tcPr>
            <w:tcW w:type="dxa" w:w="24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Bandwidth pricing</w:t>
            </w:r>
          </w:p>
        </w:tc>
        <w:tc>
          <w:tcPr>
            <w:tcW w:type="dxa" w:w="256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Tráfico saliente hacia 60 usuarios/sucursales</w:t>
            </w:r>
          </w:p>
        </w:tc>
        <w:tc>
          <w:tcPr>
            <w:tcW w:type="dxa" w:w="1800"/>
            <w:shd w:fill="FFFFFF" w:val="clear"/>
            <w:tcMar>
              <w:top w:type="dxa" w:w="80"/>
              <w:left w:type="dxa" w:w="100"/>
              <w:bottom w:type="dxa" w:w="80"/>
              <w:right w:type="dxa" w:w="100"/>
            </w:tcMar>
            <w:vAlign w:val="center"/>
          </w:tcPr>
          <w:p>
            <w:pPr>
              <w:jc w:val="left"/>
            </w:pPr>
            <w:r>
              <w:rPr>
                <w:b w:val="false"/>
                <w:bCs w:val="false"/>
                <w:color w:val="202124"/>
                <w:sz w:val="19"/>
                <w:szCs w:val="19"/>
              </w:rPr>
              <w:t xml:space="preserve">$20 – $60</w:t>
            </w:r>
          </w:p>
        </w:tc>
      </w:tr>
      <w:tr>
        <w:tc>
          <w:tcPr>
            <w:tcW w:type="dxa" w:w="26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Azure Virtual Desktop (opcional)</w:t>
            </w:r>
          </w:p>
        </w:tc>
        <w:tc>
          <w:tcPr>
            <w:tcW w:type="dxa" w:w="24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Session Hosts Dsv5 + licenciamiento</w:t>
            </w:r>
          </w:p>
        </w:tc>
        <w:tc>
          <w:tcPr>
            <w:tcW w:type="dxa" w:w="256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Referencial por cada ~10 usuarios con Office/escritorio completo</w:t>
            </w:r>
          </w:p>
        </w:tc>
        <w:tc>
          <w:tcPr>
            <w:tcW w:type="dxa" w:w="1800"/>
            <w:shd w:fill="F8FAFD" w:val="clear"/>
            <w:tcMar>
              <w:top w:type="dxa" w:w="80"/>
              <w:left w:type="dxa" w:w="100"/>
              <w:bottom w:type="dxa" w:w="80"/>
              <w:right w:type="dxa" w:w="100"/>
            </w:tcMar>
            <w:vAlign w:val="center"/>
          </w:tcPr>
          <w:p>
            <w:pPr>
              <w:jc w:val="left"/>
            </w:pPr>
            <w:r>
              <w:rPr>
                <w:b w:val="false"/>
                <w:bCs w:val="false"/>
                <w:color w:val="202124"/>
                <w:sz w:val="19"/>
                <w:szCs w:val="19"/>
              </w:rPr>
              <w:t xml:space="preserve">$180 – $260 por cada 10 usuarios</w:t>
            </w:r>
          </w:p>
        </w:tc>
      </w:tr>
    </w:tbl>
    <w:p>
      <w:pPr>
        <w:spacing w:after="80"/>
      </w:pPr>
    </w:p>
    <w:p>
      <w:pPr>
        <w:spacing w:after="160" w:line="276"/>
        <w:jc w:val="both"/>
      </w:pPr>
      <w:r>
        <w:rPr>
          <w:b w:val="false"/>
          <w:bCs w:val="false"/>
          <w:i/>
          <w:iCs/>
          <w:color w:val="202124"/>
          <w:sz w:val="21"/>
          <w:szCs w:val="21"/>
        </w:rPr>
        <w:t xml:space="preserve">Rango total estimado (sin AVD): aproximadamente USD $2,300 a $3,650 por mes usando Azure Hybrid Benefit en el Managed Instance, o USD $4,700 a $6,000 por mes con licenciamiento incluido (License Included). Si se agrega AVD para un subconjunto de usuarios, sumar el rango correspondiente de la última fila según la cantidad real de usuarios con ese requerimiento. (*) Cifras referenciales calculadas con precios de lista Pay-As-You-Go; no incluyen impuestos ni descuentos comerciales.</w:t>
      </w:r>
    </w:p>
    <w:p>
      <w:pPr>
        <w:pBdr>
          <w:left w:val="single" w:color="B06000" w:sz="18" w:space="8"/>
        </w:pBdr>
        <w:shd w:fill="FEF7E0" w:val="clear"/>
        <w:spacing w:after="160" w:before="80" w:line="276"/>
        <w:ind w:left="120"/>
      </w:pPr>
      <w:r>
        <w:rPr>
          <w:i/>
          <w:iCs/>
          <w:color w:val="6B4A00"/>
          <w:sz w:val="21"/>
          <w:szCs w:val="21"/>
        </w:rPr>
        <w:t xml:space="preserve">Punto clave de decisión: el costo de Azure SQL Managed Instance es sensible al licenciamiento de SQL Server. Si el cliente ya posee licencias de SQL Server Standard con Software Assurance, Azure Hybrid Benefit reduce el costo del Managed Instance en aproximadamente 55%, siendo la opción recomendada. Nótese también que, comparado con la propuesta IaaS (VM + SQL Server Standard instalado, ~$390–$2,070/mes para ese componente), el Managed Instance PaaS tiene un costo base mayor; esa diferencia se traduce en menor esfuerzo operativo (parches, backups, alta disponibilidad administrados por Microsoft). Se recomienda generar el escenario final en la calculadora oficial de Azure y anexarlo como addendum una vez confirmada la región y el modelo de licenciamiento.</w:t>
      </w:r>
    </w:p>
    <w:p>
      <w:pPr>
        <w:pStyle w:val="Heading1"/>
        <w:pBdr>
          <w:bottom w:val="single" w:color="174EA6" w:sz="8" w:space="4"/>
        </w:pBdr>
        <w:spacing w:after="200" w:before="400"/>
      </w:pPr>
      <w:r>
        <w:rPr>
          <w:b/>
          <w:bCs/>
          <w:color w:val="174EA6"/>
          <w:sz w:val="30"/>
          <w:szCs w:val="30"/>
        </w:rPr>
        <w:t xml:space="preserve">12. Recomendaciones Técnicas</w:t>
      </w:r>
    </w:p>
    <w:p>
      <w:pPr>
        <w:pStyle w:val="Heading2"/>
        <w:spacing w:after="140" w:before="260"/>
      </w:pPr>
      <w:r>
        <w:rPr>
          <w:b/>
          <w:bCs/>
          <w:color w:val="1A73E8"/>
          <w:sz w:val="24"/>
          <w:szCs w:val="24"/>
        </w:rPr>
        <w:t xml:space="preserve">12.0 Sobre MS Office / Terminal Services en modelo PaaS (punto crítico)</w:t>
      </w:r>
    </w:p>
    <w:p>
      <w:pPr>
        <w:spacing w:after="160" w:line="276"/>
        <w:jc w:val="both"/>
      </w:pPr>
      <w:r>
        <w:rPr>
          <w:b w:val="false"/>
          <w:bCs w:val="false"/>
          <w:i w:val="false"/>
          <w:iCs w:val="false"/>
          <w:color w:val="202124"/>
          <w:sz w:val="21"/>
          <w:szCs w:val="21"/>
        </w:rPr>
        <w:t xml:space="preserve">Este es el punto más importante a resolver con el proveedor antes de avanzar con el modelo PaaS: Azure App Service NO permite instalar MS Office ni habilitar Terminal Services/RDP, porque es un entorno administrado (sandbox) sin acceso al sistema operativo subyacente. Antes de aprobar esta propuesta, se recomienda aclarar con el proveedor el motivo real de ese requerimiento:</w:t>
      </w:r>
    </w:p>
    <w:p>
      <w:pPr>
        <w:pStyle w:val="ListParagraph"/>
        <w:numPr>
          <w:ilvl w:val="0"/>
          <w:numId w:val="2"/>
        </w:numPr>
        <w:spacing w:after="90" w:line="276"/>
      </w:pPr>
      <w:r>
        <w:rPr>
          <w:color w:val="202124"/>
          <w:sz w:val="21"/>
          <w:szCs w:val="21"/>
        </w:rPr>
        <w:t xml:space="preserve">Si MS Office se pedía para que la aplicación genere/exporte documentos (Word/Excel) del lado del servidor mediante automatización de Office (Office Interop): esto no es soportado ni recomendado en ningún entorno de servidor moderno (tampoco en IaaS, técnicamente, aunque funcione). La alternativa correcta es que el proveedor use una librería de generación de documentos sin Office instalado (ej. OpenXML SDK, Aspose, EPPlus, ClosedXML), compatible con App Service.</w:t>
      </w:r>
    </w:p>
    <w:p>
      <w:pPr>
        <w:pStyle w:val="ListParagraph"/>
        <w:numPr>
          <w:ilvl w:val="0"/>
          <w:numId w:val="2"/>
        </w:numPr>
        <w:spacing w:after="90" w:line="276"/>
      </w:pPr>
      <w:r>
        <w:rPr>
          <w:color w:val="202124"/>
          <w:sz w:val="21"/>
          <w:szCs w:val="21"/>
        </w:rPr>
        <w:t xml:space="preserve">Si Terminal Services se pedía para que los usuarios se conecten por escritorio remoto y usen la aplicación como si fuera un programa de escritorio (en lugar de un navegador web): esto indica que la aplicación quizás no es 100% web, sino una aplicación cliente-servidor tradicional. En ese caso, la alternativa PaaS-equivalente es Azure Virtual Desktop (sección 4.5), publicando la aplicación como RemoteApp en lugar de escritorio completo, lo cual es más eficiente en licenciamiento y en experiencia de usuario.</w:t>
      </w:r>
    </w:p>
    <w:p>
      <w:pPr>
        <w:pStyle w:val="ListParagraph"/>
        <w:numPr>
          <w:ilvl w:val="0"/>
          <w:numId w:val="2"/>
        </w:numPr>
        <w:spacing w:after="90" w:line="276"/>
      </w:pPr>
      <w:r>
        <w:rPr>
          <w:color w:val="202124"/>
          <w:sz w:val="21"/>
          <w:szCs w:val="21"/>
        </w:rPr>
        <w:t xml:space="preserve">Si, al aclarar con el proveedor, resulta que la aplicación es realmente un programa de escritorio (no una app web) y depende fuertemente de un entorno Windows completo, es válido reconsiderar el modelo IaaS (VMs) para el servidor de Aplicación como la opción más directa, manteniendo el resto del diseño (WAF, red, BD) en su versión PaaS si se desea un enfoque híbrido.</w:t>
      </w:r>
    </w:p>
    <w:p>
      <w:pPr>
        <w:spacing w:after="160" w:line="276"/>
        <w:jc w:val="both"/>
      </w:pPr>
      <w:r>
        <w:rPr>
          <w:b/>
          <w:bCs/>
          <w:i w:val="false"/>
          <w:iCs w:val="false"/>
          <w:color w:val="202124"/>
          <w:sz w:val="21"/>
          <w:szCs w:val="21"/>
        </w:rPr>
        <w:t xml:space="preserve">Recomendación: agendar una sesión técnica breve con el proveedor para confirmar el motivo exacto de este requerimiento antes de la Fase 1, ya que de esa respuesta depende si el proyecto es 100% PaaS, PaaS + AVD, o un modelo híbrido.</w:t>
      </w:r>
    </w:p>
    <w:p>
      <w:pPr>
        <w:pStyle w:val="Heading2"/>
        <w:spacing w:after="140" w:before="260"/>
      </w:pPr>
      <w:r>
        <w:rPr>
          <w:b/>
          <w:bCs/>
          <w:color w:val="1A73E8"/>
          <w:sz w:val="24"/>
          <w:szCs w:val="24"/>
        </w:rPr>
        <w:t xml:space="preserve">12.1 ¿Qué tier de WAF conviene: Basic, Standard o Premium?</w:t>
      </w:r>
    </w:p>
    <w:p>
      <w:pPr>
        <w:spacing w:after="160" w:line="276"/>
        <w:jc w:val="both"/>
      </w:pPr>
      <w:r>
        <w:rPr>
          <w:b w:val="false"/>
          <w:bCs w:val="false"/>
          <w:i w:val="false"/>
          <w:iCs w:val="false"/>
          <w:color w:val="202124"/>
          <w:sz w:val="21"/>
          <w:szCs w:val="21"/>
        </w:rPr>
        <w:t xml:space="preserve">Para este escenario se recomienda Application Gateway v2 con tier WAF_v2 (equivalente a lo que en Azure se documenta como 'Standard' del SKU v2, ya que el WAF_v2 es la capa que incorpora la política de firewall de aplicaciones). Puntos clave:</w:t>
      </w:r>
    </w:p>
    <w:p>
      <w:pPr>
        <w:pStyle w:val="ListParagraph"/>
        <w:numPr>
          <w:ilvl w:val="0"/>
          <w:numId w:val="2"/>
        </w:numPr>
        <w:spacing w:after="90" w:line="276"/>
      </w:pPr>
      <w:r>
        <w:rPr>
          <w:color w:val="202124"/>
          <w:sz w:val="21"/>
          <w:szCs w:val="21"/>
        </w:rPr>
        <w:t xml:space="preserve">El tier 'Basic' (Application Gateway v1 Standard/WAF) está en proceso de retiro por parte de Microsoft (la migración a v2 es obligatoria antes del 28 de abril de 2026), por lo que no se recomienda para un proyecto nuevo.</w:t>
      </w:r>
    </w:p>
    <w:p>
      <w:pPr>
        <w:pStyle w:val="ListParagraph"/>
        <w:numPr>
          <w:ilvl w:val="0"/>
          <w:numId w:val="2"/>
        </w:numPr>
        <w:spacing w:after="90" w:line="276"/>
      </w:pPr>
      <w:r>
        <w:rPr>
          <w:color w:val="202124"/>
          <w:sz w:val="21"/>
          <w:szCs w:val="21"/>
        </w:rPr>
        <w:t xml:space="preserve">WAF_v2 ofrece autoescalado, redundancia zonal, mejor rendimiento y soporte de políticas WAF centralizadas (managed rule sets OWASP), suficiente para 60 usuarios concurrentes en una sola región.</w:t>
      </w:r>
    </w:p>
    <w:p>
      <w:pPr>
        <w:pStyle w:val="ListParagraph"/>
        <w:numPr>
          <w:ilvl w:val="0"/>
          <w:numId w:val="2"/>
        </w:numPr>
        <w:spacing w:after="90" w:line="276"/>
      </w:pPr>
      <w:r>
        <w:rPr>
          <w:color w:val="202124"/>
          <w:sz w:val="21"/>
          <w:szCs w:val="21"/>
        </w:rPr>
        <w:t xml:space="preserve">Un nivel 'Premium' equivalente solo aplica si se opta por Azure Front Door Premium (para escenarios multi-región, CDN global o protección anti-bot avanzada). Para el alcance actual (una región, tráfico interno corporativo) esto sería sobredimensionado; se puede evaluar a futuro si el proveedor habilita múltiples regiones o el volumen de usuarios crece significativamente.</w:t>
      </w:r>
    </w:p>
    <w:p>
      <w:pPr>
        <w:spacing w:after="160" w:line="276"/>
        <w:jc w:val="both"/>
      </w:pPr>
      <w:r>
        <w:rPr>
          <w:b w:val="false"/>
          <w:bCs w:val="false"/>
          <w:i w:val="false"/>
          <w:iCs w:val="false"/>
          <w:color w:val="202124"/>
          <w:sz w:val="21"/>
          <w:szCs w:val="21"/>
        </w:rPr>
        <w:t xml:space="preserve">Conclusión: Application Gateway WAF_v2 es la opción correcta y balanceada en costo/beneficio para este proyecto.</w:t>
      </w:r>
    </w:p>
    <w:p>
      <w:pPr>
        <w:pStyle w:val="Heading2"/>
        <w:spacing w:after="140" w:before="260"/>
      </w:pPr>
      <w:r>
        <w:rPr>
          <w:b/>
          <w:bCs/>
          <w:color w:val="1A73E8"/>
          <w:sz w:val="24"/>
          <w:szCs w:val="24"/>
        </w:rPr>
        <w:t xml:space="preserve">12.2 ¿TC Plus (puerto 443) choca con la publicación de la aplicación (también 443)?</w:t>
      </w:r>
    </w:p>
    <w:p>
      <w:pPr>
        <w:spacing w:after="160" w:line="276"/>
        <w:jc w:val="both"/>
      </w:pPr>
      <w:r>
        <w:rPr>
          <w:b w:val="false"/>
          <w:bCs w:val="false"/>
          <w:i w:val="false"/>
          <w:iCs w:val="false"/>
          <w:color w:val="202124"/>
          <w:sz w:val="21"/>
          <w:szCs w:val="21"/>
        </w:rPr>
        <w:t xml:space="preserve">No debería existir colisión, por las siguientes razones técnicas:</w:t>
      </w:r>
    </w:p>
    <w:p>
      <w:pPr>
        <w:pStyle w:val="ListParagraph"/>
        <w:numPr>
          <w:ilvl w:val="0"/>
          <w:numId w:val="2"/>
        </w:numPr>
        <w:spacing w:after="90" w:line="276"/>
      </w:pPr>
      <w:r>
        <w:rPr>
          <w:color w:val="202124"/>
          <w:sz w:val="21"/>
          <w:szCs w:val="21"/>
        </w:rPr>
        <w:t xml:space="preserve">El puerto 443 no es un recurso único y exclusivo por servidor: cada servicio expuesto tiene su propia combinación de IP pública (o FQDN vía SNI) + puerto. El Application Gateway publicará la aplicación en su propia IP pública/FQDN dedicado; TC Plus no comparte esa misma IP ni el mismo listener.</w:t>
      </w:r>
    </w:p>
    <w:p>
      <w:pPr>
        <w:pStyle w:val="ListParagraph"/>
        <w:numPr>
          <w:ilvl w:val="0"/>
          <w:numId w:val="2"/>
        </w:numPr>
        <w:spacing w:after="90" w:line="276"/>
      </w:pPr>
      <w:r>
        <w:rPr>
          <w:color w:val="202124"/>
          <w:sz w:val="21"/>
          <w:szCs w:val="21"/>
        </w:rPr>
        <w:t xml:space="preserve">Herramientas de acceso remoto tipo TC Plus habitualmente funcionan mediante conexiones salientes (outbound) desde el equipo administrado hacia los servidores 'broker' del fabricante en Internet, y no requieren abrir un puerto de entrada (inbound) en el servidor. Por lo tanto, no compite ni interfiere con el listener inbound 443 del Application Gateway.</w:t>
      </w:r>
    </w:p>
    <w:p>
      <w:pPr>
        <w:pStyle w:val="ListParagraph"/>
        <w:numPr>
          <w:ilvl w:val="0"/>
          <w:numId w:val="2"/>
        </w:numPr>
        <w:spacing w:after="90" w:line="276"/>
      </w:pPr>
      <w:r>
        <w:rPr>
          <w:color w:val="202124"/>
          <w:sz w:val="21"/>
          <w:szCs w:val="21"/>
        </w:rPr>
        <w:t xml:space="preserve">En el modelo PaaS este punto se simplifica aún más: no existe una VM de Aplicación ni de Base de Datos sobre la cual instalar el agente de TC Plus (App Service y SQL Managed Instance no aceptan agentes de terceros). TC Plus solo tendría sentido instalado en un equipo de administración (por ejemplo, si se usa una VM ligera de administración para SSMS, o en las estaciones de trabajo de TI), nunca sobre los servicios PaaS.</w:t>
      </w:r>
    </w:p>
    <w:p>
      <w:pPr>
        <w:pStyle w:val="ListParagraph"/>
        <w:numPr>
          <w:ilvl w:val="0"/>
          <w:numId w:val="2"/>
        </w:numPr>
        <w:spacing w:after="90" w:line="276"/>
      </w:pPr>
      <w:r>
        <w:rPr>
          <w:color w:val="202124"/>
          <w:sz w:val="21"/>
          <w:szCs w:val="21"/>
        </w:rPr>
        <w:t xml:space="preserve">Se recomienda evaluar migrar el acceso administrativo hacia Azure Bastion (para el caso puntual de necesitar una VM de administración) y usar el portal de Azure / CLI / PowerShell con autenticación de Azure AD para administrar App Service y SQL Managed Instance directamente, sin necesidad de un agente de acceso remoto de terceros.</w:t>
      </w:r>
    </w:p>
    <w:p>
      <w:pPr>
        <w:spacing w:after="160" w:line="276"/>
        <w:jc w:val="both"/>
      </w:pPr>
      <w:r>
        <w:rPr>
          <w:b/>
          <w:bCs/>
          <w:i w:val="false"/>
          <w:iCs w:val="false"/>
          <w:color w:val="202124"/>
          <w:sz w:val="21"/>
          <w:szCs w:val="21"/>
        </w:rPr>
        <w:t xml:space="preserve">Conclusión: se puede seguir usando TC Plus para administración sin conflicto técnico con la publicación de la aplicación, siempre que se aísle su uso a la VLAN de administración y no se instale sobre las VMs productivas del aplicativo o la base de datos.</w:t>
      </w:r>
    </w:p>
    <w:p>
      <w:pPr>
        <w:pStyle w:val="Heading2"/>
        <w:spacing w:after="140" w:before="260"/>
      </w:pPr>
      <w:r>
        <w:rPr>
          <w:b/>
          <w:bCs/>
          <w:color w:val="1A73E8"/>
          <w:sz w:val="24"/>
          <w:szCs w:val="24"/>
        </w:rPr>
        <w:t xml:space="preserve">12.3 ¿Es necesario el VPN Gateway?</w:t>
      </w:r>
    </w:p>
    <w:p>
      <w:pPr>
        <w:spacing w:after="160" w:line="276"/>
        <w:jc w:val="both"/>
      </w:pPr>
      <w:r>
        <w:rPr>
          <w:b w:val="false"/>
          <w:bCs w:val="false"/>
          <w:i w:val="false"/>
          <w:iCs w:val="false"/>
          <w:color w:val="202124"/>
          <w:sz w:val="21"/>
          <w:szCs w:val="21"/>
        </w:rPr>
        <w:t xml:space="preserve">Igual que en la propuesta IaaS, se recomienda incorporarlo como componente opcional/recomendado, no obligatorio:</w:t>
      </w:r>
    </w:p>
    <w:p>
      <w:pPr>
        <w:pStyle w:val="ListParagraph"/>
        <w:numPr>
          <w:ilvl w:val="0"/>
          <w:numId w:val="2"/>
        </w:numPr>
        <w:spacing w:after="90" w:line="276"/>
      </w:pPr>
      <w:r>
        <w:rPr>
          <w:color w:val="202124"/>
          <w:sz w:val="21"/>
          <w:szCs w:val="21"/>
        </w:rPr>
        <w:t xml:space="preserve">No es necesario para que los 60 usuarios usen la aplicación: ese tráfico siempre va por HTTPS público a través del WAF, con o sin VPN.</w:t>
      </w:r>
    </w:p>
    <w:p>
      <w:pPr>
        <w:pStyle w:val="ListParagraph"/>
        <w:numPr>
          <w:ilvl w:val="0"/>
          <w:numId w:val="2"/>
        </w:numPr>
        <w:spacing w:after="90" w:line="276"/>
      </w:pPr>
      <w:r>
        <w:rPr>
          <w:color w:val="202124"/>
          <w:sz w:val="21"/>
          <w:szCs w:val="21"/>
        </w:rPr>
        <w:t xml:space="preserve">Sí aporta valor para el esquema multisucursal (+3 oficinas): da a los administradores/DBAs un camino privado y cifrado hacia la VNet para tareas como conectarse a Azure SQL Managed Instance vía SSMS, o administrar recursos internos sin depender de accesos públicos adicionales.</w:t>
      </w:r>
    </w:p>
    <w:p>
      <w:pPr>
        <w:pStyle w:val="ListParagraph"/>
        <w:numPr>
          <w:ilvl w:val="0"/>
          <w:numId w:val="2"/>
        </w:numPr>
        <w:spacing w:after="90" w:line="276"/>
      </w:pPr>
      <w:r>
        <w:rPr>
          <w:color w:val="202124"/>
          <w:sz w:val="21"/>
          <w:szCs w:val="21"/>
        </w:rPr>
        <w:t xml:space="preserve">Si el cliente busca minimizar costo fijo mensual y solo necesita administración remota puntual, puede omitirse el VPN Gateway y apoyarse únicamente en TC Plus + Azure Bastion (ahorro aproximado de $140–$180 USD/mes).</w:t>
      </w:r>
    </w:p>
    <w:p>
      <w:pPr>
        <w:spacing w:after="160" w:line="276"/>
        <w:jc w:val="both"/>
      </w:pPr>
      <w:r>
        <w:rPr>
          <w:b/>
          <w:bCs/>
          <w:i w:val="false"/>
          <w:iCs w:val="false"/>
          <w:color w:val="202124"/>
          <w:sz w:val="21"/>
          <w:szCs w:val="21"/>
        </w:rPr>
        <w:t xml:space="preserve">Recomendación final: incluir el VPN Gateway en el diseño de referencia y decidir su activación real en la Fase 1 (planeación), según el número definitivo de sucursales que requieran conectividad administrativa privada.</w:t>
      </w:r>
    </w:p>
    <w:p>
      <w:pPr>
        <w:pStyle w:val="Heading2"/>
        <w:spacing w:after="140" w:before="260"/>
      </w:pPr>
      <w:r>
        <w:rPr>
          <w:b/>
          <w:bCs/>
          <w:color w:val="1A73E8"/>
          <w:sz w:val="24"/>
          <w:szCs w:val="24"/>
        </w:rPr>
        <w:t xml:space="preserve">12.4 Ventajas y consideraciones del modelo PaaS frente al IaaS</w:t>
      </w:r>
    </w:p>
    <w:p>
      <w:pPr>
        <w:pStyle w:val="ListParagraph"/>
        <w:numPr>
          <w:ilvl w:val="0"/>
          <w:numId w:val="2"/>
        </w:numPr>
        <w:spacing w:after="90" w:line="276"/>
      </w:pPr>
      <w:r>
        <w:rPr>
          <w:color w:val="202124"/>
          <w:sz w:val="21"/>
          <w:szCs w:val="21"/>
        </w:rPr>
        <w:t xml:space="preserve">Ventaja: se elimina la administración de sistema operativo (parches de Windows Server, antivirus, agentes) tanto en el Aplicativo como en la Base de Datos.</w:t>
      </w:r>
    </w:p>
    <w:p>
      <w:pPr>
        <w:pStyle w:val="ListParagraph"/>
        <w:numPr>
          <w:ilvl w:val="0"/>
          <w:numId w:val="2"/>
        </w:numPr>
        <w:spacing w:after="90" w:line="276"/>
      </w:pPr>
      <w:r>
        <w:rPr>
          <w:color w:val="202124"/>
          <w:sz w:val="21"/>
          <w:szCs w:val="21"/>
        </w:rPr>
        <w:t xml:space="preserve">Ventaja: backups y alta disponibilidad del motor de base de datos administrados de forma nativa por Microsoft (PITR de 35 días sin configuración adicional).</w:t>
      </w:r>
    </w:p>
    <w:p>
      <w:pPr>
        <w:pStyle w:val="ListParagraph"/>
        <w:numPr>
          <w:ilvl w:val="0"/>
          <w:numId w:val="2"/>
        </w:numPr>
        <w:spacing w:after="90" w:line="276"/>
      </w:pPr>
      <w:r>
        <w:rPr>
          <w:color w:val="202124"/>
          <w:sz w:val="21"/>
          <w:szCs w:val="21"/>
        </w:rPr>
        <w:t xml:space="preserve">Ventaja: autoescalado del App Service ante picos de uso de los 60 usuarios, sin necesidad de redimensionar manualmente una VM.</w:t>
      </w:r>
    </w:p>
    <w:p>
      <w:pPr>
        <w:pStyle w:val="ListParagraph"/>
        <w:numPr>
          <w:ilvl w:val="0"/>
          <w:numId w:val="2"/>
        </w:numPr>
        <w:spacing w:after="90" w:line="276"/>
      </w:pPr>
      <w:r>
        <w:rPr>
          <w:color w:val="202124"/>
          <w:sz w:val="21"/>
          <w:szCs w:val="21"/>
        </w:rPr>
        <w:t xml:space="preserve">Consideración: menor flexibilidad para instalar software adicional o hacer configuraciones a nivel de sistema operativo; cualquier dependencia especial del proveedor debe validarse contra las limitaciones de App Service antes de comprometerse con este modelo (ver 12.0).</w:t>
      </w:r>
    </w:p>
    <w:p>
      <w:pPr>
        <w:pStyle w:val="ListParagraph"/>
        <w:numPr>
          <w:ilvl w:val="0"/>
          <w:numId w:val="2"/>
        </w:numPr>
        <w:spacing w:after="90" w:line="276"/>
      </w:pPr>
      <w:r>
        <w:rPr>
          <w:color w:val="202124"/>
          <w:sz w:val="21"/>
          <w:szCs w:val="21"/>
        </w:rPr>
        <w:t xml:space="preserve">Consideración: el costo base de Azure SQL Managed Instance suele ser mayor al de una VM + licencia SQL Server Standard tradicional, salvo que se aplique Azure Hybrid Benefit; a cambio, se reduce sustancialmente el esfuerzo operativo de mantenimiento del motor de base de datos.</w:t>
      </w:r>
    </w:p>
    <w:p>
      <w:pPr>
        <w:pStyle w:val="Heading2"/>
        <w:spacing w:after="140" w:before="260"/>
      </w:pPr>
      <w:r>
        <w:rPr>
          <w:b/>
          <w:bCs/>
          <w:color w:val="1A73E8"/>
          <w:sz w:val="24"/>
          <w:szCs w:val="24"/>
        </w:rPr>
        <w:t xml:space="preserve">12.5 Otras recomendaciones</w:t>
      </w:r>
    </w:p>
    <w:p>
      <w:pPr>
        <w:pStyle w:val="ListParagraph"/>
        <w:numPr>
          <w:ilvl w:val="0"/>
          <w:numId w:val="2"/>
        </w:numPr>
        <w:spacing w:after="90" w:line="276"/>
      </w:pPr>
      <w:r>
        <w:rPr>
          <w:color w:val="202124"/>
          <w:sz w:val="21"/>
          <w:szCs w:val="21"/>
        </w:rPr>
        <w:t xml:space="preserve">Habilitar Microsoft Defender for Cloud (plan gratuito como mínimo) para visibilidad de vulnerabilidades en App Service y SQL Managed Instance.</w:t>
      </w:r>
    </w:p>
    <w:p>
      <w:pPr>
        <w:pStyle w:val="ListParagraph"/>
        <w:numPr>
          <w:ilvl w:val="0"/>
          <w:numId w:val="2"/>
        </w:numPr>
        <w:spacing w:after="90" w:line="276"/>
      </w:pPr>
      <w:r>
        <w:rPr>
          <w:color w:val="202124"/>
          <w:sz w:val="21"/>
          <w:szCs w:val="21"/>
        </w:rPr>
        <w:t xml:space="preserve">Forzar TLS 1.2/1.3 y deshabilitar protocolos/cifrados obsoletos en el listener del Application Gateway y en el App Service (Minimum TLS Version).</w:t>
      </w:r>
    </w:p>
    <w:p>
      <w:pPr>
        <w:pStyle w:val="ListParagraph"/>
        <w:numPr>
          <w:ilvl w:val="0"/>
          <w:numId w:val="2"/>
        </w:numPr>
        <w:spacing w:after="90" w:line="276"/>
      </w:pPr>
      <w:r>
        <w:rPr>
          <w:color w:val="202124"/>
          <w:sz w:val="21"/>
          <w:szCs w:val="21"/>
        </w:rPr>
        <w:t xml:space="preserve">Definir una política de contraseñas y MFA para todos los accesos administrativos (Azure AD / Entra ID).</w:t>
      </w:r>
    </w:p>
    <w:p>
      <w:pPr>
        <w:pStyle w:val="ListParagraph"/>
        <w:numPr>
          <w:ilvl w:val="0"/>
          <w:numId w:val="2"/>
        </w:numPr>
        <w:spacing w:after="90" w:line="276"/>
      </w:pPr>
      <w:r>
        <w:rPr>
          <w:color w:val="202124"/>
          <w:sz w:val="21"/>
          <w:szCs w:val="21"/>
        </w:rPr>
        <w:t xml:space="preserve">Documentar y versionar la infraestructura como código (Bicep/Terraform) para facilitar réplicas futuras en otras regiones o ambientes (QA/Staging, usando slots de despliegue del propio App Service).</w:t>
      </w:r>
    </w:p>
    <w:p>
      <w:pPr>
        <w:pStyle w:val="ListParagraph"/>
        <w:numPr>
          <w:ilvl w:val="0"/>
          <w:numId w:val="2"/>
        </w:numPr>
        <w:spacing w:after="90" w:line="276"/>
      </w:pPr>
      <w:r>
        <w:rPr>
          <w:color w:val="202124"/>
          <w:sz w:val="21"/>
          <w:szCs w:val="21"/>
        </w:rPr>
        <w:t xml:space="preserve">Aprovechar los Deployment Slots de Azure App Service para publicar nuevas versiones de la aplicación sin downtime (staging → swap a producción).</w:t>
      </w:r>
    </w:p>
    <w:p>
      <w:r>
        <w:br w:type="page"/>
      </w:r>
    </w:p>
    <w:p>
      <w:pPr>
        <w:pStyle w:val="Heading1"/>
        <w:pBdr>
          <w:bottom w:val="single" w:color="174EA6" w:sz="8" w:space="4"/>
        </w:pBdr>
        <w:spacing w:after="200" w:before="400"/>
      </w:pPr>
      <w:r>
        <w:rPr>
          <w:b/>
          <w:bCs/>
          <w:color w:val="174EA6"/>
          <w:sz w:val="30"/>
          <w:szCs w:val="30"/>
        </w:rPr>
        <w:t xml:space="preserve">13. Próximos Pasos</w:t>
      </w:r>
    </w:p>
    <w:p>
      <w:pPr>
        <w:pStyle w:val="ListParagraph"/>
        <w:numPr>
          <w:ilvl w:val="0"/>
          <w:numId w:val="2"/>
        </w:numPr>
        <w:spacing w:after="90" w:line="276"/>
      </w:pPr>
      <w:r>
        <w:rPr>
          <w:color w:val="202124"/>
          <w:sz w:val="21"/>
          <w:szCs w:val="21"/>
        </w:rPr>
        <w:t xml:space="preserve">Sesión técnica con el proveedor para aclarar el motivo real del requerimiento de MS Office/Terminal Services (sección 12.0) — esto define si el proyecto es 100% PaaS, PaaS + AVD, o híbrido.</w:t>
      </w:r>
    </w:p>
    <w:p>
      <w:pPr>
        <w:pStyle w:val="ListParagraph"/>
        <w:numPr>
          <w:ilvl w:val="0"/>
          <w:numId w:val="2"/>
        </w:numPr>
        <w:spacing w:after="90" w:line="276"/>
      </w:pPr>
      <w:r>
        <w:rPr>
          <w:color w:val="202124"/>
          <w:sz w:val="21"/>
          <w:szCs w:val="21"/>
        </w:rPr>
        <w:t xml:space="preserve">Validar con el proveedor la compatibilidad técnica de la aplicación con Azure App Service (sin acceso a SO, sin instalación de software adicional).</w:t>
      </w:r>
    </w:p>
    <w:p>
      <w:pPr>
        <w:pStyle w:val="ListParagraph"/>
        <w:numPr>
          <w:ilvl w:val="0"/>
          <w:numId w:val="2"/>
        </w:numPr>
        <w:spacing w:after="90" w:line="276"/>
      </w:pPr>
      <w:r>
        <w:rPr>
          <w:color w:val="202124"/>
          <w:sz w:val="21"/>
          <w:szCs w:val="21"/>
        </w:rPr>
        <w:t xml:space="preserve">Validar y confirmar con el cliente el modelo de licenciamiento (License Included vs. Azure Hybrid Benefit) para Azure SQL Managed Instance, dado su impacto significativo en el costo mensual.</w:t>
      </w:r>
    </w:p>
    <w:p>
      <w:pPr>
        <w:pStyle w:val="ListParagraph"/>
        <w:numPr>
          <w:ilvl w:val="0"/>
          <w:numId w:val="2"/>
        </w:numPr>
        <w:spacing w:after="90" w:line="276"/>
      </w:pPr>
      <w:r>
        <w:rPr>
          <w:color w:val="202124"/>
          <w:sz w:val="21"/>
          <w:szCs w:val="21"/>
        </w:rPr>
        <w:t xml:space="preserve">Confirmar la región de Azure a utilizar (según ubicación de las sucursales y del proveedor).</w:t>
      </w:r>
    </w:p>
    <w:p>
      <w:pPr>
        <w:pStyle w:val="ListParagraph"/>
        <w:numPr>
          <w:ilvl w:val="0"/>
          <w:numId w:val="2"/>
        </w:numPr>
        <w:spacing w:after="90" w:line="276"/>
      </w:pPr>
      <w:r>
        <w:rPr>
          <w:color w:val="202124"/>
          <w:sz w:val="21"/>
          <w:szCs w:val="21"/>
        </w:rPr>
        <w:t xml:space="preserve">Solicitar al proveedor externo la corrección/confirmación del dato de ancho de banda de subida por usuario.</w:t>
      </w:r>
    </w:p>
    <w:p>
      <w:pPr>
        <w:pStyle w:val="ListParagraph"/>
        <w:numPr>
          <w:ilvl w:val="0"/>
          <w:numId w:val="2"/>
        </w:numPr>
        <w:spacing w:after="90" w:line="276"/>
      </w:pPr>
      <w:r>
        <w:rPr>
          <w:color w:val="202124"/>
          <w:sz w:val="21"/>
          <w:szCs w:val="21"/>
        </w:rPr>
        <w:t xml:space="preserve">Generar la estimación final en la calculadora oficial de Azure con la región y el modelo de licenciamiento confirmados, y anexarla como addendum.</w:t>
      </w:r>
    </w:p>
    <w:p>
      <w:pPr>
        <w:pStyle w:val="ListParagraph"/>
        <w:numPr>
          <w:ilvl w:val="0"/>
          <w:numId w:val="2"/>
        </w:numPr>
        <w:spacing w:after="90" w:line="276"/>
      </w:pPr>
      <w:r>
        <w:rPr>
          <w:color w:val="202124"/>
          <w:sz w:val="21"/>
          <w:szCs w:val="21"/>
        </w:rPr>
        <w:t xml:space="preserve">Decidir, en conjunto con el cliente, entre el modelo IaaS (propuesta previa) y el modelo PaaS (este documento), o una combinación híbrida, y aprobar el documento correspondiente para dar inicio a la Fase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Página </w:t>
    </w:r>
    <w:r>
      <w:rPr>
        <w:color w:val="5f6368"/>
        <w:sz w:val="16"/>
        <w:szCs w:val="16"/>
      </w:rPr>
      <w:fldChar w:fldCharType="begin"/>
      <w:instrText xml:space="preserve">PAGE</w:instrText>
      <w:fldChar w:fldCharType="separate"/>
      <w:fldChar w:fldCharType="end"/>
    </w:r>
    <w:r>
      <w:rPr>
        <w:color w:val="5f6368"/>
        <w:sz w:val="16"/>
        <w:szCs w:val="16"/>
      </w:rPr>
      <w:t xml:space="preserve"> de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f6368"/>
        <w:sz w:val="16"/>
        <w:szCs w:val="16"/>
      </w:rPr>
      <w:t xml:space="preserve">Propuesta de Arquitectura Cloud (PaaS) — Solución Web 3 Niveles en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a572498beef094ccc01d39353a8be951cb75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2026-08-31T04:19:43.103Z</dcterms:created>
  <dcterms:modified xsi:type="dcterms:W3CDTF">2026-08-31T04:19:43.103Z</dcterms:modified>
</cp:coreProperties>
</file>

<file path=docProps/custom.xml><?xml version="1.0" encoding="utf-8"?>
<Properties xmlns="http://schemas.openxmlformats.org/officeDocument/2006/custom-properties" xmlns:vt="http://schemas.openxmlformats.org/officeDocument/2006/docPropsVTypes"/>
</file>