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left"/>
      </w:pPr>
      <w:r>
        <w:rPr>
          <w:color w:val="595959"/>
          <w:sz w:val="20"/>
          <w:szCs w:val="20"/>
        </w:rPr>
        <w:t xml:space="preserve">eCommerce Advisors Bureau · Revisión Técnica Independiente</w:t>
      </w:r>
    </w:p>
    <w:p>
      <w:pPr>
        <w:spacing w:after="100" w:before="200"/>
      </w:pPr>
      <w:r>
        <w:rPr>
          <w:b/>
          <w:bCs/>
          <w:color w:val="1F3B57"/>
          <w:sz w:val="44"/>
          <w:szCs w:val="44"/>
        </w:rPr>
        <w:t xml:space="preserve">Observaciones y Comentarios</w:t>
      </w:r>
    </w:p>
    <w:p>
      <w:pPr>
        <w:spacing w:after="60"/>
      </w:pPr>
      <w:r>
        <w:rPr>
          <w:color w:val="262626"/>
          <w:sz w:val="26"/>
          <w:szCs w:val="26"/>
        </w:rPr>
        <w:t xml:space="preserve">Propuesta: Plataforma Modular de Inteligencia de Compras y Surtido</w:t>
      </w:r>
    </w:p>
    <w:p>
      <w:pPr>
        <w:spacing w:after="60"/>
      </w:pPr>
      <w:r>
        <w:rPr>
          <w:color w:val="595959"/>
          <w:sz w:val="22"/>
          <w:szCs w:val="22"/>
        </w:rPr>
        <w:t xml:space="preserve">Capa transversal de datos (Data Analytics Foundation) — Súper Naturista</w:t>
      </w:r>
    </w:p>
    <w:p>
      <w:pPr>
        <w:spacing w:before="700"/>
      </w:pPr>
      <w:r>
        <w:rPr>
          <w:i/>
          <w:iCs/>
          <w:color w:val="595959"/>
          <w:sz w:val="20"/>
          <w:szCs w:val="20"/>
        </w:rPr>
        <w:t xml:space="preserve">Revisión de factibilidad, brechas de arquitectura y estimación de costos en Azure</w:t>
      </w:r>
    </w:p>
    <w:p>
      <w:pPr>
        <w:spacing w:before="900"/>
      </w:pPr>
      <w:r>
        <w:rPr>
          <w:color w:val="595959"/>
          <w:sz w:val="20"/>
          <w:szCs w:val="20"/>
        </w:rPr>
        <w:t xml:space="preserve">Julio 2026</w:t>
      </w:r>
    </w:p>
    <w:p>
      <w:r>
        <w:rPr>
          <w:i/>
          <w:iCs/>
          <w:color w:val="595959"/>
          <w:sz w:val="18"/>
          <w:szCs w:val="18"/>
        </w:rPr>
        <w:t xml:space="preserve">Documento de trabajo — para discusión interna</w:t>
      </w:r>
    </w:p>
    <w:p>
      <w:pPr>
        <w:pageBreakBefore/>
      </w:pPr>
      <w:r>
        <w:t xml:space="preserve"/>
      </w:r>
    </w:p>
    <w:p>
      <w:pPr>
        <w:pStyle w:val="Heading1"/>
        <w:pBdr>
          <w:bottom w:val="single" w:color="F5A623" w:sz="12" w:space="4"/>
        </w:pBdr>
        <w:spacing w:after="160" w:before="360"/>
      </w:pPr>
      <w:r>
        <w:rPr>
          <w:b/>
          <w:bCs/>
          <w:color w:val="1F3B57"/>
          <w:sz w:val="30"/>
          <w:szCs w:val="30"/>
        </w:rPr>
        <w:t xml:space="preserve">1. Resumen Ejecutivo</w:t>
      </w:r>
    </w:p>
    <w:p>
      <w:pPr>
        <w:spacing w:after="160" w:line="300"/>
      </w:pPr>
      <w:r>
        <w:rPr>
          <w:color w:val="262626"/>
          <w:sz w:val="21"/>
          <w:szCs w:val="21"/>
        </w:rPr>
        <w:t xml:space="preserve">La propuesta de arquitectura técnica presentada por eCommerce Advisors Bureau (ECAB) para la capa transversal de datos de Súper Naturista está, en términos generales, bien planteada: sigue principios modernos de arquitectura de datos (desacoplamiento entre almacenamiento y cómputo, mínimo privilegio, servicios administrados y pago por uso) y evita sobre-construir una plataforma corporativa antes de validar el caso de uso. El enfoque de MVP —ERP con vistas autorizadas, extracción batch, repositorio analítico ligero en ADLS Gen2, motor de reglas y consumo vía Synapse Serverless / Power BI— es una selección de servicios razonable y de bajo costo de entrada para el alcance descrito.</w:t>
      </w:r>
    </w:p>
    <w:p>
      <w:pPr>
        <w:spacing w:after="160" w:line="300"/>
      </w:pPr>
      <w:r>
        <w:rPr>
          <w:color w:val="262626"/>
          <w:sz w:val="21"/>
          <w:szCs w:val="21"/>
        </w:rPr>
        <w:t xml:space="preserve">Dicho esto, el documento es una propuesta de arquitectura de referencia y no un diseño detallado ni un presupuesto cerrado. Hay varios puntos que, si no se aclaran antes de aprobar el proyecto, pueden generar sorpresas de alcance, seguridad o costo más adelante. Las secciones siguientes detallan: (2) una valoración de factibilidad, (3) lo que consideramos que falta o debe precisarse, (4) riesgos a vigilar, y (5) una estimación de costos de Azure con supuestos explícitos, ya que el documento no incluye cifras y los volúmenes reales de datos de Súper Naturista aún no están confirmados.</w:t>
      </w:r>
    </w:p>
    <w:p>
      <w:pPr>
        <w:pStyle w:val="Heading1"/>
        <w:pBdr>
          <w:bottom w:val="single" w:color="F5A623" w:sz="12" w:space="4"/>
        </w:pBdr>
        <w:spacing w:after="160" w:before="360"/>
      </w:pPr>
      <w:r>
        <w:rPr>
          <w:b/>
          <w:bCs/>
          <w:color w:val="1F3B57"/>
          <w:sz w:val="30"/>
          <w:szCs w:val="30"/>
        </w:rPr>
        <w:t xml:space="preserve">2. Factibilidad del Proyecto</w:t>
      </w:r>
    </w:p>
    <w:p>
      <w:pPr>
        <w:spacing w:after="160" w:line="300"/>
      </w:pPr>
      <w:r>
        <w:rPr>
          <w:color w:val="262626"/>
          <w:sz w:val="21"/>
          <w:szCs w:val="21"/>
        </w:rPr>
        <w:t xml:space="preserve">En general, el proyecto es técnicamente factible con la arquitectura propuesta. Los elementos que sustentan esta valoración:</w:t>
      </w:r>
    </w:p>
    <w:p>
      <w:pPr>
        <w:pStyle w:val="ListParagraph"/>
        <w:numPr>
          <w:ilvl w:val="0"/>
          <w:numId w:val="2"/>
        </w:numPr>
        <w:spacing w:after="90" w:line="290"/>
      </w:pPr>
      <w:r>
        <w:rPr>
          <w:b/>
          <w:bCs/>
          <w:color w:val="262626"/>
          <w:sz w:val="21"/>
          <w:szCs w:val="21"/>
        </w:rPr>
        <w:t xml:space="preserve">Patrón arquitectónico correcto para un MVP: </w:t>
      </w:r>
      <w:r>
        <w:rPr>
          <w:color w:val="262626"/>
          <w:sz w:val="21"/>
          <w:szCs w:val="21"/>
        </w:rPr>
        <w:t xml:space="preserve">separar el ERP transaccional del análisis mediante vistas de solo lectura es la práctica estándar y de menor riesgo para no afectar la operación diaria.</w:t>
      </w:r>
    </w:p>
    <w:p>
      <w:pPr>
        <w:pStyle w:val="ListParagraph"/>
        <w:numPr>
          <w:ilvl w:val="0"/>
          <w:numId w:val="2"/>
        </w:numPr>
        <w:spacing w:after="90" w:line="290"/>
      </w:pPr>
      <w:r>
        <w:rPr>
          <w:b/>
          <w:bCs/>
          <w:color w:val="262626"/>
          <w:sz w:val="21"/>
          <w:szCs w:val="21"/>
        </w:rPr>
        <w:t xml:space="preserve">Selección de servicios coherente: </w:t>
      </w:r>
      <w:r>
        <w:rPr>
          <w:color w:val="262626"/>
          <w:sz w:val="21"/>
          <w:szCs w:val="21"/>
        </w:rPr>
        <w:t xml:space="preserve">Container Apps Jobs, ADLS Gen2 y Synapse Serverless son todos servicios serverless / pago-por-uso, alineados con el principio de "no dejar infraestructura encendida" que el documento declara como objetivo.</w:t>
      </w:r>
    </w:p>
    <w:p>
      <w:pPr>
        <w:pStyle w:val="ListParagraph"/>
        <w:numPr>
          <w:ilvl w:val="0"/>
          <w:numId w:val="2"/>
        </w:numPr>
        <w:spacing w:after="90" w:line="290"/>
      </w:pPr>
      <w:r>
        <w:rPr>
          <w:b/>
          <w:bCs/>
          <w:color w:val="262626"/>
          <w:sz w:val="21"/>
          <w:szCs w:val="21"/>
        </w:rPr>
        <w:t xml:space="preserve">Escalabilidad futura razonable: </w:t>
      </w:r>
      <w:r>
        <w:rPr>
          <w:color w:val="262626"/>
          <w:sz w:val="21"/>
          <w:szCs w:val="21"/>
        </w:rPr>
        <w:t xml:space="preserve">la organización en cuatro zonas lógicas (trazabilidad, datasets, resultados, control operativo) permite crecer hacia un modelo Medallion completo sin rediseñar desde cero si el proyecto madura.</w:t>
      </w:r>
    </w:p>
    <w:p>
      <w:pPr>
        <w:pStyle w:val="ListParagraph"/>
        <w:numPr>
          <w:ilvl w:val="0"/>
          <w:numId w:val="2"/>
        </w:numPr>
        <w:spacing w:after="90" w:line="290"/>
      </w:pPr>
      <w:r>
        <w:rPr>
          <w:b/>
          <w:bCs/>
          <w:color w:val="262626"/>
          <w:sz w:val="21"/>
          <w:szCs w:val="21"/>
        </w:rPr>
        <w:t xml:space="preserve">Alcance acotado y explícito: </w:t>
      </w:r>
      <w:r>
        <w:rPr>
          <w:color w:val="262626"/>
          <w:sz w:val="21"/>
          <w:szCs w:val="21"/>
        </w:rPr>
        <w:t xml:space="preserve">el documento es honesto en decir qué NO incluye (plataforma corporativa completa, tiempo real, Medallion completo), lo cual reduce el riesgo de "scope creep" no declarado.</w:t>
      </w:r>
    </w:p>
    <w:p>
      <w:pPr>
        <w:spacing w:after="160" w:line="300"/>
      </w:pPr>
      <w:r>
        <w:rPr>
          <w:color w:val="262626"/>
          <w:sz w:val="21"/>
          <w:szCs w:val="21"/>
        </w:rPr>
        <w:t xml:space="preserve">El principal punto de atención para la factibilidad no es la arquitectura en sí, sino que el documento depende de varias definiciones pendientes (mapeo técnico del ERP, volúmenes reales, política de seguridad de red de Súper Naturista) que aún no se han confirmado. Es decir: la arquitectura es factible, pero el presupuesto y el cronograma no pueden cerrarse hasta que esas definiciones existan.</w:t>
      </w:r>
    </w:p>
    <w:p>
      <w:pPr>
        <w:pStyle w:val="Heading1"/>
        <w:pBdr>
          <w:bottom w:val="single" w:color="F5A623" w:sz="12" w:space="4"/>
        </w:pBdr>
        <w:spacing w:after="160" w:before="360"/>
      </w:pPr>
      <w:r>
        <w:rPr>
          <w:b/>
          <w:bCs/>
          <w:color w:val="1F3B57"/>
          <w:sz w:val="30"/>
          <w:szCs w:val="30"/>
        </w:rPr>
        <w:t xml:space="preserve">3. Observaciones: Qué Falta o Debe Precisarse</w:t>
      </w:r>
    </w:p>
    <w:p>
      <w:pPr>
        <w:spacing w:after="160" w:line="300"/>
      </w:pPr>
      <w:r>
        <w:rPr>
          <w:color w:val="262626"/>
          <w:sz w:val="21"/>
          <w:szCs w:val="21"/>
        </w:rPr>
        <w:t xml:space="preserve">La siguiente tabla resume los vacíos u omisiones más relevantes que identificamos en el documento, agrupados por dominio. Ninguno invalida la arquitectura propuesta, pero varios pueden tener impacto directo en costo, cronograma o riesgo de seguridad si no se abordan antes de iniciar el desarrollo.</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3200"/>
      </w:tblGrid>
      <w:tr>
        <w:trPr>
          <w:tblHeader/>
        </w:trPr>
        <w:tc>
          <w:tcPr>
            <w:tcW w:type="dxa" w:w="2600"/>
            <w:shd w:fill="1F3B57" w:val="clear"/>
            <w:tcMar>
              <w:top w:type="dxa" w:w="80"/>
              <w:left w:type="dxa" w:w="100"/>
              <w:bottom w:type="dxa" w:w="80"/>
              <w:right w:type="dxa" w:w="100"/>
            </w:tcMar>
          </w:tcPr>
          <w:p>
            <w:pPr>
              <w:spacing w:after="40"/>
            </w:pPr>
            <w:r>
              <w:rPr>
                <w:b/>
                <w:bCs/>
                <w:color w:val="FFFFFF"/>
                <w:sz w:val="19"/>
                <w:szCs w:val="19"/>
              </w:rPr>
              <w:t xml:space="preserve">Dominio</w:t>
            </w:r>
          </w:p>
        </w:tc>
        <w:tc>
          <w:tcPr>
            <w:tcW w:type="dxa" w:w="4300"/>
            <w:shd w:fill="1F3B57" w:val="clear"/>
            <w:tcMar>
              <w:top w:type="dxa" w:w="80"/>
              <w:left w:type="dxa" w:w="100"/>
              <w:bottom w:type="dxa" w:w="80"/>
              <w:right w:type="dxa" w:w="100"/>
            </w:tcMar>
          </w:tcPr>
          <w:p>
            <w:pPr>
              <w:spacing w:after="40"/>
            </w:pPr>
            <w:r>
              <w:rPr>
                <w:b/>
                <w:bCs/>
                <w:color w:val="FFFFFF"/>
                <w:sz w:val="19"/>
                <w:szCs w:val="19"/>
              </w:rPr>
              <w:t xml:space="preserve">Observación</w:t>
            </w:r>
          </w:p>
        </w:tc>
        <w:tc>
          <w:tcPr>
            <w:tcW w:type="dxa" w:w="3200"/>
            <w:shd w:fill="1F3B57" w:val="clear"/>
            <w:tcMar>
              <w:top w:type="dxa" w:w="80"/>
              <w:left w:type="dxa" w:w="100"/>
              <w:bottom w:type="dxa" w:w="80"/>
              <w:right w:type="dxa" w:w="100"/>
            </w:tcMar>
          </w:tcPr>
          <w:p>
            <w:pPr>
              <w:spacing w:after="40"/>
            </w:pPr>
            <w:r>
              <w:rPr>
                <w:b/>
                <w:bCs/>
                <w:color w:val="FFFFFF"/>
                <w:sz w:val="19"/>
                <w:szCs w:val="19"/>
              </w:rPr>
              <w:t xml:space="preserve">Por qué importa</w:t>
            </w:r>
          </w:p>
        </w:tc>
      </w:tr>
      <w:tr>
        <w:tc>
          <w:tcPr>
            <w:tcW w:type="dxa" w:w="2600"/>
            <w:tcMar>
              <w:top w:type="dxa" w:w="80"/>
              <w:left w:type="dxa" w:w="100"/>
              <w:bottom w:type="dxa" w:w="80"/>
              <w:right w:type="dxa" w:w="100"/>
            </w:tcMar>
          </w:tcPr>
          <w:p>
            <w:pPr>
              <w:spacing w:after="40"/>
            </w:pPr>
            <w:r>
              <w:rPr>
                <w:b w:val="false"/>
                <w:bCs w:val="false"/>
                <w:color w:val="262626"/>
                <w:sz w:val="19"/>
                <w:szCs w:val="19"/>
              </w:rPr>
              <w:t xml:space="preserve">Conectividad / Seguridad</w:t>
            </w:r>
          </w:p>
        </w:tc>
        <w:tc>
          <w:tcPr>
            <w:tcW w:type="dxa" w:w="4300"/>
            <w:tcMar>
              <w:top w:type="dxa" w:w="80"/>
              <w:left w:type="dxa" w:w="100"/>
              <w:bottom w:type="dxa" w:w="80"/>
              <w:right w:type="dxa" w:w="100"/>
            </w:tcMar>
          </w:tcPr>
          <w:p>
            <w:pPr>
              <w:spacing w:after="40"/>
            </w:pPr>
            <w:r>
              <w:rPr>
                <w:b w:val="false"/>
                <w:bCs w:val="false"/>
                <w:color w:val="262626"/>
                <w:sz w:val="19"/>
                <w:szCs w:val="19"/>
              </w:rPr>
              <w:t xml:space="preserve">Se propone solo IP fija + firewall para conectar Azure con el ERP on-premise. No se evalúa una VPN Site-to-Site o ExpressRoute como alternativa.</w:t>
            </w:r>
          </w:p>
        </w:tc>
        <w:tc>
          <w:tcPr>
            <w:tcW w:type="dxa" w:w="3200"/>
            <w:tcMar>
              <w:top w:type="dxa" w:w="80"/>
              <w:left w:type="dxa" w:w="100"/>
              <w:bottom w:type="dxa" w:w="80"/>
              <w:right w:type="dxa" w:w="100"/>
            </w:tcMar>
          </w:tcPr>
          <w:p>
            <w:pPr>
              <w:spacing w:after="40"/>
            </w:pPr>
            <w:r>
              <w:rPr>
                <w:b w:val="false"/>
                <w:bCs w:val="false"/>
                <w:color w:val="262626"/>
                <w:sz w:val="19"/>
                <w:szCs w:val="19"/>
              </w:rPr>
              <w:t xml:space="preserve">Una IP pública, aunque esté en whitelist, sigue siendo una superficie de exposición a internet. Para datos de compras, precios y proveedores, un túnel privado suele ser el estándar corporativo esperado por equipos de seguridad.</w:t>
            </w:r>
          </w:p>
        </w:tc>
      </w:tr>
      <w:tr>
        <w:tc>
          <w:tcPr>
            <w:tcW w:type="dxa" w:w="2600"/>
            <w:shd w:fill="F2F2F2" w:val="clear"/>
            <w:tcMar>
              <w:top w:type="dxa" w:w="80"/>
              <w:left w:type="dxa" w:w="100"/>
              <w:bottom w:type="dxa" w:w="80"/>
              <w:right w:type="dxa" w:w="100"/>
            </w:tcMar>
          </w:tcPr>
          <w:p>
            <w:pPr>
              <w:spacing w:after="40"/>
            </w:pPr>
            <w:r>
              <w:rPr>
                <w:b w:val="false"/>
                <w:bCs w:val="false"/>
                <w:color w:val="262626"/>
                <w:sz w:val="19"/>
                <w:szCs w:val="19"/>
              </w:rPr>
              <w:t xml:space="preserve">Identidad y accesos</w:t>
            </w:r>
          </w:p>
        </w:tc>
        <w:tc>
          <w:tcPr>
            <w:tcW w:type="dxa" w:w="4300"/>
            <w:shd w:fill="F2F2F2" w:val="clear"/>
            <w:tcMar>
              <w:top w:type="dxa" w:w="80"/>
              <w:left w:type="dxa" w:w="100"/>
              <w:bottom w:type="dxa" w:w="80"/>
              <w:right w:type="dxa" w:w="100"/>
            </w:tcMar>
          </w:tcPr>
          <w:p>
            <w:pPr>
              <w:spacing w:after="40"/>
            </w:pPr>
            <w:r>
              <w:rPr>
                <w:b w:val="false"/>
                <w:bCs w:val="false"/>
                <w:color w:val="262626"/>
                <w:sz w:val="19"/>
                <w:szCs w:val="19"/>
              </w:rPr>
              <w:t xml:space="preserve">No se menciona Azure Entra ID (Azure AD), RBAC granular, ni Managed Identities para que Container Apps y Synapse se autentiquen sin credenciales embebidas.</w:t>
            </w:r>
          </w:p>
        </w:tc>
        <w:tc>
          <w:tcPr>
            <w:tcW w:type="dxa" w:w="3200"/>
            <w:shd w:fill="F2F2F2" w:val="clear"/>
            <w:tcMar>
              <w:top w:type="dxa" w:w="80"/>
              <w:left w:type="dxa" w:w="100"/>
              <w:bottom w:type="dxa" w:w="80"/>
              <w:right w:type="dxa" w:w="100"/>
            </w:tcMar>
          </w:tcPr>
          <w:p>
            <w:pPr>
              <w:spacing w:after="40"/>
            </w:pPr>
            <w:r>
              <w:rPr>
                <w:b w:val="false"/>
                <w:bCs w:val="false"/>
                <w:color w:val="262626"/>
                <w:sz w:val="19"/>
                <w:szCs w:val="19"/>
              </w:rPr>
              <w:t xml:space="preserve">Key Vault protege secretos, pero si el propio acceso a Key Vault y a ADLS no usa identidades administradas, persiste el riesgo de credenciales estáticas circulando en configuración.</w:t>
            </w:r>
          </w:p>
        </w:tc>
      </w:tr>
      <w:tr>
        <w:tc>
          <w:tcPr>
            <w:tcW w:type="dxa" w:w="2600"/>
            <w:tcMar>
              <w:top w:type="dxa" w:w="80"/>
              <w:left w:type="dxa" w:w="100"/>
              <w:bottom w:type="dxa" w:w="80"/>
              <w:right w:type="dxa" w:w="100"/>
            </w:tcMar>
          </w:tcPr>
          <w:p>
            <w:pPr>
              <w:spacing w:after="40"/>
            </w:pPr>
            <w:r>
              <w:rPr>
                <w:b w:val="false"/>
                <w:bCs w:val="false"/>
                <w:color w:val="262626"/>
                <w:sz w:val="19"/>
                <w:szCs w:val="19"/>
              </w:rPr>
              <w:t xml:space="preserve">Gobierno de datos</w:t>
            </w:r>
          </w:p>
        </w:tc>
        <w:tc>
          <w:tcPr>
            <w:tcW w:type="dxa" w:w="4300"/>
            <w:tcMar>
              <w:top w:type="dxa" w:w="80"/>
              <w:left w:type="dxa" w:w="100"/>
              <w:bottom w:type="dxa" w:w="80"/>
              <w:right w:type="dxa" w:w="100"/>
            </w:tcMar>
          </w:tcPr>
          <w:p>
            <w:pPr>
              <w:spacing w:after="40"/>
            </w:pPr>
            <w:r>
              <w:rPr>
                <w:b w:val="false"/>
                <w:bCs w:val="false"/>
                <w:color w:val="262626"/>
                <w:sz w:val="19"/>
                <w:szCs w:val="19"/>
              </w:rPr>
              <w:t xml:space="preserve">No hay catálogo de datos, linaje ni un dueño de datos (data owner) designado por dominio (producto, compras, inventario, etc.).</w:t>
            </w:r>
          </w:p>
        </w:tc>
        <w:tc>
          <w:tcPr>
            <w:tcW w:type="dxa" w:w="3200"/>
            <w:tcMar>
              <w:top w:type="dxa" w:w="80"/>
              <w:left w:type="dxa" w:w="100"/>
              <w:bottom w:type="dxa" w:w="80"/>
              <w:right w:type="dxa" w:w="100"/>
            </w:tcMar>
          </w:tcPr>
          <w:p>
            <w:pPr>
              <w:spacing w:after="40"/>
            </w:pPr>
            <w:r>
              <w:rPr>
                <w:b w:val="false"/>
                <w:bCs w:val="false"/>
                <w:color w:val="262626"/>
                <w:sz w:val="19"/>
                <w:szCs w:val="19"/>
              </w:rPr>
              <w:t xml:space="preserve">Sin gobierno, el repositorio analítico puede volverse una "caja negra" difícil de auditar cuando el motor de reglas cambie o cuando distintas áreas empiecen a consumir los mismos datasets.</w:t>
            </w:r>
          </w:p>
        </w:tc>
      </w:tr>
      <w:tr>
        <w:tc>
          <w:tcPr>
            <w:tcW w:type="dxa" w:w="2600"/>
            <w:shd w:fill="F2F2F2" w:val="clear"/>
            <w:tcMar>
              <w:top w:type="dxa" w:w="80"/>
              <w:left w:type="dxa" w:w="100"/>
              <w:bottom w:type="dxa" w:w="80"/>
              <w:right w:type="dxa" w:w="100"/>
            </w:tcMar>
          </w:tcPr>
          <w:p>
            <w:pPr>
              <w:spacing w:after="40"/>
            </w:pPr>
            <w:r>
              <w:rPr>
                <w:b w:val="false"/>
                <w:bCs w:val="false"/>
                <w:color w:val="262626"/>
                <w:sz w:val="19"/>
                <w:szCs w:val="19"/>
              </w:rPr>
              <w:t xml:space="preserve">Calidad de datos</w:t>
            </w:r>
          </w:p>
        </w:tc>
        <w:tc>
          <w:tcPr>
            <w:tcW w:type="dxa" w:w="4300"/>
            <w:shd w:fill="F2F2F2" w:val="clear"/>
            <w:tcMar>
              <w:top w:type="dxa" w:w="80"/>
              <w:left w:type="dxa" w:w="100"/>
              <w:bottom w:type="dxa" w:w="80"/>
              <w:right w:type="dxa" w:w="100"/>
            </w:tcMar>
          </w:tcPr>
          <w:p>
            <w:pPr>
              <w:spacing w:after="40"/>
            </w:pPr>
            <w:r>
              <w:rPr>
                <w:b w:val="false"/>
                <w:bCs w:val="false"/>
                <w:color w:val="262626"/>
                <w:sz w:val="19"/>
                <w:szCs w:val="19"/>
              </w:rPr>
              <w:t xml:space="preserve">No se describe validación de calidad (nulos, duplicados, reconciliación contra el ERP) antes de que los datos alimenten el motor de reglas.</w:t>
            </w:r>
          </w:p>
        </w:tc>
        <w:tc>
          <w:tcPr>
            <w:tcW w:type="dxa" w:w="3200"/>
            <w:shd w:fill="F2F2F2" w:val="clear"/>
            <w:tcMar>
              <w:top w:type="dxa" w:w="80"/>
              <w:left w:type="dxa" w:w="100"/>
              <w:bottom w:type="dxa" w:w="80"/>
              <w:right w:type="dxa" w:w="100"/>
            </w:tcMar>
          </w:tcPr>
          <w:p>
            <w:pPr>
              <w:spacing w:after="40"/>
            </w:pPr>
            <w:r>
              <w:rPr>
                <w:b w:val="false"/>
                <w:bCs w:val="false"/>
                <w:color w:val="262626"/>
                <w:sz w:val="19"/>
                <w:szCs w:val="19"/>
              </w:rPr>
              <w:t xml:space="preserve">Un motor de recomendación de compras es tan confiable como los datos que consume; errores silenciosos de calidad afectan directamente la decisión comercial.</w:t>
            </w:r>
          </w:p>
        </w:tc>
      </w:tr>
      <w:tr>
        <w:tc>
          <w:tcPr>
            <w:tcW w:type="dxa" w:w="2600"/>
            <w:tcMar>
              <w:top w:type="dxa" w:w="80"/>
              <w:left w:type="dxa" w:w="100"/>
              <w:bottom w:type="dxa" w:w="80"/>
              <w:right w:type="dxa" w:w="100"/>
            </w:tcMar>
          </w:tcPr>
          <w:p>
            <w:pPr>
              <w:spacing w:after="40"/>
            </w:pPr>
            <w:r>
              <w:rPr>
                <w:b w:val="false"/>
                <w:bCs w:val="false"/>
                <w:color w:val="262626"/>
                <w:sz w:val="19"/>
                <w:szCs w:val="19"/>
              </w:rPr>
              <w:t xml:space="preserve">Continuidad / DR</w:t>
            </w:r>
          </w:p>
        </w:tc>
        <w:tc>
          <w:tcPr>
            <w:tcW w:type="dxa" w:w="4300"/>
            <w:tcMar>
              <w:top w:type="dxa" w:w="80"/>
              <w:left w:type="dxa" w:w="100"/>
              <w:bottom w:type="dxa" w:w="80"/>
              <w:right w:type="dxa" w:w="100"/>
            </w:tcMar>
          </w:tcPr>
          <w:p>
            <w:pPr>
              <w:spacing w:after="40"/>
            </w:pPr>
            <w:r>
              <w:rPr>
                <w:b w:val="false"/>
                <w:bCs w:val="false"/>
                <w:color w:val="262626"/>
                <w:sz w:val="19"/>
                <w:szCs w:val="19"/>
              </w:rPr>
              <w:t xml:space="preserve">No se define RTO/RPO, respaldo del repositorio analítico, ni qué pasa si falla una corrida batch (reintentos, recuperación).</w:t>
            </w:r>
          </w:p>
        </w:tc>
        <w:tc>
          <w:tcPr>
            <w:tcW w:type="dxa" w:w="3200"/>
            <w:tcMar>
              <w:top w:type="dxa" w:w="80"/>
              <w:left w:type="dxa" w:w="100"/>
              <w:bottom w:type="dxa" w:w="80"/>
              <w:right w:type="dxa" w:w="100"/>
            </w:tcMar>
          </w:tcPr>
          <w:p>
            <w:pPr>
              <w:spacing w:after="40"/>
            </w:pPr>
            <w:r>
              <w:rPr>
                <w:b w:val="false"/>
                <w:bCs w:val="false"/>
                <w:color w:val="262626"/>
                <w:sz w:val="19"/>
                <w:szCs w:val="19"/>
              </w:rPr>
              <w:t xml:space="preserve">Al ser batch diario, un fallo no detectado a tiempo puede dejar al motor operando con datos desactualizados sin que nadie lo note.</w:t>
            </w:r>
          </w:p>
        </w:tc>
      </w:tr>
      <w:tr>
        <w:tc>
          <w:tcPr>
            <w:tcW w:type="dxa" w:w="2600"/>
            <w:shd w:fill="F2F2F2" w:val="clear"/>
            <w:tcMar>
              <w:top w:type="dxa" w:w="80"/>
              <w:left w:type="dxa" w:w="100"/>
              <w:bottom w:type="dxa" w:w="80"/>
              <w:right w:type="dxa" w:w="100"/>
            </w:tcMar>
          </w:tcPr>
          <w:p>
            <w:pPr>
              <w:spacing w:after="40"/>
            </w:pPr>
            <w:r>
              <w:rPr>
                <w:b w:val="false"/>
                <w:bCs w:val="false"/>
                <w:color w:val="262626"/>
                <w:sz w:val="19"/>
                <w:szCs w:val="19"/>
              </w:rPr>
              <w:t xml:space="preserve">Ambientes</w:t>
            </w:r>
          </w:p>
        </w:tc>
        <w:tc>
          <w:tcPr>
            <w:tcW w:type="dxa" w:w="4300"/>
            <w:shd w:fill="F2F2F2" w:val="clear"/>
            <w:tcMar>
              <w:top w:type="dxa" w:w="80"/>
              <w:left w:type="dxa" w:w="100"/>
              <w:bottom w:type="dxa" w:w="80"/>
              <w:right w:type="dxa" w:w="100"/>
            </w:tcMar>
          </w:tcPr>
          <w:p>
            <w:pPr>
              <w:spacing w:after="40"/>
            </w:pPr>
            <w:r>
              <w:rPr>
                <w:b w:val="false"/>
                <w:bCs w:val="false"/>
                <w:color w:val="262626"/>
                <w:sz w:val="19"/>
                <w:szCs w:val="19"/>
              </w:rPr>
              <w:t xml:space="preserve">No se mencionan ambientes de Desarrollo/QA separados de Producción, ni control de versiones para el código de extracción y las reglas del motor.</w:t>
            </w:r>
          </w:p>
        </w:tc>
        <w:tc>
          <w:tcPr>
            <w:tcW w:type="dxa" w:w="3200"/>
            <w:shd w:fill="F2F2F2" w:val="clear"/>
            <w:tcMar>
              <w:top w:type="dxa" w:w="80"/>
              <w:left w:type="dxa" w:w="100"/>
              <w:bottom w:type="dxa" w:w="80"/>
              <w:right w:type="dxa" w:w="100"/>
            </w:tcMar>
          </w:tcPr>
          <w:p>
            <w:pPr>
              <w:spacing w:after="40"/>
            </w:pPr>
            <w:r>
              <w:rPr>
                <w:b w:val="false"/>
                <w:bCs w:val="false"/>
                <w:color w:val="262626"/>
                <w:sz w:val="19"/>
                <w:szCs w:val="19"/>
              </w:rPr>
              <w:t xml:space="preserve">Sin ambientes separados, cualquier cambio en las vistas del ERP o en las reglas se prueba directamente en producción.</w:t>
            </w:r>
          </w:p>
        </w:tc>
      </w:tr>
      <w:tr>
        <w:tc>
          <w:tcPr>
            <w:tcW w:type="dxa" w:w="2600"/>
            <w:tcMar>
              <w:top w:type="dxa" w:w="80"/>
              <w:left w:type="dxa" w:w="100"/>
              <w:bottom w:type="dxa" w:w="80"/>
              <w:right w:type="dxa" w:w="100"/>
            </w:tcMar>
          </w:tcPr>
          <w:p>
            <w:pPr>
              <w:spacing w:after="40"/>
            </w:pPr>
            <w:r>
              <w:rPr>
                <w:b w:val="false"/>
                <w:bCs w:val="false"/>
                <w:color w:val="262626"/>
                <w:sz w:val="19"/>
                <w:szCs w:val="19"/>
              </w:rPr>
              <w:t xml:space="preserve">Cumplimiento normativo</w:t>
            </w:r>
          </w:p>
        </w:tc>
        <w:tc>
          <w:tcPr>
            <w:tcW w:type="dxa" w:w="4300"/>
            <w:tcMar>
              <w:top w:type="dxa" w:w="80"/>
              <w:left w:type="dxa" w:w="100"/>
              <w:bottom w:type="dxa" w:w="80"/>
              <w:right w:type="dxa" w:w="100"/>
            </w:tcMar>
          </w:tcPr>
          <w:p>
            <w:pPr>
              <w:spacing w:after="40"/>
            </w:pPr>
            <w:r>
              <w:rPr>
                <w:b w:val="false"/>
                <w:bCs w:val="false"/>
                <w:color w:val="262626"/>
                <w:sz w:val="19"/>
                <w:szCs w:val="19"/>
              </w:rPr>
              <w:t xml:space="preserve">No se aborda el tratamiento de datos personales de proveedores/clientes bajo la LFPDPPP (México) si algún dataset los incluyera.</w:t>
            </w:r>
          </w:p>
        </w:tc>
        <w:tc>
          <w:tcPr>
            <w:tcW w:type="dxa" w:w="3200"/>
            <w:tcMar>
              <w:top w:type="dxa" w:w="80"/>
              <w:left w:type="dxa" w:w="100"/>
              <w:bottom w:type="dxa" w:w="80"/>
              <w:right w:type="dxa" w:w="100"/>
            </w:tcMar>
          </w:tcPr>
          <w:p>
            <w:pPr>
              <w:spacing w:after="40"/>
            </w:pPr>
            <w:r>
              <w:rPr>
                <w:b w:val="false"/>
                <w:bCs w:val="false"/>
                <w:color w:val="262626"/>
                <w:sz w:val="19"/>
                <w:szCs w:val="19"/>
              </w:rPr>
              <w:t xml:space="preserve">Aunque el foco es compras y surtido, conviene confirmar explícitamente que no se procesan datos personales, o aplicar controles si los hubiera.</w:t>
            </w:r>
          </w:p>
        </w:tc>
      </w:tr>
      <w:tr>
        <w:tc>
          <w:tcPr>
            <w:tcW w:type="dxa" w:w="2600"/>
            <w:shd w:fill="F2F2F2" w:val="clear"/>
            <w:tcMar>
              <w:top w:type="dxa" w:w="80"/>
              <w:left w:type="dxa" w:w="100"/>
              <w:bottom w:type="dxa" w:w="80"/>
              <w:right w:type="dxa" w:w="100"/>
            </w:tcMar>
          </w:tcPr>
          <w:p>
            <w:pPr>
              <w:spacing w:after="40"/>
            </w:pPr>
            <w:r>
              <w:rPr>
                <w:b w:val="false"/>
                <w:bCs w:val="false"/>
                <w:color w:val="262626"/>
                <w:sz w:val="19"/>
                <w:szCs w:val="19"/>
              </w:rPr>
              <w:t xml:space="preserve">Gobernanza de costos</w:t>
            </w:r>
          </w:p>
        </w:tc>
        <w:tc>
          <w:tcPr>
            <w:tcW w:type="dxa" w:w="4300"/>
            <w:shd w:fill="F2F2F2" w:val="clear"/>
            <w:tcMar>
              <w:top w:type="dxa" w:w="80"/>
              <w:left w:type="dxa" w:w="100"/>
              <w:bottom w:type="dxa" w:w="80"/>
              <w:right w:type="dxa" w:w="100"/>
            </w:tcMar>
          </w:tcPr>
          <w:p>
            <w:pPr>
              <w:spacing w:after="40"/>
            </w:pPr>
            <w:r>
              <w:rPr>
                <w:b w:val="false"/>
                <w:bCs w:val="false"/>
                <w:color w:val="262626"/>
                <w:sz w:val="19"/>
                <w:szCs w:val="19"/>
              </w:rPr>
              <w:t xml:space="preserve">No se propone una estructura de subscripción/resource groups, etiquetado (tags) ni presupuestos (Azure Budgets/Cost Management) con alertas.</w:t>
            </w:r>
          </w:p>
        </w:tc>
        <w:tc>
          <w:tcPr>
            <w:tcW w:type="dxa" w:w="3200"/>
            <w:shd w:fill="F2F2F2" w:val="clear"/>
            <w:tcMar>
              <w:top w:type="dxa" w:w="80"/>
              <w:left w:type="dxa" w:w="100"/>
              <w:bottom w:type="dxa" w:w="80"/>
              <w:right w:type="dxa" w:w="100"/>
            </w:tcMar>
          </w:tcPr>
          <w:p>
            <w:pPr>
              <w:spacing w:after="40"/>
            </w:pPr>
            <w:r>
              <w:rPr>
                <w:b w:val="false"/>
                <w:bCs w:val="false"/>
                <w:color w:val="262626"/>
                <w:sz w:val="19"/>
                <w:szCs w:val="19"/>
              </w:rPr>
              <w:t xml:space="preserve">Es la manera estándar de evitar sorpresas de facturación en arquitecturas serverless, donde el costo varía con el uso.</w:t>
            </w:r>
          </w:p>
        </w:tc>
      </w:tr>
      <w:tr>
        <w:tc>
          <w:tcPr>
            <w:tcW w:type="dxa" w:w="2600"/>
            <w:tcMar>
              <w:top w:type="dxa" w:w="80"/>
              <w:left w:type="dxa" w:w="100"/>
              <w:bottom w:type="dxa" w:w="80"/>
              <w:right w:type="dxa" w:w="100"/>
            </w:tcMar>
          </w:tcPr>
          <w:p>
            <w:pPr>
              <w:spacing w:after="40"/>
            </w:pPr>
            <w:r>
              <w:rPr>
                <w:b w:val="false"/>
                <w:bCs w:val="false"/>
                <w:color w:val="262626"/>
                <w:sz w:val="19"/>
                <w:szCs w:val="19"/>
              </w:rPr>
              <w:t xml:space="preserve">Dimensionamiento</w:t>
            </w:r>
          </w:p>
        </w:tc>
        <w:tc>
          <w:tcPr>
            <w:tcW w:type="dxa" w:w="4300"/>
            <w:tcMar>
              <w:top w:type="dxa" w:w="80"/>
              <w:left w:type="dxa" w:w="100"/>
              <w:bottom w:type="dxa" w:w="80"/>
              <w:right w:type="dxa" w:w="100"/>
            </w:tcMar>
          </w:tcPr>
          <w:p>
            <w:pPr>
              <w:spacing w:after="40"/>
            </w:pPr>
            <w:r>
              <w:rPr>
                <w:b w:val="false"/>
                <w:bCs w:val="false"/>
                <w:color w:val="262626"/>
                <w:sz w:val="19"/>
                <w:szCs w:val="19"/>
              </w:rPr>
              <w:t xml:space="preserve">El documento reconoce que el volumen real de datos, frecuencia y "selección final de servicios" quedan pendientes del mapeo técnico.</w:t>
            </w:r>
          </w:p>
        </w:tc>
        <w:tc>
          <w:tcPr>
            <w:tcW w:type="dxa" w:w="3200"/>
            <w:tcMar>
              <w:top w:type="dxa" w:w="80"/>
              <w:left w:type="dxa" w:w="100"/>
              <w:bottom w:type="dxa" w:w="80"/>
              <w:right w:type="dxa" w:w="100"/>
            </w:tcMar>
          </w:tcPr>
          <w:p>
            <w:pPr>
              <w:spacing w:after="40"/>
            </w:pPr>
            <w:r>
              <w:rPr>
                <w:b w:val="false"/>
                <w:bCs w:val="false"/>
                <w:color w:val="262626"/>
                <w:sz w:val="19"/>
                <w:szCs w:val="19"/>
              </w:rPr>
              <w:t xml:space="preserve">Esto es razonable en esta etapa, pero implica que cualquier número de costo (incluido el de este documento) es una referencia, no una cotización cerrada.</w:t>
            </w:r>
          </w:p>
        </w:tc>
      </w:tr>
      <w:tr>
        <w:tc>
          <w:tcPr>
            <w:tcW w:type="dxa" w:w="2600"/>
            <w:shd w:fill="F2F2F2" w:val="clear"/>
            <w:tcMar>
              <w:top w:type="dxa" w:w="80"/>
              <w:left w:type="dxa" w:w="100"/>
              <w:bottom w:type="dxa" w:w="80"/>
              <w:right w:type="dxa" w:w="100"/>
            </w:tcMar>
          </w:tcPr>
          <w:p>
            <w:pPr>
              <w:spacing w:after="40"/>
            </w:pPr>
            <w:r>
              <w:rPr>
                <w:b w:val="false"/>
                <w:bCs w:val="false"/>
                <w:color w:val="262626"/>
                <w:sz w:val="19"/>
                <w:szCs w:val="19"/>
              </w:rPr>
              <w:t xml:space="preserve">Cronograma y roles</w:t>
            </w:r>
          </w:p>
        </w:tc>
        <w:tc>
          <w:tcPr>
            <w:tcW w:type="dxa" w:w="4300"/>
            <w:shd w:fill="F2F2F2" w:val="clear"/>
            <w:tcMar>
              <w:top w:type="dxa" w:w="80"/>
              <w:left w:type="dxa" w:w="100"/>
              <w:bottom w:type="dxa" w:w="80"/>
              <w:right w:type="dxa" w:w="100"/>
            </w:tcMar>
          </w:tcPr>
          <w:p>
            <w:pPr>
              <w:spacing w:after="40"/>
            </w:pPr>
            <w:r>
              <w:rPr>
                <w:b w:val="false"/>
                <w:bCs w:val="false"/>
                <w:color w:val="262626"/>
                <w:sz w:val="19"/>
                <w:szCs w:val="19"/>
              </w:rPr>
              <w:t xml:space="preserve">No se incluye una estimación de esfuerzo, fases, ni los roles necesarios de Súper Naturista (DBA del ERP, seguridad de red, dueño de negocio) para destrabar accesos.</w:t>
            </w:r>
          </w:p>
        </w:tc>
        <w:tc>
          <w:tcPr>
            <w:tcW w:type="dxa" w:w="3200"/>
            <w:shd w:fill="F2F2F2" w:val="clear"/>
            <w:tcMar>
              <w:top w:type="dxa" w:w="80"/>
              <w:left w:type="dxa" w:w="100"/>
              <w:bottom w:type="dxa" w:w="80"/>
              <w:right w:type="dxa" w:w="100"/>
            </w:tcMar>
          </w:tcPr>
          <w:p>
            <w:pPr>
              <w:spacing w:after="40"/>
            </w:pPr>
            <w:r>
              <w:rPr>
                <w:b w:val="false"/>
                <w:bCs w:val="false"/>
                <w:color w:val="262626"/>
                <w:sz w:val="19"/>
                <w:szCs w:val="19"/>
              </w:rPr>
              <w:t xml:space="preserve">La experiencia muestra que el mapeo de vistas del ERP y la autorización de la IP/firewall suelen ser el cuello de botella real del cronograma, no la construcción en Azure.</w:t>
            </w:r>
          </w:p>
        </w:tc>
      </w:tr>
      <w:tr>
        <w:tc>
          <w:tcPr>
            <w:tcW w:type="dxa" w:w="2600"/>
            <w:tcMar>
              <w:top w:type="dxa" w:w="80"/>
              <w:left w:type="dxa" w:w="100"/>
              <w:bottom w:type="dxa" w:w="80"/>
              <w:right w:type="dxa" w:w="100"/>
            </w:tcMar>
          </w:tcPr>
          <w:p>
            <w:pPr>
              <w:spacing w:after="40"/>
            </w:pPr>
            <w:r>
              <w:rPr>
                <w:b w:val="false"/>
                <w:bCs w:val="false"/>
                <w:color w:val="262626"/>
                <w:sz w:val="19"/>
                <w:szCs w:val="19"/>
              </w:rPr>
              <w:t xml:space="preserve">Salida / portabilidad</w:t>
            </w:r>
          </w:p>
        </w:tc>
        <w:tc>
          <w:tcPr>
            <w:tcW w:type="dxa" w:w="4300"/>
            <w:tcMar>
              <w:top w:type="dxa" w:w="80"/>
              <w:left w:type="dxa" w:w="100"/>
              <w:bottom w:type="dxa" w:w="80"/>
              <w:right w:type="dxa" w:w="100"/>
            </w:tcMar>
          </w:tcPr>
          <w:p>
            <w:pPr>
              <w:spacing w:after="40"/>
            </w:pPr>
            <w:r>
              <w:rPr>
                <w:b w:val="false"/>
                <w:bCs w:val="false"/>
                <w:color w:val="262626"/>
                <w:sz w:val="19"/>
                <w:szCs w:val="19"/>
              </w:rPr>
              <w:t xml:space="preserve">No se discute qué tan fácil sería migrar o exportar los datasets si en el futuro se cambia de proveedor de nube o de ERP.</w:t>
            </w:r>
          </w:p>
        </w:tc>
        <w:tc>
          <w:tcPr>
            <w:tcW w:type="dxa" w:w="3200"/>
            <w:tcMar>
              <w:top w:type="dxa" w:w="80"/>
              <w:left w:type="dxa" w:w="100"/>
              <w:bottom w:type="dxa" w:w="80"/>
              <w:right w:type="dxa" w:w="100"/>
            </w:tcMar>
          </w:tcPr>
          <w:p>
            <w:pPr>
              <w:spacing w:after="40"/>
            </w:pPr>
            <w:r>
              <w:rPr>
                <w:b w:val="false"/>
                <w:bCs w:val="false"/>
                <w:color w:val="262626"/>
                <w:sz w:val="19"/>
                <w:szCs w:val="19"/>
              </w:rPr>
              <w:t xml:space="preserve">No es bloqueante para un MVP, pero vale la pena dejarlo documentado como decisión consciente.</w:t>
            </w:r>
          </w:p>
        </w:tc>
      </w:tr>
    </w:tbl>
    <w:p>
      <w:pPr>
        <w:spacing w:after="200"/>
      </w:pPr>
    </w:p>
    <w:p>
      <w:pPr>
        <w:pStyle w:val="Heading1"/>
        <w:pBdr>
          <w:bottom w:val="single" w:color="F5A623" w:sz="12" w:space="4"/>
        </w:pBdr>
        <w:spacing w:after="160" w:before="360"/>
      </w:pPr>
      <w:r>
        <w:rPr>
          <w:b/>
          <w:bCs/>
          <w:color w:val="1F3B57"/>
          <w:sz w:val="30"/>
          <w:szCs w:val="30"/>
        </w:rPr>
        <w:t xml:space="preserve">4. Riesgos a Vigilar</w:t>
      </w:r>
    </w:p>
    <w:p>
      <w:pPr>
        <w:pStyle w:val="ListParagraph"/>
        <w:numPr>
          <w:ilvl w:val="0"/>
          <w:numId w:val="2"/>
        </w:numPr>
        <w:spacing w:after="90" w:line="290"/>
      </w:pPr>
      <w:r>
        <w:rPr>
          <w:b/>
          <w:bCs/>
          <w:color w:val="262626"/>
          <w:sz w:val="21"/>
          <w:szCs w:val="21"/>
        </w:rPr>
        <w:t xml:space="preserve">Dependencia de la disponibilidad del ERP on-premise: </w:t>
      </w:r>
      <w:r>
        <w:rPr>
          <w:color w:val="262626"/>
          <w:sz w:val="21"/>
          <w:szCs w:val="21"/>
        </w:rPr>
        <w:t xml:space="preserve">si el servidor SQL on-premise tiene ventanas de mantenimiento, cambios de esquema no comunicados, o baja capacidad para consultas batch, la extracción diaria puede fallar o degradar el ERP en horas pico.</w:t>
      </w:r>
    </w:p>
    <w:p>
      <w:pPr>
        <w:pStyle w:val="ListParagraph"/>
        <w:numPr>
          <w:ilvl w:val="0"/>
          <w:numId w:val="2"/>
        </w:numPr>
        <w:spacing w:after="90" w:line="290"/>
      </w:pPr>
      <w:r>
        <w:rPr>
          <w:b/>
          <w:bCs/>
          <w:color w:val="262626"/>
          <w:sz w:val="21"/>
          <w:szCs w:val="21"/>
        </w:rPr>
        <w:t xml:space="preserve">Aprobación de seguridad de red de Súper Naturista: </w:t>
      </w:r>
      <w:r>
        <w:rPr>
          <w:color w:val="262626"/>
          <w:sz w:val="21"/>
          <w:szCs w:val="21"/>
        </w:rPr>
        <w:t xml:space="preserve">el esquema de IP fija + NAT Gateway requiere que el equipo de seguridad interno abra reglas de firewall hacia Azure; este es un riesgo de cronograma, no técnico, si el proceso de aprobación es lento.</w:t>
      </w:r>
    </w:p>
    <w:p>
      <w:pPr>
        <w:pStyle w:val="ListParagraph"/>
        <w:numPr>
          <w:ilvl w:val="0"/>
          <w:numId w:val="2"/>
        </w:numPr>
        <w:spacing w:after="90" w:line="290"/>
      </w:pPr>
      <w:r>
        <w:rPr>
          <w:b/>
          <w:bCs/>
          <w:color w:val="262626"/>
          <w:sz w:val="21"/>
          <w:szCs w:val="21"/>
        </w:rPr>
        <w:t xml:space="preserve">Alcance del "motor explicable basado en reglas": </w:t>
      </w:r>
      <w:r>
        <w:rPr>
          <w:color w:val="262626"/>
          <w:sz w:val="21"/>
          <w:szCs w:val="21"/>
        </w:rPr>
        <w:t xml:space="preserve">el documento lo menciona como bloque central (Enlazar → Comparar → Medir → Formular) pero no detalla su lógica, quién la mantiene ni cómo se versiona; es el componente con mayor riesgo de subestimación de esfuerzo.</w:t>
      </w:r>
    </w:p>
    <w:p>
      <w:pPr>
        <w:pStyle w:val="ListParagraph"/>
        <w:numPr>
          <w:ilvl w:val="0"/>
          <w:numId w:val="2"/>
        </w:numPr>
        <w:spacing w:after="90" w:line="290"/>
      </w:pPr>
      <w:r>
        <w:rPr>
          <w:b/>
          <w:bCs/>
          <w:color w:val="262626"/>
          <w:sz w:val="21"/>
          <w:szCs w:val="21"/>
        </w:rPr>
        <w:t xml:space="preserve">Costos variables no acotados: </w:t>
      </w:r>
      <w:r>
        <w:rPr>
          <w:color w:val="262626"/>
          <w:sz w:val="21"/>
          <w:szCs w:val="21"/>
        </w:rPr>
        <w:t xml:space="preserve">Synapse Serverless cobra por TB escaneado y Container Apps por segundo de cómputo; sin un límite de "cost control" configurado desde el día uno, un query mal escrito o un job en bucle puede generar picos de costo inesperados.</w:t>
      </w:r>
    </w:p>
    <w:p>
      <w:pPr>
        <w:pStyle w:val="ListParagraph"/>
        <w:numPr>
          <w:ilvl w:val="0"/>
          <w:numId w:val="2"/>
        </w:numPr>
        <w:spacing w:after="90" w:line="290"/>
      </w:pPr>
      <w:r>
        <w:rPr>
          <w:b/>
          <w:bCs/>
          <w:color w:val="262626"/>
          <w:sz w:val="21"/>
          <w:szCs w:val="21"/>
        </w:rPr>
        <w:t xml:space="preserve">Servicio LLM opcional: </w:t>
      </w:r>
      <w:r>
        <w:rPr>
          <w:color w:val="262626"/>
          <w:sz w:val="21"/>
          <w:szCs w:val="21"/>
        </w:rPr>
        <w:t xml:space="preserve">se declara correctamente como no sustituto de las reglas, pero no se estima su costo ni el control de qué información del ERP podría exponerse a un modelo de lenguaje si se usa un servicio externo.</w:t>
      </w:r>
    </w:p>
    <w:p>
      <w:pPr>
        <w:pStyle w:val="Heading1"/>
        <w:pBdr>
          <w:bottom w:val="single" w:color="F5A623" w:sz="12" w:space="4"/>
        </w:pBdr>
        <w:spacing w:after="160" w:before="360"/>
      </w:pPr>
      <w:r>
        <w:rPr>
          <w:b/>
          <w:bCs/>
          <w:color w:val="1F3B57"/>
          <w:sz w:val="30"/>
          <w:szCs w:val="30"/>
        </w:rPr>
        <w:t xml:space="preserve">5. Estimación de Costos en Azure</w:t>
      </w:r>
    </w:p>
    <w:p>
      <w:pPr>
        <w:spacing w:after="160" w:line="300"/>
      </w:pPr>
      <w:r>
        <w:rPr>
          <w:color w:val="262626"/>
          <w:sz w:val="21"/>
          <w:szCs w:val="21"/>
        </w:rPr>
        <w:t xml:space="preserve">El documento original no incluye cifras (correctamente, dado que aún falta el mapeo técnico), así que a continuación presentamos una estimación de referencia basada en la calculadora y precios públicos vigentes de Azure (julio 2026, región Este de EE. UU., sujeto a cambios y a la región real que se use). Se modelan dos escenarios —Bajo y Moderado— para dar un rango realista mientras se confirma el volumen real de datos de Súper Naturista. Estas cifras son para presupuestar, no una cotización formal; recomendamos validarlas en la Azure Pricing Calculator con los números reales una vez cerrado el mapeo técnico.</w:t>
      </w:r>
    </w:p>
    <w:p>
      <w:pPr>
        <w:pStyle w:val="Heading2"/>
        <w:spacing w:after="120" w:before="260"/>
      </w:pPr>
      <w:r>
        <w:rPr>
          <w:b/>
          <w:bCs/>
          <w:color w:val="1F3B57"/>
          <w:sz w:val="24"/>
          <w:szCs w:val="24"/>
        </w:rPr>
        <w:t xml:space="preserve">5.1 Supuestos de cada escenario</w:t>
      </w:r>
    </w:p>
    <w:p>
      <w:pPr>
        <w:pStyle w:val="ListParagraph"/>
        <w:numPr>
          <w:ilvl w:val="0"/>
          <w:numId w:val="2"/>
        </w:numPr>
        <w:spacing w:after="90" w:line="290"/>
      </w:pPr>
      <w:r>
        <w:rPr>
          <w:b/>
          <w:bCs/>
          <w:color w:val="262626"/>
          <w:sz w:val="21"/>
          <w:szCs w:val="21"/>
        </w:rPr>
        <w:t xml:space="preserve">Escenario Bajo: </w:t>
      </w:r>
      <w:r>
        <w:rPr>
          <w:color w:val="262626"/>
          <w:sz w:val="21"/>
          <w:szCs w:val="21"/>
        </w:rPr>
        <w:t xml:space="preserve">extracción batch diaria de ~5–10 GB netos por corrida, repositorio acumulado de hasta ~200 GB en el primer año, consultas analíticas livianas (Power BI + consultas puntuales) que escanean ~0.5 TB/mes en Synapse Serverless, 1 job de cómputo (~30 min/día, 1 vCPU / 2 GiB).</w:t>
      </w:r>
    </w:p>
    <w:p>
      <w:pPr>
        <w:pStyle w:val="ListParagraph"/>
        <w:numPr>
          <w:ilvl w:val="0"/>
          <w:numId w:val="2"/>
        </w:numPr>
        <w:spacing w:after="90" w:line="290"/>
      </w:pPr>
      <w:r>
        <w:rPr>
          <w:b/>
          <w:bCs/>
          <w:color w:val="262626"/>
          <w:sz w:val="21"/>
          <w:szCs w:val="21"/>
        </w:rPr>
        <w:t xml:space="preserve">Escenario Moderado: </w:t>
      </w:r>
      <w:r>
        <w:rPr>
          <w:color w:val="262626"/>
          <w:sz w:val="21"/>
          <w:szCs w:val="21"/>
        </w:rPr>
        <w:t xml:space="preserve">extracción batch diaria de ~20–30 GB netos, repositorio acumulado de hasta ~800 GB–1 TB en el primer año, consultas más frecuentes (varios usuarios, refrescos de dashboards) que escanean ~3 TB/mes en Synapse Serverless, cómputo de ~1–2 horas/día (2 vCPU / 4 GiB) para extracción + cálculo del motor.</w:t>
      </w:r>
    </w:p>
    <w:p>
      <w:pPr>
        <w:spacing w:after="160" w:line="300"/>
      </w:pPr>
      <w:r>
        <w:rPr>
          <w:color w:val="262626"/>
          <w:sz w:val="21"/>
          <w:szCs w:val="21"/>
        </w:rPr>
        <w:t xml:space="preserve">En ambos casos se asume: NAT Gateway + IP pública fija activos las 24 horas, Key Vault con volumen bajo de operaciones, Table Storage para watermarks/logs (volumen marginal), y que Power BI y el servicio LLM opcional se cotizan aparte (ver notas).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3500"/>
      </w:tblGrid>
      <w:tr>
        <w:trPr>
          <w:tblHeader/>
        </w:trPr>
        <w:tc>
          <w:tcPr>
            <w:tcW w:type="dxa" w:w="2600"/>
            <w:shd w:fill="1F3B57" w:val="clear"/>
            <w:tcMar>
              <w:top w:type="dxa" w:w="80"/>
              <w:left w:type="dxa" w:w="100"/>
              <w:bottom w:type="dxa" w:w="80"/>
              <w:right w:type="dxa" w:w="100"/>
            </w:tcMar>
          </w:tcPr>
          <w:p>
            <w:pPr>
              <w:spacing w:after="40"/>
            </w:pPr>
            <w:r>
              <w:rPr>
                <w:b/>
                <w:bCs/>
                <w:color w:val="FFFFFF"/>
                <w:sz w:val="19"/>
                <w:szCs w:val="19"/>
              </w:rPr>
              <w:t xml:space="preserve">Servicio</w:t>
            </w:r>
          </w:p>
        </w:tc>
        <w:tc>
          <w:tcPr>
            <w:tcW w:type="dxa" w:w="2000"/>
            <w:shd w:fill="1F3B57" w:val="clear"/>
            <w:tcMar>
              <w:top w:type="dxa" w:w="80"/>
              <w:left w:type="dxa" w:w="100"/>
              <w:bottom w:type="dxa" w:w="80"/>
              <w:right w:type="dxa" w:w="100"/>
            </w:tcMar>
          </w:tcPr>
          <w:p>
            <w:pPr>
              <w:spacing w:after="40"/>
            </w:pPr>
            <w:r>
              <w:rPr>
                <w:b/>
                <w:bCs/>
                <w:color w:val="FFFFFF"/>
                <w:sz w:val="19"/>
                <w:szCs w:val="19"/>
              </w:rPr>
              <w:t xml:space="preserve">Escenario Bajo (USD/mes)</w:t>
            </w:r>
          </w:p>
        </w:tc>
        <w:tc>
          <w:tcPr>
            <w:tcW w:type="dxa" w:w="2000"/>
            <w:shd w:fill="1F3B57" w:val="clear"/>
            <w:tcMar>
              <w:top w:type="dxa" w:w="80"/>
              <w:left w:type="dxa" w:w="100"/>
              <w:bottom w:type="dxa" w:w="80"/>
              <w:right w:type="dxa" w:w="100"/>
            </w:tcMar>
          </w:tcPr>
          <w:p>
            <w:pPr>
              <w:spacing w:after="40"/>
            </w:pPr>
            <w:r>
              <w:rPr>
                <w:b/>
                <w:bCs/>
                <w:color w:val="FFFFFF"/>
                <w:sz w:val="19"/>
                <w:szCs w:val="19"/>
              </w:rPr>
              <w:t xml:space="preserve">Escenario Moderado (USD/mes)</w:t>
            </w:r>
          </w:p>
        </w:tc>
        <w:tc>
          <w:tcPr>
            <w:tcW w:type="dxa" w:w="3500"/>
            <w:shd w:fill="1F3B57" w:val="clear"/>
            <w:tcMar>
              <w:top w:type="dxa" w:w="80"/>
              <w:left w:type="dxa" w:w="100"/>
              <w:bottom w:type="dxa" w:w="80"/>
              <w:right w:type="dxa" w:w="100"/>
            </w:tcMar>
          </w:tcPr>
          <w:p>
            <w:pPr>
              <w:spacing w:after="40"/>
            </w:pPr>
            <w:r>
              <w:rPr>
                <w:b/>
                <w:bCs/>
                <w:color w:val="FFFFFF"/>
                <w:sz w:val="19"/>
                <w:szCs w:val="19"/>
              </w:rPr>
              <w:t xml:space="preserve">Base del cálculo</w:t>
            </w:r>
          </w:p>
        </w:tc>
      </w:tr>
      <w:tr>
        <w:tc>
          <w:tcPr>
            <w:tcW w:type="dxa" w:w="2600"/>
            <w:tcMar>
              <w:top w:type="dxa" w:w="80"/>
              <w:left w:type="dxa" w:w="100"/>
              <w:bottom w:type="dxa" w:w="80"/>
              <w:right w:type="dxa" w:w="100"/>
            </w:tcMar>
          </w:tcPr>
          <w:p>
            <w:pPr>
              <w:spacing w:after="40"/>
            </w:pPr>
            <w:r>
              <w:rPr>
                <w:b w:val="false"/>
                <w:bCs w:val="false"/>
                <w:color w:val="262626"/>
                <w:sz w:val="19"/>
                <w:szCs w:val="19"/>
              </w:rPr>
              <w:t xml:space="preserve">NAT Gateway (recurso) + IP pública</w:t>
            </w:r>
          </w:p>
        </w:tc>
        <w:tc>
          <w:tcPr>
            <w:tcW w:type="dxa" w:w="2000"/>
            <w:tcMar>
              <w:top w:type="dxa" w:w="80"/>
              <w:left w:type="dxa" w:w="100"/>
              <w:bottom w:type="dxa" w:w="80"/>
              <w:right w:type="dxa" w:w="100"/>
            </w:tcMar>
          </w:tcPr>
          <w:p>
            <w:pPr>
              <w:spacing w:after="40"/>
            </w:pPr>
            <w:r>
              <w:rPr>
                <w:b w:val="false"/>
                <w:bCs w:val="false"/>
                <w:color w:val="262626"/>
                <w:sz w:val="19"/>
                <w:szCs w:val="19"/>
              </w:rPr>
              <w:t xml:space="preserve">$35</w:t>
            </w:r>
          </w:p>
        </w:tc>
        <w:tc>
          <w:tcPr>
            <w:tcW w:type="dxa" w:w="2000"/>
            <w:tcMar>
              <w:top w:type="dxa" w:w="80"/>
              <w:left w:type="dxa" w:w="100"/>
              <w:bottom w:type="dxa" w:w="80"/>
              <w:right w:type="dxa" w:w="100"/>
            </w:tcMar>
          </w:tcPr>
          <w:p>
            <w:pPr>
              <w:spacing w:after="40"/>
            </w:pPr>
            <w:r>
              <w:rPr>
                <w:b w:val="false"/>
                <w:bCs w:val="false"/>
                <w:color w:val="262626"/>
                <w:sz w:val="19"/>
                <w:szCs w:val="19"/>
              </w:rPr>
              <w:t xml:space="preserve">$38</w:t>
            </w:r>
          </w:p>
        </w:tc>
        <w:tc>
          <w:tcPr>
            <w:tcW w:type="dxa" w:w="3500"/>
            <w:tcMar>
              <w:top w:type="dxa" w:w="80"/>
              <w:left w:type="dxa" w:w="100"/>
              <w:bottom w:type="dxa" w:w="80"/>
              <w:right w:type="dxa" w:w="100"/>
            </w:tcMar>
          </w:tcPr>
          <w:p>
            <w:pPr>
              <w:spacing w:after="40"/>
            </w:pPr>
            <w:r>
              <w:rPr>
                <w:b w:val="false"/>
                <w:bCs w:val="false"/>
                <w:color w:val="262626"/>
                <w:sz w:val="19"/>
                <w:szCs w:val="19"/>
              </w:rPr>
              <w:t xml:space="preserve">$0.045/hr recurso + $0.0036/hr IP fija (720 hrs/mes) + datos procesados (~5–20 GB a $0.045/GB).</w:t>
            </w:r>
          </w:p>
        </w:tc>
      </w:tr>
      <w:tr>
        <w:tc>
          <w:tcPr>
            <w:tcW w:type="dxa" w:w="2600"/>
            <w:shd w:fill="F2F2F2" w:val="clear"/>
            <w:tcMar>
              <w:top w:type="dxa" w:w="80"/>
              <w:left w:type="dxa" w:w="100"/>
              <w:bottom w:type="dxa" w:w="80"/>
              <w:right w:type="dxa" w:w="100"/>
            </w:tcMar>
          </w:tcPr>
          <w:p>
            <w:pPr>
              <w:spacing w:after="40"/>
            </w:pPr>
            <w:r>
              <w:rPr>
                <w:b w:val="false"/>
                <w:bCs w:val="false"/>
                <w:color w:val="262626"/>
                <w:sz w:val="19"/>
                <w:szCs w:val="19"/>
              </w:rPr>
              <w:t xml:space="preserve">Azure Container Apps Jobs (cómputo)</w:t>
            </w:r>
          </w:p>
        </w:tc>
        <w:tc>
          <w:tcPr>
            <w:tcW w:type="dxa" w:w="2000"/>
            <w:shd w:fill="F2F2F2" w:val="clear"/>
            <w:tcMar>
              <w:top w:type="dxa" w:w="80"/>
              <w:left w:type="dxa" w:w="100"/>
              <w:bottom w:type="dxa" w:w="80"/>
              <w:right w:type="dxa" w:w="100"/>
            </w:tcMar>
          </w:tcPr>
          <w:p>
            <w:pPr>
              <w:spacing w:after="40"/>
            </w:pPr>
            <w:r>
              <w:rPr>
                <w:b w:val="false"/>
                <w:bCs w:val="false"/>
                <w:color w:val="262626"/>
                <w:sz w:val="19"/>
                <w:szCs w:val="19"/>
              </w:rPr>
              <w:t xml:space="preserve">$0 – $2</w:t>
            </w:r>
          </w:p>
        </w:tc>
        <w:tc>
          <w:tcPr>
            <w:tcW w:type="dxa" w:w="2000"/>
            <w:shd w:fill="F2F2F2" w:val="clear"/>
            <w:tcMar>
              <w:top w:type="dxa" w:w="80"/>
              <w:left w:type="dxa" w:w="100"/>
              <w:bottom w:type="dxa" w:w="80"/>
              <w:right w:type="dxa" w:w="100"/>
            </w:tcMar>
          </w:tcPr>
          <w:p>
            <w:pPr>
              <w:spacing w:after="40"/>
            </w:pPr>
            <w:r>
              <w:rPr>
                <w:b w:val="false"/>
                <w:bCs w:val="false"/>
                <w:color w:val="262626"/>
                <w:sz w:val="19"/>
                <w:szCs w:val="19"/>
              </w:rPr>
              <w:t xml:space="preserve">$8 – $15</w:t>
            </w:r>
          </w:p>
        </w:tc>
        <w:tc>
          <w:tcPr>
            <w:tcW w:type="dxa" w:w="3500"/>
            <w:shd w:fill="F2F2F2" w:val="clear"/>
            <w:tcMar>
              <w:top w:type="dxa" w:w="80"/>
              <w:left w:type="dxa" w:w="100"/>
              <w:bottom w:type="dxa" w:w="80"/>
              <w:right w:type="dxa" w:w="100"/>
            </w:tcMar>
          </w:tcPr>
          <w:p>
            <w:pPr>
              <w:spacing w:after="40"/>
            </w:pPr>
            <w:r>
              <w:rPr>
                <w:b w:val="false"/>
                <w:bCs w:val="false"/>
                <w:color w:val="262626"/>
                <w:sz w:val="19"/>
                <w:szCs w:val="19"/>
              </w:rPr>
              <w:t xml:space="preserve">Tarifa activa ≈ $0.000024/vCPU-seg y $0.000003/GiB-seg; primeros 180,000 vCPU-seg y 360,000 GiB-seg del mes son gratis por suscripción — el escenario bajo cabe casi completo en el free tier.</w:t>
            </w:r>
          </w:p>
        </w:tc>
      </w:tr>
      <w:tr>
        <w:tc>
          <w:tcPr>
            <w:tcW w:type="dxa" w:w="2600"/>
            <w:tcMar>
              <w:top w:type="dxa" w:w="80"/>
              <w:left w:type="dxa" w:w="100"/>
              <w:bottom w:type="dxa" w:w="80"/>
              <w:right w:type="dxa" w:w="100"/>
            </w:tcMar>
          </w:tcPr>
          <w:p>
            <w:pPr>
              <w:spacing w:after="40"/>
            </w:pPr>
            <w:r>
              <w:rPr>
                <w:b w:val="false"/>
                <w:bCs w:val="false"/>
                <w:color w:val="262626"/>
                <w:sz w:val="19"/>
                <w:szCs w:val="19"/>
              </w:rPr>
              <w:t xml:space="preserve">Azure Data Lake Storage Gen2 (Hot, LRS)</w:t>
            </w:r>
          </w:p>
        </w:tc>
        <w:tc>
          <w:tcPr>
            <w:tcW w:type="dxa" w:w="2000"/>
            <w:tcMar>
              <w:top w:type="dxa" w:w="80"/>
              <w:left w:type="dxa" w:w="100"/>
              <w:bottom w:type="dxa" w:w="80"/>
              <w:right w:type="dxa" w:w="100"/>
            </w:tcMar>
          </w:tcPr>
          <w:p>
            <w:pPr>
              <w:spacing w:after="40"/>
            </w:pPr>
            <w:r>
              <w:rPr>
                <w:b w:val="false"/>
                <w:bCs w:val="false"/>
                <w:color w:val="262626"/>
                <w:sz w:val="19"/>
                <w:szCs w:val="19"/>
              </w:rPr>
              <w:t xml:space="preserve">$2 – $4</w:t>
            </w:r>
          </w:p>
        </w:tc>
        <w:tc>
          <w:tcPr>
            <w:tcW w:type="dxa" w:w="2000"/>
            <w:tcMar>
              <w:top w:type="dxa" w:w="80"/>
              <w:left w:type="dxa" w:w="100"/>
              <w:bottom w:type="dxa" w:w="80"/>
              <w:right w:type="dxa" w:w="100"/>
            </w:tcMar>
          </w:tcPr>
          <w:p>
            <w:pPr>
              <w:spacing w:after="40"/>
            </w:pPr>
            <w:r>
              <w:rPr>
                <w:b w:val="false"/>
                <w:bCs w:val="false"/>
                <w:color w:val="262626"/>
                <w:sz w:val="19"/>
                <w:szCs w:val="19"/>
              </w:rPr>
              <w:t xml:space="preserve">$17 – $21</w:t>
            </w:r>
          </w:p>
        </w:tc>
        <w:tc>
          <w:tcPr>
            <w:tcW w:type="dxa" w:w="3500"/>
            <w:tcMar>
              <w:top w:type="dxa" w:w="80"/>
              <w:left w:type="dxa" w:w="100"/>
              <w:bottom w:type="dxa" w:w="80"/>
              <w:right w:type="dxa" w:w="100"/>
            </w:tcMar>
          </w:tcPr>
          <w:p>
            <w:pPr>
              <w:spacing w:after="40"/>
            </w:pPr>
            <w:r>
              <w:rPr>
                <w:b w:val="false"/>
                <w:bCs w:val="false"/>
                <w:color w:val="262626"/>
                <w:sz w:val="19"/>
                <w:szCs w:val="19"/>
              </w:rPr>
              <w:t xml:space="preserve">≈ $0.021/GB-mes (tier Hot, primeros 50 TB) sobre 200 GB (bajo) u ~900 GB (moderado) promedio en el mes, más transacciones menores.</w:t>
            </w:r>
          </w:p>
        </w:tc>
      </w:tr>
      <w:tr>
        <w:tc>
          <w:tcPr>
            <w:tcW w:type="dxa" w:w="2600"/>
            <w:shd w:fill="F2F2F2" w:val="clear"/>
            <w:tcMar>
              <w:top w:type="dxa" w:w="80"/>
              <w:left w:type="dxa" w:w="100"/>
              <w:bottom w:type="dxa" w:w="80"/>
              <w:right w:type="dxa" w:w="100"/>
            </w:tcMar>
          </w:tcPr>
          <w:p>
            <w:pPr>
              <w:spacing w:after="40"/>
            </w:pPr>
            <w:r>
              <w:rPr>
                <w:b w:val="false"/>
                <w:bCs w:val="false"/>
                <w:color w:val="262626"/>
                <w:sz w:val="19"/>
                <w:szCs w:val="19"/>
              </w:rPr>
              <w:t xml:space="preserve">Azure Table Storage (watermarks/logs)</w:t>
            </w:r>
          </w:p>
        </w:tc>
        <w:tc>
          <w:tcPr>
            <w:tcW w:type="dxa" w:w="2000"/>
            <w:shd w:fill="F2F2F2" w:val="clear"/>
            <w:tcMar>
              <w:top w:type="dxa" w:w="80"/>
              <w:left w:type="dxa" w:w="100"/>
              <w:bottom w:type="dxa" w:w="80"/>
              <w:right w:type="dxa" w:w="100"/>
            </w:tcMar>
          </w:tcPr>
          <w:p>
            <w:pPr>
              <w:spacing w:after="40"/>
            </w:pPr>
            <w:r>
              <w:rPr>
                <w:b w:val="false"/>
                <w:bCs w:val="false"/>
                <w:color w:val="262626"/>
                <w:sz w:val="19"/>
                <w:szCs w:val="19"/>
              </w:rPr>
              <w:t xml:space="preserve">&lt; $1</w:t>
            </w:r>
          </w:p>
        </w:tc>
        <w:tc>
          <w:tcPr>
            <w:tcW w:type="dxa" w:w="2000"/>
            <w:shd w:fill="F2F2F2" w:val="clear"/>
            <w:tcMar>
              <w:top w:type="dxa" w:w="80"/>
              <w:left w:type="dxa" w:w="100"/>
              <w:bottom w:type="dxa" w:w="80"/>
              <w:right w:type="dxa" w:w="100"/>
            </w:tcMar>
          </w:tcPr>
          <w:p>
            <w:pPr>
              <w:spacing w:after="40"/>
            </w:pPr>
            <w:r>
              <w:rPr>
                <w:b w:val="false"/>
                <w:bCs w:val="false"/>
                <w:color w:val="262626"/>
                <w:sz w:val="19"/>
                <w:szCs w:val="19"/>
              </w:rPr>
              <w:t xml:space="preserve">&lt; $2</w:t>
            </w:r>
          </w:p>
        </w:tc>
        <w:tc>
          <w:tcPr>
            <w:tcW w:type="dxa" w:w="3500"/>
            <w:shd w:fill="F2F2F2" w:val="clear"/>
            <w:tcMar>
              <w:top w:type="dxa" w:w="80"/>
              <w:left w:type="dxa" w:w="100"/>
              <w:bottom w:type="dxa" w:w="80"/>
              <w:right w:type="dxa" w:w="100"/>
            </w:tcMar>
          </w:tcPr>
          <w:p>
            <w:pPr>
              <w:spacing w:after="40"/>
            </w:pPr>
            <w:r>
              <w:rPr>
                <w:b w:val="false"/>
                <w:bCs w:val="false"/>
                <w:color w:val="262626"/>
                <w:sz w:val="19"/>
                <w:szCs w:val="19"/>
              </w:rPr>
              <w:t xml:space="preserve">Volumen de logs y control operativo es marginal frente a los datasets analíticos.</w:t>
            </w:r>
          </w:p>
        </w:tc>
      </w:tr>
      <w:tr>
        <w:tc>
          <w:tcPr>
            <w:tcW w:type="dxa" w:w="2600"/>
            <w:tcMar>
              <w:top w:type="dxa" w:w="80"/>
              <w:left w:type="dxa" w:w="100"/>
              <w:bottom w:type="dxa" w:w="80"/>
              <w:right w:type="dxa" w:w="100"/>
            </w:tcMar>
          </w:tcPr>
          <w:p>
            <w:pPr>
              <w:spacing w:after="40"/>
            </w:pPr>
            <w:r>
              <w:rPr>
                <w:b w:val="false"/>
                <w:bCs w:val="false"/>
                <w:color w:val="262626"/>
                <w:sz w:val="19"/>
                <w:szCs w:val="19"/>
              </w:rPr>
              <w:t xml:space="preserve">Azure Key Vault</w:t>
            </w:r>
          </w:p>
        </w:tc>
        <w:tc>
          <w:tcPr>
            <w:tcW w:type="dxa" w:w="2000"/>
            <w:tcMar>
              <w:top w:type="dxa" w:w="80"/>
              <w:left w:type="dxa" w:w="100"/>
              <w:bottom w:type="dxa" w:w="80"/>
              <w:right w:type="dxa" w:w="100"/>
            </w:tcMar>
          </w:tcPr>
          <w:p>
            <w:pPr>
              <w:spacing w:after="40"/>
            </w:pPr>
            <w:r>
              <w:rPr>
                <w:b w:val="false"/>
                <w:bCs w:val="false"/>
                <w:color w:val="262626"/>
                <w:sz w:val="19"/>
                <w:szCs w:val="19"/>
              </w:rPr>
              <w:t xml:space="preserve">&lt; $1</w:t>
            </w:r>
          </w:p>
        </w:tc>
        <w:tc>
          <w:tcPr>
            <w:tcW w:type="dxa" w:w="2000"/>
            <w:tcMar>
              <w:top w:type="dxa" w:w="80"/>
              <w:left w:type="dxa" w:w="100"/>
              <w:bottom w:type="dxa" w:w="80"/>
              <w:right w:type="dxa" w:w="100"/>
            </w:tcMar>
          </w:tcPr>
          <w:p>
            <w:pPr>
              <w:spacing w:after="40"/>
            </w:pPr>
            <w:r>
              <w:rPr>
                <w:b w:val="false"/>
                <w:bCs w:val="false"/>
                <w:color w:val="262626"/>
                <w:sz w:val="19"/>
                <w:szCs w:val="19"/>
              </w:rPr>
              <w:t xml:space="preserve">&lt; $1</w:t>
            </w:r>
          </w:p>
        </w:tc>
        <w:tc>
          <w:tcPr>
            <w:tcW w:type="dxa" w:w="3500"/>
            <w:tcMar>
              <w:top w:type="dxa" w:w="80"/>
              <w:left w:type="dxa" w:w="100"/>
              <w:bottom w:type="dxa" w:w="80"/>
              <w:right w:type="dxa" w:w="100"/>
            </w:tcMar>
          </w:tcPr>
          <w:p>
            <w:pPr>
              <w:spacing w:after="40"/>
            </w:pPr>
            <w:r>
              <w:rPr>
                <w:b w:val="false"/>
                <w:bCs w:val="false"/>
                <w:color w:val="262626"/>
                <w:sz w:val="19"/>
                <w:szCs w:val="19"/>
              </w:rPr>
              <w:t xml:space="preserve">$0.03 por 10,000 operaciones; el uso típico de una app que lee secretos al iniciar se mantiene muy por debajo del umbral relevante.</w:t>
            </w:r>
          </w:p>
        </w:tc>
      </w:tr>
      <w:tr>
        <w:tc>
          <w:tcPr>
            <w:tcW w:type="dxa" w:w="2600"/>
            <w:shd w:fill="F2F2F2" w:val="clear"/>
            <w:tcMar>
              <w:top w:type="dxa" w:w="80"/>
              <w:left w:type="dxa" w:w="100"/>
              <w:bottom w:type="dxa" w:w="80"/>
              <w:right w:type="dxa" w:w="100"/>
            </w:tcMar>
          </w:tcPr>
          <w:p>
            <w:pPr>
              <w:spacing w:after="40"/>
            </w:pPr>
            <w:r>
              <w:rPr>
                <w:b w:val="false"/>
                <w:bCs w:val="false"/>
                <w:color w:val="262626"/>
                <w:sz w:val="19"/>
                <w:szCs w:val="19"/>
              </w:rPr>
              <w:t xml:space="preserve">Azure Synapse Serverless SQL (consulta)</w:t>
            </w:r>
          </w:p>
        </w:tc>
        <w:tc>
          <w:tcPr>
            <w:tcW w:type="dxa" w:w="2000"/>
            <w:shd w:fill="F2F2F2" w:val="clear"/>
            <w:tcMar>
              <w:top w:type="dxa" w:w="80"/>
              <w:left w:type="dxa" w:w="100"/>
              <w:bottom w:type="dxa" w:w="80"/>
              <w:right w:type="dxa" w:w="100"/>
            </w:tcMar>
          </w:tcPr>
          <w:p>
            <w:pPr>
              <w:spacing w:after="40"/>
            </w:pPr>
            <w:r>
              <w:rPr>
                <w:b w:val="false"/>
                <w:bCs w:val="false"/>
                <w:color w:val="262626"/>
                <w:sz w:val="19"/>
                <w:szCs w:val="19"/>
              </w:rPr>
              <w:t xml:space="preserve">$2.50</w:t>
            </w:r>
          </w:p>
        </w:tc>
        <w:tc>
          <w:tcPr>
            <w:tcW w:type="dxa" w:w="2000"/>
            <w:shd w:fill="F2F2F2" w:val="clear"/>
            <w:tcMar>
              <w:top w:type="dxa" w:w="80"/>
              <w:left w:type="dxa" w:w="100"/>
              <w:bottom w:type="dxa" w:w="80"/>
              <w:right w:type="dxa" w:w="100"/>
            </w:tcMar>
          </w:tcPr>
          <w:p>
            <w:pPr>
              <w:spacing w:after="40"/>
            </w:pPr>
            <w:r>
              <w:rPr>
                <w:b w:val="false"/>
                <w:bCs w:val="false"/>
                <w:color w:val="262626"/>
                <w:sz w:val="19"/>
                <w:szCs w:val="19"/>
              </w:rPr>
              <w:t xml:space="preserve">$15</w:t>
            </w:r>
          </w:p>
        </w:tc>
        <w:tc>
          <w:tcPr>
            <w:tcW w:type="dxa" w:w="3500"/>
            <w:shd w:fill="F2F2F2" w:val="clear"/>
            <w:tcMar>
              <w:top w:type="dxa" w:w="80"/>
              <w:left w:type="dxa" w:w="100"/>
              <w:bottom w:type="dxa" w:w="80"/>
              <w:right w:type="dxa" w:w="100"/>
            </w:tcMar>
          </w:tcPr>
          <w:p>
            <w:pPr>
              <w:spacing w:after="40"/>
            </w:pPr>
            <w:r>
              <w:rPr>
                <w:b w:val="false"/>
                <w:bCs w:val="false"/>
                <w:color w:val="262626"/>
                <w:sz w:val="19"/>
                <w:szCs w:val="19"/>
              </w:rPr>
              <w:t xml:space="preserve">$5 por TB de datos procesados; 0.5 TB/mes (bajo) vs. 3 TB/mes (moderado). Este es el rubro más sensible al formato de archivo: usar Parquet particionado en vez de CSV plano puede reducir este costo hasta en 90%+.</w:t>
            </w:r>
          </w:p>
        </w:tc>
      </w:tr>
      <w:tr>
        <w:tc>
          <w:tcPr>
            <w:tcW w:type="dxa" w:w="2600"/>
            <w:tcMar>
              <w:top w:type="dxa" w:w="80"/>
              <w:left w:type="dxa" w:w="100"/>
              <w:bottom w:type="dxa" w:w="80"/>
              <w:right w:type="dxa" w:w="100"/>
            </w:tcMar>
          </w:tcPr>
          <w:p>
            <w:pPr>
              <w:spacing w:after="40"/>
            </w:pPr>
            <w:r>
              <w:rPr>
                <w:b w:val="false"/>
                <w:bCs w:val="false"/>
                <w:color w:val="262626"/>
                <w:sz w:val="19"/>
                <w:szCs w:val="19"/>
              </w:rPr>
              <w:t xml:space="preserve">Monitoreo (Azure Monitor / Log Analytics)</w:t>
            </w:r>
          </w:p>
        </w:tc>
        <w:tc>
          <w:tcPr>
            <w:tcW w:type="dxa" w:w="2000"/>
            <w:tcMar>
              <w:top w:type="dxa" w:w="80"/>
              <w:left w:type="dxa" w:w="100"/>
              <w:bottom w:type="dxa" w:w="80"/>
              <w:right w:type="dxa" w:w="100"/>
            </w:tcMar>
          </w:tcPr>
          <w:p>
            <w:pPr>
              <w:spacing w:after="40"/>
            </w:pPr>
            <w:r>
              <w:rPr>
                <w:b w:val="false"/>
                <w:bCs w:val="false"/>
                <w:color w:val="262626"/>
                <w:sz w:val="19"/>
                <w:szCs w:val="19"/>
              </w:rPr>
              <w:t xml:space="preserve">$3 – $5</w:t>
            </w:r>
          </w:p>
        </w:tc>
        <w:tc>
          <w:tcPr>
            <w:tcW w:type="dxa" w:w="2000"/>
            <w:tcMar>
              <w:top w:type="dxa" w:w="80"/>
              <w:left w:type="dxa" w:w="100"/>
              <w:bottom w:type="dxa" w:w="80"/>
              <w:right w:type="dxa" w:w="100"/>
            </w:tcMar>
          </w:tcPr>
          <w:p>
            <w:pPr>
              <w:spacing w:after="40"/>
            </w:pPr>
            <w:r>
              <w:rPr>
                <w:b w:val="false"/>
                <w:bCs w:val="false"/>
                <w:color w:val="262626"/>
                <w:sz w:val="19"/>
                <w:szCs w:val="19"/>
              </w:rPr>
              <w:t xml:space="preserve">$8 – $12</w:t>
            </w:r>
          </w:p>
        </w:tc>
        <w:tc>
          <w:tcPr>
            <w:tcW w:type="dxa" w:w="3500"/>
            <w:tcMar>
              <w:top w:type="dxa" w:w="80"/>
              <w:left w:type="dxa" w:w="100"/>
              <w:bottom w:type="dxa" w:w="80"/>
              <w:right w:type="dxa" w:w="100"/>
            </w:tcMar>
          </w:tcPr>
          <w:p>
            <w:pPr>
              <w:spacing w:after="40"/>
            </w:pPr>
            <w:r>
              <w:rPr>
                <w:b w:val="false"/>
                <w:bCs w:val="false"/>
                <w:color w:val="262626"/>
                <w:sz w:val="19"/>
                <w:szCs w:val="19"/>
              </w:rPr>
              <w:t xml:space="preserve">Ingesta y retención acotada de logs operativos y de ejecución.</w:t>
            </w:r>
          </w:p>
        </w:tc>
      </w:tr>
      <w:tr>
        <w:tc>
          <w:tcPr>
            <w:tcW w:type="dxa" w:w="2600"/>
            <w:shd w:fill="F2F2F2" w:val="clear"/>
            <w:tcMar>
              <w:top w:type="dxa" w:w="80"/>
              <w:left w:type="dxa" w:w="100"/>
              <w:bottom w:type="dxa" w:w="80"/>
              <w:right w:type="dxa" w:w="100"/>
            </w:tcMar>
          </w:tcPr>
          <w:p>
            <w:pPr>
              <w:spacing w:after="40"/>
            </w:pPr>
            <w:r>
              <w:rPr>
                <w:b w:val="false"/>
                <w:bCs w:val="false"/>
                <w:color w:val="262626"/>
                <w:sz w:val="19"/>
                <w:szCs w:val="19"/>
              </w:rPr>
              <w:t xml:space="preserve">Subtotal referencia Azure (sin Power BI ni LLM)</w:t>
            </w:r>
          </w:p>
        </w:tc>
        <w:tc>
          <w:tcPr>
            <w:tcW w:type="dxa" w:w="2000"/>
            <w:shd w:fill="F2F2F2" w:val="clear"/>
            <w:tcMar>
              <w:top w:type="dxa" w:w="80"/>
              <w:left w:type="dxa" w:w="100"/>
              <w:bottom w:type="dxa" w:w="80"/>
              <w:right w:type="dxa" w:w="100"/>
            </w:tcMar>
          </w:tcPr>
          <w:p>
            <w:pPr>
              <w:spacing w:after="40"/>
            </w:pPr>
            <w:r>
              <w:rPr>
                <w:b w:val="false"/>
                <w:bCs w:val="false"/>
                <w:color w:val="262626"/>
                <w:sz w:val="19"/>
                <w:szCs w:val="19"/>
              </w:rPr>
              <w:t xml:space="preserve">≈ $45 – $50 / mes</w:t>
            </w:r>
          </w:p>
        </w:tc>
        <w:tc>
          <w:tcPr>
            <w:tcW w:type="dxa" w:w="2000"/>
            <w:shd w:fill="F2F2F2" w:val="clear"/>
            <w:tcMar>
              <w:top w:type="dxa" w:w="80"/>
              <w:left w:type="dxa" w:w="100"/>
              <w:bottom w:type="dxa" w:w="80"/>
              <w:right w:type="dxa" w:w="100"/>
            </w:tcMar>
          </w:tcPr>
          <w:p>
            <w:pPr>
              <w:spacing w:after="40"/>
            </w:pPr>
            <w:r>
              <w:rPr>
                <w:b w:val="false"/>
                <w:bCs w:val="false"/>
                <w:color w:val="262626"/>
                <w:sz w:val="19"/>
                <w:szCs w:val="19"/>
              </w:rPr>
              <w:t xml:space="preserve">≈ $105 – $125 / mes</w:t>
            </w:r>
          </w:p>
        </w:tc>
        <w:tc>
          <w:tcPr>
            <w:tcW w:type="dxa" w:w="3500"/>
            <w:shd w:fill="F2F2F2" w:val="clear"/>
            <w:tcMar>
              <w:top w:type="dxa" w:w="80"/>
              <w:left w:type="dxa" w:w="100"/>
              <w:bottom w:type="dxa" w:w="80"/>
              <w:right w:type="dxa" w:w="100"/>
            </w:tcMar>
          </w:tcPr>
          <w:p>
            <w:pPr>
              <w:spacing w:after="40"/>
            </w:pPr>
            <w:r>
              <w:rPr>
                <w:b w:val="false"/>
                <w:bCs w:val="false"/>
                <w:color w:val="262626"/>
                <w:sz w:val="19"/>
                <w:szCs w:val="19"/>
              </w:rPr>
              <w:t xml:space="preserve">Suma de los rubros anteriores.</w:t>
            </w:r>
          </w:p>
        </w:tc>
      </w:tr>
    </w:tbl>
    <w:p>
      <w:pPr>
        <w:spacing w:after="200"/>
      </w:pPr>
    </w:p>
    <w:p>
      <w:pPr>
        <w:pStyle w:val="Heading2"/>
        <w:spacing w:after="120" w:before="260"/>
      </w:pPr>
      <w:r>
        <w:rPr>
          <w:b/>
          <w:bCs/>
          <w:color w:val="1F3B57"/>
          <w:sz w:val="24"/>
          <w:szCs w:val="24"/>
        </w:rPr>
        <w:t xml:space="preserve">5.2 Costos fuera del alcance de esta tabla</w:t>
      </w:r>
    </w:p>
    <w:p>
      <w:pPr>
        <w:pStyle w:val="ListParagraph"/>
        <w:numPr>
          <w:ilvl w:val="0"/>
          <w:numId w:val="2"/>
        </w:numPr>
        <w:spacing w:after="90" w:line="290"/>
      </w:pPr>
      <w:r>
        <w:rPr>
          <w:b/>
          <w:bCs/>
          <w:color w:val="262626"/>
          <w:sz w:val="21"/>
          <w:szCs w:val="21"/>
        </w:rPr>
        <w:t xml:space="preserve">Power BI: </w:t>
      </w:r>
      <w:r>
        <w:rPr>
          <w:color w:val="262626"/>
          <w:sz w:val="21"/>
          <w:szCs w:val="21"/>
        </w:rPr>
        <w:t xml:space="preserve">no está incluido arriba porque normalmente se licencia por usuario (Power BI Pro, ~USD 10/usuario/mes) o por capacidad (Premium), independientemente del consumo de Azure; depende de licenciamiento ya existente en Súper Naturista.</w:t>
      </w:r>
    </w:p>
    <w:p>
      <w:pPr>
        <w:pStyle w:val="ListParagraph"/>
        <w:numPr>
          <w:ilvl w:val="0"/>
          <w:numId w:val="2"/>
        </w:numPr>
        <w:spacing w:after="90" w:line="290"/>
      </w:pPr>
      <w:r>
        <w:rPr>
          <w:b/>
          <w:bCs/>
          <w:color w:val="262626"/>
          <w:sz w:val="21"/>
          <w:szCs w:val="21"/>
        </w:rPr>
        <w:t xml:space="preserve">Servicio LLM opcional: </w:t>
      </w:r>
      <w:r>
        <w:rPr>
          <w:color w:val="262626"/>
          <w:sz w:val="21"/>
          <w:szCs w:val="21"/>
        </w:rPr>
        <w:t xml:space="preserve">el costo depende del proveedor (Azure OpenAI u otro) y del volumen de tokens de las interpretaciones; al ser "opcional" y no sustituir el motor de reglas, recomendamos cotizarlo por separado cuando se defina el caso de uso específico (p. ej. resumen ejecutivo de resultados).</w:t>
      </w:r>
    </w:p>
    <w:p>
      <w:pPr>
        <w:pStyle w:val="ListParagraph"/>
        <w:numPr>
          <w:ilvl w:val="0"/>
          <w:numId w:val="2"/>
        </w:numPr>
        <w:spacing w:after="90" w:line="290"/>
      </w:pPr>
      <w:r>
        <w:rPr>
          <w:b/>
          <w:bCs/>
          <w:color w:val="262626"/>
          <w:sz w:val="21"/>
          <w:szCs w:val="21"/>
        </w:rPr>
        <w:t xml:space="preserve">Ambientes adicionales: </w:t>
      </w:r>
      <w:r>
        <w:rPr>
          <w:color w:val="262626"/>
          <w:sz w:val="21"/>
          <w:szCs w:val="21"/>
        </w:rPr>
        <w:t xml:space="preserve">si se agregan ambientes de Desarrollo/QA (ver sección 3), cada uno sumaría un porcentaje adicional (aprox. 20–40% del costo de producción, ya que suelen usarse con menor frecuencia y volumen).</w:t>
      </w:r>
    </w:p>
    <w:p>
      <w:pPr>
        <w:pStyle w:val="ListParagraph"/>
        <w:numPr>
          <w:ilvl w:val="0"/>
          <w:numId w:val="2"/>
        </w:numPr>
        <w:spacing w:after="90" w:line="290"/>
      </w:pPr>
      <w:r>
        <w:rPr>
          <w:b/>
          <w:bCs/>
          <w:color w:val="262626"/>
          <w:sz w:val="21"/>
          <w:szCs w:val="21"/>
        </w:rPr>
        <w:t xml:space="preserve">Esfuerzo de implementación: </w:t>
      </w:r>
      <w:r>
        <w:rPr>
          <w:color w:val="262626"/>
          <w:sz w:val="21"/>
          <w:szCs w:val="21"/>
        </w:rPr>
        <w:t xml:space="preserve">esta tabla cubre únicamente costo de nube (Azure); no incluye horas de consultoría, desarrollo del motor de reglas ni mapeo técnico del ERP.</w:t>
      </w:r>
    </w:p>
    <w:p>
      <w:pPr>
        <w:spacing w:after="160" w:line="300"/>
      </w:pPr>
      <w:r>
        <w:rPr>
          <w:color w:val="262626"/>
          <w:sz w:val="21"/>
          <w:szCs w:val="21"/>
        </w:rPr>
        <w:t xml:space="preserve">Conclusión de costos: para el alcance de MVP descrito, el gasto de infraestructura Azure es bajo (decenas a poco más de cien dólares al mes) y crece de forma proporcional al uso, tal como plantea el documento original. El rubro con mayor variabilidad y mayor palanca de optimización es Synapse Serverless (costo por TB escaneado), por lo que vale la pena fijar desde el diseño el uso de Parquet particionado y, si el volumen de consultas crece, evaluar un límite de "data processed" (cost control) desde el primer día.</w:t>
      </w:r>
    </w:p>
    <w:p>
      <w:pPr>
        <w:pStyle w:val="Heading1"/>
        <w:pBdr>
          <w:bottom w:val="single" w:color="F5A623" w:sz="12" w:space="4"/>
        </w:pBdr>
        <w:spacing w:after="160" w:before="360"/>
      </w:pPr>
      <w:r>
        <w:rPr>
          <w:b/>
          <w:bCs/>
          <w:color w:val="1F3B57"/>
          <w:sz w:val="30"/>
          <w:szCs w:val="30"/>
        </w:rPr>
        <w:t xml:space="preserve">6. Recomendaciones y Próximos Pasos</w:t>
      </w:r>
    </w:p>
    <w:p>
      <w:pPr>
        <w:pStyle w:val="ListParagraph"/>
        <w:numPr>
          <w:ilvl w:val="0"/>
          <w:numId w:val="2"/>
        </w:numPr>
        <w:spacing w:after="90" w:line="290"/>
      </w:pPr>
      <w:r>
        <w:rPr>
          <w:color w:val="262626"/>
          <w:sz w:val="21"/>
          <w:szCs w:val="21"/>
        </w:rPr>
        <w:t xml:space="preserve">Confirmar con el equipo de seguridad de Súper Naturista si una VPN Site-to-Site es viable antes de comprometerse con el esquema de IP fija; si no lo es, documentar la decisión y sus riesgos aceptados.</w:t>
      </w:r>
    </w:p>
    <w:p>
      <w:pPr>
        <w:pStyle w:val="ListParagraph"/>
        <w:numPr>
          <w:ilvl w:val="0"/>
          <w:numId w:val="2"/>
        </w:numPr>
        <w:spacing w:after="90" w:line="290"/>
      </w:pPr>
      <w:r>
        <w:rPr>
          <w:color w:val="262626"/>
          <w:sz w:val="21"/>
          <w:szCs w:val="21"/>
        </w:rPr>
        <w:t xml:space="preserve">Incorporar Managed Identities de Azure para que Container Apps y Synapse accedan a Key Vault y ADLS sin credenciales estáticas adicionales.</w:t>
      </w:r>
    </w:p>
    <w:p>
      <w:pPr>
        <w:pStyle w:val="ListParagraph"/>
        <w:numPr>
          <w:ilvl w:val="0"/>
          <w:numId w:val="2"/>
        </w:numPr>
        <w:spacing w:after="90" w:line="290"/>
      </w:pPr>
      <w:r>
        <w:rPr>
          <w:color w:val="262626"/>
          <w:sz w:val="21"/>
          <w:szCs w:val="21"/>
        </w:rPr>
        <w:t xml:space="preserve">Definir, antes de iniciar desarrollo, un dueño de datos por dominio y un runbook mínimo de qué hacer si falla la corrida diaria.</w:t>
      </w:r>
    </w:p>
    <w:p>
      <w:pPr>
        <w:pStyle w:val="ListParagraph"/>
        <w:numPr>
          <w:ilvl w:val="0"/>
          <w:numId w:val="2"/>
        </w:numPr>
        <w:spacing w:after="90" w:line="290"/>
      </w:pPr>
      <w:r>
        <w:rPr>
          <w:color w:val="262626"/>
          <w:sz w:val="21"/>
          <w:szCs w:val="21"/>
        </w:rPr>
        <w:t xml:space="preserve">Establecer un presupuesto (Azure Budget) con alertas desde el primer despliegue, y adoptar Parquet particionado como formato de los datasets analíticos para controlar el costo de Synapse Serverless.</w:t>
      </w:r>
    </w:p>
    <w:p>
      <w:pPr>
        <w:pStyle w:val="ListParagraph"/>
        <w:numPr>
          <w:ilvl w:val="0"/>
          <w:numId w:val="2"/>
        </w:numPr>
        <w:spacing w:after="90" w:line="290"/>
      </w:pPr>
      <w:r>
        <w:rPr>
          <w:color w:val="262626"/>
          <w:sz w:val="21"/>
          <w:szCs w:val="21"/>
        </w:rPr>
        <w:t xml:space="preserve">Solicitar al proveedor (ECAB) un cronograma con fases y los roles/accesos concretos que debe habilitar Súper Naturista (DBA, red, negocio) para no descubrir ese cuello de botella a mitad de proyecto.</w:t>
      </w:r>
    </w:p>
    <w:p>
      <w:pPr>
        <w:pStyle w:val="ListParagraph"/>
        <w:numPr>
          <w:ilvl w:val="0"/>
          <w:numId w:val="2"/>
        </w:numPr>
        <w:spacing w:after="90" w:line="290"/>
      </w:pPr>
      <w:r>
        <w:rPr>
          <w:color w:val="262626"/>
          <w:sz w:val="21"/>
          <w:szCs w:val="21"/>
        </w:rPr>
        <w:t xml:space="preserve">Una vez cerrado el mapeo técnico del ERP, correr la estimación de costos de la sección 5 en la Azure Pricing Calculator oficial con los volúmenes reales para tener una cifra vinculante.</w:t>
      </w:r>
    </w:p>
    <w:p>
      <w:pPr>
        <w:spacing w:after="100"/>
      </w:pPr>
    </w:p>
    <w:p>
      <w:pPr>
        <w:spacing w:after="160" w:line="300"/>
      </w:pPr>
      <w:r>
        <w:rPr>
          <w:i/>
          <w:iCs/>
          <w:color w:val="262626"/>
          <w:sz w:val="21"/>
          <w:szCs w:val="21"/>
        </w:rPr>
        <w:t xml:space="preserve">En síntesis: la arquitectura propuesta es sólida y proporcional para un MVP, el costo de nube esperado es modesto, y las observaciones anteriores son ajustes de gobierno, seguridad y precisión de alcance — no objeciones a la dirección técnica general del proyecto.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792"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2026-07-30T05:41:47.021Z</dcterms:created>
  <dcterms:modified xsi:type="dcterms:W3CDTF">2026-07-30T05:41:47.038Z</dcterms:modified>
</cp:coreProperties>
</file>

<file path=docProps/custom.xml><?xml version="1.0" encoding="utf-8"?>
<Properties xmlns="http://schemas.openxmlformats.org/officeDocument/2006/custom-properties" xmlns:vt="http://schemas.openxmlformats.org/officeDocument/2006/docPropsVTypes"/>
</file>