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2880" w:hRule="exact"/>
        </w:trPr>
        <w:tc>
          <w:tcPr>
            <w:tcW w:type="dxa" w:w="12240"/>
            <w:tcBorders>
              <w:top w:val="none" w:color="FFFFFF" w:sz="0"/>
              <w:left w:val="none" w:color="FFFFFF" w:sz="0"/>
              <w:bottom w:val="none" w:color="FFFFFF" w:sz="0"/>
              <w:right w:val="none" w:color="FFFFFF" w:sz="0"/>
            </w:tcBorders>
            <w:shd w:fill="003E6B" w:val="clear"/>
            <w:tcMar>
              <w:top w:type="dxa" w:w="600"/>
              <w:left w:type="dxa" w:w="1440"/>
              <w:bottom w:type="dxa" w:w="0"/>
              <w:right w:type="dxa" w:w="1440"/>
            </w:tcMar>
            <w:vAlign w:val="center"/>
          </w:tcPr>
          <w:p>
            <w:pPr>
              <w:jc w:val="left"/>
            </w:pPr>
            <w:r>
              <w:rPr>
                <w:rFonts w:ascii="Arial" w:cs="Arial" w:eastAsia="Arial" w:hAnsi="Arial"/>
                <w:b w:val="false"/>
                <w:bCs w:val="false"/>
                <w:color w:val="7FC3F5"/>
                <w:spacing w:val="200"/>
                <w:sz w:val="20"/>
                <w:szCs w:val="20"/>
              </w:rPr>
              <w:t xml:space="preserve">PROPUESTA DE SERVICIO</w:t>
            </w:r>
          </w:p>
          <w:p>
            <w:pPr>
              <w:spacing w:before="120"/>
              <w:jc w:val="left"/>
            </w:pPr>
            <w:r>
              <w:rPr>
                <w:rFonts w:ascii="Arial" w:cs="Arial" w:eastAsia="Arial" w:hAnsi="Arial"/>
                <w:b/>
                <w:bCs/>
                <w:color w:val="FFFFFF"/>
                <w:sz w:val="64"/>
                <w:szCs w:val="64"/>
              </w:rPr>
              <w:t xml:space="preserve">Azure AI Foundry</w:t>
            </w:r>
          </w:p>
          <w:p>
            <w:pPr>
              <w:spacing w:before="80"/>
              <w:jc w:val="left"/>
            </w:pPr>
            <w:r>
              <w:rPr>
                <w:rFonts w:ascii="Arial" w:cs="Arial" w:eastAsia="Arial" w:hAnsi="Arial"/>
                <w:color w:val="7FC3F5"/>
                <w:sz w:val="28"/>
                <w:szCs w:val="28"/>
              </w:rPr>
              <w:t xml:space="preserve">Procesamiento y Análisis Inteligente de Documentos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8000" w:hRule="exact"/>
        </w:trPr>
        <w:tc>
          <w:tcPr>
            <w:tcW w:type="dxa" w:w="12240"/>
            <w:tcBorders>
              <w:top w:val="none" w:color="FFFFFF" w:sz="0"/>
              <w:left w:val="none" w:color="FFFFFF" w:sz="0"/>
              <w:bottom w:val="none" w:color="FFFFFF" w:sz="0"/>
              <w:right w:val="none" w:color="FFFFFF" w:sz="0"/>
            </w:tcBorders>
            <w:shd w:fill="F7FBFF" w:val="clear"/>
            <w:tcMar>
              <w:top w:type="dxa" w:w="1440"/>
              <w:left w:type="dxa" w:w="1440"/>
              <w:bottom w:type="dxa" w:w="0"/>
              <w:right w:type="dxa" w:w="1440"/>
            </w:tcMar>
          </w:tcPr>
          <w:p>
            <w:pPr>
              <w:spacing w:before="0" w:after="40"/>
            </w:pPr>
            <w:r>
              <w:rPr>
                <w:rFonts w:ascii="Arial" w:cs="Arial" w:eastAsia="Arial" w:hAnsi="Arial"/>
                <w:color w:val="666666"/>
                <w:sz w:val="20"/>
                <w:szCs w:val="20"/>
              </w:rPr>
              <w:t xml:space="preserve">Solución propuesta para:</w:t>
            </w:r>
          </w:p>
          <w:p>
            <w:pPr>
              <w:spacing w:before="0" w:after="480"/>
            </w:pPr>
            <w:r>
              <w:rPr>
                <w:rFonts w:ascii="Arial" w:cs="Arial" w:eastAsia="Arial" w:hAnsi="Arial"/>
                <w:b/>
                <w:bCs/>
                <w:color w:val="003E6B"/>
                <w:sz w:val="36"/>
                <w:szCs w:val="36"/>
              </w:rPr>
              <w:t xml:space="preserve">[Nombre del Cliente]</w:t>
            </w:r>
          </w:p>
          <w:p>
            <w:pPr>
              <w:pBdr>
                <w:top w:val="single" w:color="0078D4" w:sz="4" w:space="4"/>
              </w:pBdr>
              <w:spacing w:before="0" w:after="60"/>
            </w:pPr>
            <w:r>
              <w:t xml:space="preserve"/>
            </w:r>
          </w:p>
          <w:p>
            <w:pPr>
              <w:spacing w:before="240" w:after="40"/>
            </w:pPr>
            <w:r>
              <w:rPr>
                <w:rFonts w:ascii="Arial" w:cs="Arial" w:eastAsia="Arial" w:hAnsi="Arial"/>
                <w:color w:val="666666"/>
                <w:sz w:val="18"/>
                <w:szCs w:val="18"/>
              </w:rPr>
              <w:t xml:space="preserve">Preparado por:</w:t>
            </w:r>
          </w:p>
          <w:p>
            <w:pPr>
              <w:spacing w:before="0" w:after="40"/>
            </w:pPr>
            <w:r>
              <w:rPr>
                <w:rFonts w:ascii="Arial" w:cs="Arial" w:eastAsia="Arial" w:hAnsi="Arial"/>
                <w:b/>
                <w:bCs/>
                <w:color w:val="222222"/>
                <w:sz w:val="24"/>
                <w:szCs w:val="24"/>
              </w:rPr>
              <w:t xml:space="preserve">[Tu Empresa / Consultor]</w:t>
            </w:r>
          </w:p>
          <w:p>
            <w:pPr>
              <w:spacing w:before="0" w:after="40"/>
            </w:pPr>
            <w:r>
              <w:rPr>
                <w:rFonts w:ascii="Arial" w:cs="Arial" w:eastAsia="Arial" w:hAnsi="Arial"/>
                <w:color w:val="666666"/>
                <w:sz w:val="20"/>
                <w:szCs w:val="20"/>
              </w:rPr>
              <w:t xml:space="preserve">[contacto@empresa.com]  |  [+52 55 0000-0000]</w:t>
            </w:r>
          </w:p>
          <w:p>
            <w:pPr>
              <w:spacing w:before="480" w:after="0"/>
            </w:pPr>
            <w:r>
              <w:t xml:space="preserve"/>
            </w:r>
          </w:p>
          <w:p>
            <w:pPr>
              <w:spacing w:before="0" w:after="40"/>
            </w:pPr>
            <w:r>
              <w:rPr>
                <w:rFonts w:ascii="Arial" w:cs="Arial" w:eastAsia="Arial" w:hAnsi="Arial"/>
                <w:color w:val="666666"/>
                <w:sz w:val="18"/>
                <w:szCs w:val="18"/>
              </w:rPr>
              <w:t xml:space="preserve">Versión:</w:t>
            </w:r>
          </w:p>
          <w:p>
            <w:pPr>
              <w:spacing w:before="0" w:after="40"/>
            </w:pPr>
            <w:r>
              <w:rPr>
                <w:rFonts w:ascii="Arial" w:cs="Arial" w:eastAsia="Arial" w:hAnsi="Arial"/>
                <w:color w:val="222222"/>
                <w:sz w:val="20"/>
                <w:szCs w:val="20"/>
              </w:rPr>
              <w:t xml:space="preserve">v1.0  —  Marzo 2026</w:t>
            </w:r>
          </w:p>
          <w:p>
            <w:pPr>
              <w:spacing w:before="480" w:after="0"/>
            </w:pPr>
            <w:r>
              <w:t xml:space="preserve"/>
            </w:r>
          </w:p>
          <w:p>
            <w:pPr>
              <w:spacing w:before="0" w:after="60"/>
            </w:pPr>
            <w:r>
              <w:rPr>
                <w:rFonts w:ascii="Arial" w:cs="Arial" w:eastAsia="Arial" w:hAnsi="Arial"/>
                <w:i/>
                <w:iCs/>
                <w:color w:val="666666"/>
                <w:sz w:val="18"/>
                <w:szCs w:val="18"/>
              </w:rPr>
              <w:t xml:space="preserve">Confidencial — Uso exclusivo del destinatario</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720" w:hRule="exact"/>
        </w:trPr>
        <w:tc>
          <w:tcPr>
            <w:tcW w:type="dxa" w:w="12240"/>
            <w:tcBorders>
              <w:top w:val="none" w:color="FFFFFF" w:sz="0"/>
              <w:left w:val="none" w:color="FFFFFF" w:sz="0"/>
              <w:bottom w:val="none" w:color="FFFFFF" w:sz="0"/>
              <w:right w:val="none" w:color="FFFFFF" w:sz="0"/>
            </w:tcBorders>
            <w:shd w:fill="0078D4" w:val="clear"/>
            <w:tcMar>
              <w:top w:type="dxa" w:w="200"/>
              <w:left w:type="dxa" w:w="1440"/>
              <w:bottom w:type="dxa" w:w="0"/>
              <w:right w:type="dxa" w:w="1440"/>
            </w:tcMar>
            <w:vAlign w:val="center"/>
          </w:tcPr>
          <w:p>
            <w:pPr>
              <w:jc w:val="center"/>
            </w:pPr>
            <w:r>
              <w:rPr>
                <w:rFonts w:ascii="Arial" w:cs="Arial" w:eastAsia="Arial" w:hAnsi="Arial"/>
                <w:color w:val="FFFFFF"/>
                <w:sz w:val="18"/>
                <w:szCs w:val="18"/>
              </w:rPr>
              <w:t xml:space="preserve">Powered by Microsoft Azure AI Foundry</w:t>
            </w:r>
          </w:p>
        </w:tc>
      </w:tr>
    </w:tbl>
    <w:p>
      <w:r>
        <w:br w:type="page"/>
      </w:r>
    </w:p>
    <w:p>
      <w:pPr>
        <w:sectPr>
          <w:pgSz w:w="12240" w:h="15840" w:orient="portrait"/>
          <w:pgMar w:top="0" w:right="0" w:bottom="0" w:left="0" w:header="708" w:footer="708" w:gutter="0"/>
          <w:pgNumType/>
          <w:docGrid w:linePitch="360"/>
        </w:sectPr>
      </w:pPr>
    </w:p>
    <w:p>
      <w:pPr>
        <w:pStyle w:val="Heading1"/>
        <w:pBdr>
          <w:bottom w:val="single" w:color="0078D4" w:sz="6" w:space="6"/>
        </w:pBdr>
        <w:spacing w:before="360" w:after="160"/>
      </w:pPr>
      <w:r>
        <w:rPr>
          <w:rFonts w:ascii="Arial" w:cs="Arial" w:eastAsia="Arial" w:hAnsi="Arial"/>
          <w:b/>
          <w:bCs/>
          <w:color w:val="003E6B"/>
          <w:sz w:val="28"/>
          <w:szCs w:val="28"/>
        </w:rPr>
        <w:t xml:space="preserve">1. Resumen Ejecutivo</w:t>
      </w:r>
    </w:p>
    <w:p>
      <w:pPr>
        <w:spacing w:before="80" w:after="80"/>
      </w:pPr>
      <w:r>
        <w:rPr>
          <w:rFonts w:ascii="Arial" w:cs="Arial" w:eastAsia="Arial" w:hAnsi="Arial"/>
          <w:b w:val="false"/>
          <w:bCs w:val="false"/>
          <w:i w:val="false"/>
          <w:iCs w:val="false"/>
          <w:color w:val="222222"/>
          <w:sz w:val="20"/>
          <w:szCs w:val="20"/>
        </w:rPr>
        <w:t xml:space="preserve">La presente propuesta tiene como finalidad presentar una solución de procesamiento y análisis inteligente de documentos utilizando Microsoft Azure AI Foundry. La plataforma permite a las organizaciones automatizar la extracción, clasificación, validación y análisis de información contenida en documentos no estructurados, reduciendo tiempos operativos y elevando la precisión de los procesos.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EECF9" w:val="clear"/>
            <w:tcMar>
              <w:top w:type="dxa" w:w="140"/>
              <w:left w:type="dxa" w:w="200"/>
              <w:bottom w:type="dxa" w:w="140"/>
              <w:right w:type="dxa" w:w="200"/>
            </w:tcMar>
          </w:tcPr>
          <w:p>
            <w:pPr>
              <w:spacing w:before="0" w:after="60"/>
            </w:pPr>
            <w:r>
              <w:rPr>
                <w:rFonts w:ascii="Arial" w:cs="Arial" w:eastAsia="Arial" w:hAnsi="Arial"/>
                <w:b/>
                <w:bCs/>
                <w:color w:val="003E6B"/>
                <w:sz w:val="20"/>
                <w:szCs w:val="20"/>
              </w:rPr>
              <w:t xml:space="preserve">Propuesta de valor</w:t>
            </w:r>
          </w:p>
          <w:p>
            <w:pPr>
              <w:spacing w:before="0" w:after="0"/>
            </w:pPr>
            <w:r>
              <w:rPr>
                <w:rFonts w:ascii="Arial" w:cs="Arial" w:eastAsia="Arial" w:hAnsi="Arial"/>
                <w:color w:val="333333"/>
                <w:sz w:val="20"/>
                <w:szCs w:val="20"/>
              </w:rPr>
              <w:t xml:space="preserve">Implementación de una plataforma de IA empresarial sobre Azure AI Foundry que automatiza el ciclo de vida documental — desde la ingesta hasta la generación de insights — integrándose con los sistemas existentes del cliente mediante APIs seguras y escalables.</w:t>
            </w:r>
          </w:p>
        </w:tc>
      </w:tr>
    </w:tbl>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2. Objetivo</w:t>
      </w:r>
    </w:p>
    <w:p>
      <w:pPr>
        <w:pStyle w:val="Heading2"/>
        <w:spacing w:before="280" w:after="120"/>
      </w:pPr>
      <w:r>
        <w:rPr>
          <w:rFonts w:ascii="Arial" w:cs="Arial" w:eastAsia="Arial" w:hAnsi="Arial"/>
          <w:b/>
          <w:bCs/>
          <w:color w:val="0078D4"/>
          <w:sz w:val="24"/>
          <w:szCs w:val="24"/>
        </w:rPr>
        <w:t xml:space="preserve">2.1 Objetivo General</w:t>
      </w:r>
    </w:p>
    <w:p>
      <w:pPr>
        <w:spacing w:before="80" w:after="80"/>
      </w:pPr>
      <w:r>
        <w:rPr>
          <w:rFonts w:ascii="Arial" w:cs="Arial" w:eastAsia="Arial" w:hAnsi="Arial"/>
          <w:b w:val="false"/>
          <w:bCs w:val="false"/>
          <w:i w:val="false"/>
          <w:iCs w:val="false"/>
          <w:color w:val="222222"/>
          <w:sz w:val="20"/>
          <w:szCs w:val="20"/>
        </w:rPr>
        <w:t xml:space="preserve">Diseñar, desarrollar e implementar una solución de inteligencia artificial sobre Microsoft Azure AI Foundry que permita al cliente automatizar el procesamiento, clasificación y análisis de documentos empresariales, reduciendo en al menos un 70% el tiempo de gestión manual y mejorando la trazabilidad e integridad de la información.</w:t>
      </w:r>
    </w:p>
    <w:p>
      <w:pPr>
        <w:spacing w:before="80" w:after="0"/>
      </w:pPr>
      <w:r>
        <w:t xml:space="preserve"/>
      </w:r>
    </w:p>
    <w:p>
      <w:pPr>
        <w:pStyle w:val="Heading2"/>
        <w:spacing w:before="280" w:after="120"/>
      </w:pPr>
      <w:r>
        <w:rPr>
          <w:rFonts w:ascii="Arial" w:cs="Arial" w:eastAsia="Arial" w:hAnsi="Arial"/>
          <w:b/>
          <w:bCs/>
          <w:color w:val="0078D4"/>
          <w:sz w:val="24"/>
          <w:szCs w:val="24"/>
        </w:rPr>
        <w:t xml:space="preserve">2.2 Objetivos Específicos</w:t>
      </w:r>
    </w:p>
    <w:p>
      <w:pPr>
        <w:pStyle w:val="ListParagraph"/>
        <w:numPr>
          <w:ilvl w:val="0"/>
          <w:numId w:val="2"/>
        </w:numPr>
        <w:spacing w:before="60" w:after="60"/>
      </w:pPr>
      <w:r>
        <w:rPr>
          <w:rFonts w:ascii="Arial" w:cs="Arial" w:eastAsia="Arial" w:hAnsi="Arial"/>
          <w:color w:val="222222"/>
          <w:sz w:val="20"/>
          <w:szCs w:val="20"/>
        </w:rPr>
        <w:t xml:space="preserve">Implementar pipelines de ingesta documental con soporte para PDF, Word, Excel, imágenes y formularios escaneados.</w:t>
      </w:r>
    </w:p>
    <w:p>
      <w:pPr>
        <w:pStyle w:val="ListParagraph"/>
        <w:numPr>
          <w:ilvl w:val="0"/>
          <w:numId w:val="2"/>
        </w:numPr>
        <w:spacing w:before="60" w:after="60"/>
      </w:pPr>
      <w:r>
        <w:rPr>
          <w:rFonts w:ascii="Arial" w:cs="Arial" w:eastAsia="Arial" w:hAnsi="Arial"/>
          <w:color w:val="222222"/>
          <w:sz w:val="20"/>
          <w:szCs w:val="20"/>
        </w:rPr>
        <w:t xml:space="preserve">Configurar modelos de extracción de entidades, clasificación automática y validación de datos mediante Azure Document Intelligence.</w:t>
      </w:r>
    </w:p>
    <w:p>
      <w:pPr>
        <w:pStyle w:val="ListParagraph"/>
        <w:numPr>
          <w:ilvl w:val="0"/>
          <w:numId w:val="2"/>
        </w:numPr>
        <w:spacing w:before="60" w:after="60"/>
      </w:pPr>
      <w:r>
        <w:rPr>
          <w:rFonts w:ascii="Arial" w:cs="Arial" w:eastAsia="Arial" w:hAnsi="Arial"/>
          <w:color w:val="222222"/>
          <w:sz w:val="20"/>
          <w:szCs w:val="20"/>
        </w:rPr>
        <w:t xml:space="preserve">Orquestar flujos de trabajo con Azure AI Foundry Agent Service para la automatización de procesos multi-paso.</w:t>
      </w:r>
    </w:p>
    <w:p>
      <w:pPr>
        <w:pStyle w:val="ListParagraph"/>
        <w:numPr>
          <w:ilvl w:val="0"/>
          <w:numId w:val="2"/>
        </w:numPr>
        <w:spacing w:before="60" w:after="60"/>
      </w:pPr>
      <w:r>
        <w:rPr>
          <w:rFonts w:ascii="Arial" w:cs="Arial" w:eastAsia="Arial" w:hAnsi="Arial"/>
          <w:color w:val="222222"/>
          <w:sz w:val="20"/>
          <w:szCs w:val="20"/>
        </w:rPr>
        <w:t xml:space="preserve">Integrar los resultados con los sistemas ERP, CRM o repositorios del cliente vía API REST.</w:t>
      </w:r>
    </w:p>
    <w:p>
      <w:pPr>
        <w:pStyle w:val="ListParagraph"/>
        <w:numPr>
          <w:ilvl w:val="0"/>
          <w:numId w:val="2"/>
        </w:numPr>
        <w:spacing w:before="60" w:after="60"/>
      </w:pPr>
      <w:r>
        <w:rPr>
          <w:rFonts w:ascii="Arial" w:cs="Arial" w:eastAsia="Arial" w:hAnsi="Arial"/>
          <w:color w:val="222222"/>
          <w:sz w:val="20"/>
          <w:szCs w:val="20"/>
        </w:rPr>
        <w:t xml:space="preserve">Garantizar seguridad, privacidad y cumplimiento normativo mediante controles de Azure.</w:t>
      </w:r>
    </w:p>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3. Arquitectura de la Solución</w:t>
      </w:r>
    </w:p>
    <w:p>
      <w:pPr>
        <w:pStyle w:val="Heading2"/>
        <w:spacing w:before="280" w:after="120"/>
      </w:pPr>
      <w:r>
        <w:rPr>
          <w:rFonts w:ascii="Arial" w:cs="Arial" w:eastAsia="Arial" w:hAnsi="Arial"/>
          <w:b/>
          <w:bCs/>
          <w:color w:val="0078D4"/>
          <w:sz w:val="24"/>
          <w:szCs w:val="24"/>
        </w:rPr>
        <w:t xml:space="preserve">3.1 Visión General</w:t>
      </w:r>
    </w:p>
    <w:p>
      <w:pPr>
        <w:spacing w:before="80" w:after="80"/>
      </w:pPr>
      <w:r>
        <w:rPr>
          <w:rFonts w:ascii="Arial" w:cs="Arial" w:eastAsia="Arial" w:hAnsi="Arial"/>
          <w:b w:val="false"/>
          <w:bCs w:val="false"/>
          <w:i w:val="false"/>
          <w:iCs w:val="false"/>
          <w:color w:val="222222"/>
          <w:sz w:val="20"/>
          <w:szCs w:val="20"/>
        </w:rPr>
        <w:t xml:space="preserve">La arquitectura se basa en una capa de orquestación central (Azure AI Foundry Hub) que coordina los servicios cognitivos, los modelos de lenguaje y los conectores de integración. El diseño sigue el patrón de arquitectura RAG (Retrieval-Augmented Generation) para consultas sobre documentos y el patrón de Agentes Autónomos para la ejecución de tareas complejas.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003E6B"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CAPA DE PRESENTACIÓN  —  Portal Web / API Gateway / Power Apps</w:t>
            </w:r>
          </w:p>
        </w:tc>
      </w:tr>
      <w:tr>
        <w:tc>
          <w:tcPr>
            <w:tcBorders>
              <w:top w:val="single" w:color="D0D0D0" w:sz="1"/>
              <w:left w:val="single" w:color="D0D0D0" w:sz="1"/>
              <w:bottom w:val="single" w:color="D0D0D0" w:sz="1"/>
              <w:right w:val="single" w:color="D0D0D0" w:sz="1"/>
            </w:tcBorders>
            <w:shd w:fill="106EBE"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ORQUESTACIÓN  —  Azure AI Foundry Hub  |  Agent Service  |  Prompt Flow</w:t>
            </w:r>
          </w:p>
        </w:tc>
      </w:tr>
      <w:tr>
        <w:tc>
          <w:tcPr>
            <w:tcBorders>
              <w:top w:val="single" w:color="D0D0D0" w:sz="1"/>
              <w:left w:val="single" w:color="D0D0D0" w:sz="1"/>
              <w:bottom w:val="single" w:color="D0D0D0" w:sz="1"/>
              <w:right w:val="single" w:color="D0D0D0" w:sz="1"/>
            </w:tcBorders>
            <w:shd w:fill="1A7EBF"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SERVICIOS COGNITIVOS  —  Document Intelligence  |  Azure OpenAI (GPT-4o)  |  Azure AI Search</w:t>
            </w:r>
          </w:p>
        </w:tc>
      </w:tr>
      <w:tr>
        <w:tc>
          <w:tcPr>
            <w:tcBorders>
              <w:top w:val="single" w:color="D0D0D0" w:sz="1"/>
              <w:left w:val="single" w:color="D0D0D0" w:sz="1"/>
              <w:bottom w:val="single" w:color="D0D0D0" w:sz="1"/>
              <w:right w:val="single" w:color="D0D0D0" w:sz="1"/>
            </w:tcBorders>
            <w:shd w:fill="DEECF9" w:val="clear"/>
            <w:tcMar>
              <w:top w:type="dxa" w:w="120"/>
              <w:left w:type="dxa" w:w="200"/>
              <w:bottom w:type="dxa" w:w="120"/>
              <w:right w:type="dxa" w:w="200"/>
            </w:tcMar>
          </w:tcPr>
          <w:p>
            <w:pPr>
              <w:jc w:val="center"/>
            </w:pPr>
            <w:r>
              <w:rPr>
                <w:rFonts w:ascii="Arial" w:cs="Arial" w:eastAsia="Arial" w:hAnsi="Arial"/>
                <w:b/>
                <w:bCs/>
                <w:color w:val="003E6B"/>
                <w:sz w:val="18"/>
                <w:szCs w:val="18"/>
              </w:rPr>
              <w:t xml:space="preserve">ALMACENAMIENTO  —  Azure Blob Storage  |  Azure Cosmos DB  |  Azure SQL</w:t>
            </w:r>
          </w:p>
        </w:tc>
      </w:tr>
      <w:tr>
        <w:tc>
          <w:tcPr>
            <w:tcBorders>
              <w:top w:val="single" w:color="D0D0D0" w:sz="1"/>
              <w:left w:val="single" w:color="D0D0D0" w:sz="1"/>
              <w:bottom w:val="single" w:color="D0D0D0" w:sz="1"/>
              <w:right w:val="single" w:color="D0D0D0" w:sz="1"/>
            </w:tcBorders>
            <w:shd w:fill="F3F3F3" w:val="clear"/>
            <w:tcMar>
              <w:top w:type="dxa" w:w="120"/>
              <w:left w:type="dxa" w:w="200"/>
              <w:bottom w:type="dxa" w:w="120"/>
              <w:right w:type="dxa" w:w="200"/>
            </w:tcMar>
          </w:tcPr>
          <w:p>
            <w:pPr>
              <w:jc w:val="center"/>
            </w:pPr>
            <w:r>
              <w:rPr>
                <w:rFonts w:ascii="Arial" w:cs="Arial" w:eastAsia="Arial" w:hAnsi="Arial"/>
                <w:color w:val="333333"/>
                <w:sz w:val="18"/>
                <w:szCs w:val="18"/>
              </w:rPr>
              <w:t xml:space="preserve">SEGURIDAD &amp; GOBERNANZA  —  Azure AD / Entra ID  |  Key Vault  |  Monitor  |  Defender for Cloud</w:t>
            </w:r>
          </w:p>
        </w:tc>
      </w:tr>
      <w:tr>
        <w:tc>
          <w:tcPr>
            <w:tcBorders>
              <w:top w:val="single" w:color="D0D0D0" w:sz="1"/>
              <w:left w:val="single" w:color="D0D0D0" w:sz="1"/>
              <w:bottom w:val="single" w:color="D0D0D0" w:sz="1"/>
              <w:right w:val="single" w:color="D0D0D0" w:sz="1"/>
            </w:tcBorders>
            <w:shd w:fill="E6F0FA" w:val="clear"/>
            <w:tcMar>
              <w:top w:type="dxa" w:w="120"/>
              <w:left w:type="dxa" w:w="200"/>
              <w:bottom w:type="dxa" w:w="120"/>
              <w:right w:type="dxa" w:w="200"/>
            </w:tcMar>
          </w:tcPr>
          <w:p>
            <w:pPr>
              <w:jc w:val="center"/>
            </w:pPr>
            <w:r>
              <w:rPr>
                <w:rFonts w:ascii="Arial" w:cs="Arial" w:eastAsia="Arial" w:hAnsi="Arial"/>
                <w:color w:val="003E6B"/>
                <w:sz w:val="18"/>
                <w:szCs w:val="18"/>
              </w:rPr>
              <w:t xml:space="preserve">INTEGRACIÓN  —  Azure Logic Apps  |  API Management  |  Event Grid  |  Sistemas del Cliente</w:t>
            </w:r>
          </w:p>
        </w:tc>
      </w:tr>
    </w:tbl>
    <w:p>
      <w:pPr>
        <w:spacing w:before="120" w:after="0"/>
      </w:pPr>
      <w:r>
        <w:t xml:space="preserve"/>
      </w:r>
    </w:p>
    <w:p>
      <w:pPr>
        <w:pStyle w:val="Heading2"/>
        <w:spacing w:before="280" w:after="120"/>
      </w:pPr>
      <w:r>
        <w:rPr>
          <w:rFonts w:ascii="Arial" w:cs="Arial" w:eastAsia="Arial" w:hAnsi="Arial"/>
          <w:b/>
          <w:bCs/>
          <w:color w:val="0078D4"/>
          <w:sz w:val="24"/>
          <w:szCs w:val="24"/>
        </w:rPr>
        <w:t xml:space="preserve">3.2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20"/>
                <w:szCs w:val="20"/>
              </w:rPr>
              <w:t xml:space="preserve">Componente</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20"/>
                <w:szCs w:val="20"/>
              </w:rPr>
              <w:t xml:space="preserve">Descripción y Rol en la Solución</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b/>
                <w:bCs/>
                <w:color w:val="106EBE"/>
                <w:sz w:val="19"/>
                <w:szCs w:val="19"/>
              </w:rPr>
              <w:t xml:space="preserve">Azure AI Foundry Hub</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9"/>
                <w:szCs w:val="19"/>
              </w:rPr>
              <w:t xml:space="preserve">Centro de orquestación para gestionar proyectos de IA, modelos, conexiones y pipelines de Prompt Flow.</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9"/>
                <w:szCs w:val="19"/>
              </w:rPr>
              <w:t xml:space="preserve">Azure Document Intelligence</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Extracción estructurada de texto, tablas, firmas y entidades desde PDFs, imágenes y formularios.</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b/>
                <w:bCs/>
                <w:color w:val="106EBE"/>
                <w:sz w:val="19"/>
                <w:szCs w:val="19"/>
              </w:rPr>
              <w:t xml:space="preserve">Azure OpenAI (GPT-4o)</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9"/>
                <w:szCs w:val="19"/>
              </w:rPr>
              <w:t xml:space="preserve">Modelo de lenguaje para análisis semántico, resumen, clasificación y generación de respuestas sobre documentos.</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9"/>
                <w:szCs w:val="19"/>
              </w:rPr>
              <w:t xml:space="preserve">Azure AI Search</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Motor de búsqueda vectorial e híbrida para recuperación contextual de información (RAG).</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b/>
                <w:bCs/>
                <w:color w:val="106EBE"/>
                <w:sz w:val="19"/>
                <w:szCs w:val="19"/>
              </w:rPr>
              <w:t xml:space="preserve">Azure Blob Storage</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9"/>
                <w:szCs w:val="19"/>
              </w:rPr>
              <w:t xml:space="preserve">Repositorio de ingesta y archivo de documentos originales y procesados.</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9"/>
                <w:szCs w:val="19"/>
              </w:rPr>
              <w:t xml:space="preserve">Azure Logic Apps / Functions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Automatización de flujos de trabajo y triggers de procesamiento ante eventos documentales.</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b/>
                <w:bCs/>
                <w:color w:val="106EBE"/>
                <w:sz w:val="19"/>
                <w:szCs w:val="19"/>
              </w:rPr>
              <w:t xml:space="preserve">Azure API Management</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9"/>
                <w:szCs w:val="19"/>
              </w:rPr>
              <w:t xml:space="preserve">Exposición segura de servicios hacia sistemas externos del cliente.</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9"/>
                <w:szCs w:val="19"/>
              </w:rPr>
              <w:t xml:space="preserve">Azure Monitor + App Insights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9"/>
                <w:szCs w:val="19"/>
              </w:rPr>
              <w:t xml:space="preserve">Observabilidad, trazabilidad de llamadas, alertas y paneles de operación.</w:t>
            </w:r>
          </w:p>
        </w:tc>
      </w:tr>
    </w:tbl>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4. Requerimientos</w:t>
      </w:r>
    </w:p>
    <w:p>
      <w:pPr>
        <w:pStyle w:val="Heading2"/>
        <w:spacing w:before="280" w:after="120"/>
      </w:pPr>
      <w:r>
        <w:rPr>
          <w:rFonts w:ascii="Arial" w:cs="Arial" w:eastAsia="Arial" w:hAnsi="Arial"/>
          <w:b/>
          <w:bCs/>
          <w:color w:val="0078D4"/>
          <w:sz w:val="24"/>
          <w:szCs w:val="24"/>
        </w:rPr>
        <w:t xml:space="preserve">4.1 Requerimientos Funcionales</w:t>
      </w:r>
    </w:p>
    <w:p>
      <w:pPr>
        <w:pStyle w:val="ListParagraph"/>
        <w:numPr>
          <w:ilvl w:val="0"/>
          <w:numId w:val="2"/>
        </w:numPr>
        <w:spacing w:before="60" w:after="60"/>
      </w:pPr>
      <w:r>
        <w:rPr>
          <w:rFonts w:ascii="Arial" w:cs="Arial" w:eastAsia="Arial" w:hAnsi="Arial"/>
          <w:color w:val="222222"/>
          <w:sz w:val="20"/>
          <w:szCs w:val="20"/>
        </w:rPr>
        <w:t xml:space="preserve">Soporte para ingesta de documentos en formatos: PDF, DOCX, XLSX, JPEG, PNG, TIFF.</w:t>
      </w:r>
    </w:p>
    <w:p>
      <w:pPr>
        <w:pStyle w:val="ListParagraph"/>
        <w:numPr>
          <w:ilvl w:val="0"/>
          <w:numId w:val="2"/>
        </w:numPr>
        <w:spacing w:before="60" w:after="60"/>
      </w:pPr>
      <w:r>
        <w:rPr>
          <w:rFonts w:ascii="Arial" w:cs="Arial" w:eastAsia="Arial" w:hAnsi="Arial"/>
          <w:color w:val="222222"/>
          <w:sz w:val="20"/>
          <w:szCs w:val="20"/>
        </w:rPr>
        <w:t xml:space="preserve">Clasificación automática de documentos por tipo (facturas, contratos, reportes, formularios).</w:t>
      </w:r>
    </w:p>
    <w:p>
      <w:pPr>
        <w:pStyle w:val="ListParagraph"/>
        <w:numPr>
          <w:ilvl w:val="0"/>
          <w:numId w:val="2"/>
        </w:numPr>
        <w:spacing w:before="60" w:after="60"/>
      </w:pPr>
      <w:r>
        <w:rPr>
          <w:rFonts w:ascii="Arial" w:cs="Arial" w:eastAsia="Arial" w:hAnsi="Arial"/>
          <w:color w:val="222222"/>
          <w:sz w:val="20"/>
          <w:szCs w:val="20"/>
        </w:rPr>
        <w:t xml:space="preserve">Extracción de campos clave configurables por tipo de documento (número de folio, fechas, montos, firmantes).</w:t>
      </w:r>
    </w:p>
    <w:p>
      <w:pPr>
        <w:pStyle w:val="ListParagraph"/>
        <w:numPr>
          <w:ilvl w:val="0"/>
          <w:numId w:val="2"/>
        </w:numPr>
        <w:spacing w:before="60" w:after="60"/>
      </w:pPr>
      <w:r>
        <w:rPr>
          <w:rFonts w:ascii="Arial" w:cs="Arial" w:eastAsia="Arial" w:hAnsi="Arial"/>
          <w:color w:val="222222"/>
          <w:sz w:val="20"/>
          <w:szCs w:val="20"/>
        </w:rPr>
        <w:t xml:space="preserve">Validación de datos extraídos contra catálogos o reglas de negocio definidas por el cliente.</w:t>
      </w:r>
    </w:p>
    <w:p>
      <w:pPr>
        <w:pStyle w:val="ListParagraph"/>
        <w:numPr>
          <w:ilvl w:val="0"/>
          <w:numId w:val="2"/>
        </w:numPr>
        <w:spacing w:before="60" w:after="60"/>
      </w:pPr>
      <w:r>
        <w:rPr>
          <w:rFonts w:ascii="Arial" w:cs="Arial" w:eastAsia="Arial" w:hAnsi="Arial"/>
          <w:color w:val="222222"/>
          <w:sz w:val="20"/>
          <w:szCs w:val="20"/>
        </w:rPr>
        <w:t xml:space="preserve">Generación de resúmenes ejecutivos y respuestas a consultas en lenguaje natural sobre el contenido documental.</w:t>
      </w:r>
    </w:p>
    <w:p>
      <w:pPr>
        <w:pStyle w:val="ListParagraph"/>
        <w:numPr>
          <w:ilvl w:val="0"/>
          <w:numId w:val="2"/>
        </w:numPr>
        <w:spacing w:before="60" w:after="60"/>
      </w:pPr>
      <w:r>
        <w:rPr>
          <w:rFonts w:ascii="Arial" w:cs="Arial" w:eastAsia="Arial" w:hAnsi="Arial"/>
          <w:color w:val="222222"/>
          <w:sz w:val="20"/>
          <w:szCs w:val="20"/>
        </w:rPr>
        <w:t xml:space="preserve">Panel de monitoreo y revisión humana para documentos con baja confianza de extracción.</w:t>
      </w:r>
    </w:p>
    <w:p>
      <w:pPr>
        <w:pStyle w:val="ListParagraph"/>
        <w:numPr>
          <w:ilvl w:val="0"/>
          <w:numId w:val="2"/>
        </w:numPr>
        <w:spacing w:before="60" w:after="60"/>
      </w:pPr>
      <w:r>
        <w:rPr>
          <w:rFonts w:ascii="Arial" w:cs="Arial" w:eastAsia="Arial" w:hAnsi="Arial"/>
          <w:color w:val="222222"/>
          <w:sz w:val="20"/>
          <w:szCs w:val="20"/>
        </w:rPr>
        <w:t xml:space="preserve">Exportación de resultados a JSON, CSV o integración directa con sistemas del cliente.</w:t>
      </w:r>
    </w:p>
    <w:p>
      <w:pPr>
        <w:spacing w:before="80" w:after="0"/>
      </w:pPr>
      <w:r>
        <w:t xml:space="preserve"/>
      </w:r>
    </w:p>
    <w:p>
      <w:pPr>
        <w:pStyle w:val="Heading2"/>
        <w:spacing w:before="280" w:after="120"/>
      </w:pPr>
      <w:r>
        <w:rPr>
          <w:rFonts w:ascii="Arial" w:cs="Arial" w:eastAsia="Arial" w:hAnsi="Arial"/>
          <w:b/>
          <w:bCs/>
          <w:color w:val="0078D4"/>
          <w:sz w:val="24"/>
          <w:szCs w:val="24"/>
        </w:rPr>
        <w:t xml:space="preserve">4.2 Requerimientos No Funcionales</w:t>
      </w:r>
    </w:p>
    <w:p>
      <w:pPr>
        <w:pStyle w:val="ListParagraph"/>
        <w:numPr>
          <w:ilvl w:val="0"/>
          <w:numId w:val="2"/>
        </w:numPr>
        <w:spacing w:before="60" w:after="60"/>
      </w:pPr>
      <w:r>
        <w:rPr>
          <w:rFonts w:ascii="Arial" w:cs="Arial" w:eastAsia="Arial" w:hAnsi="Arial"/>
          <w:color w:val="222222"/>
          <w:sz w:val="20"/>
          <w:szCs w:val="20"/>
        </w:rPr>
        <w:t xml:space="preserve">Disponibilidad del servicio: SLA mínimo del 99.9% en ambiente de producción.</w:t>
      </w:r>
    </w:p>
    <w:p>
      <w:pPr>
        <w:pStyle w:val="ListParagraph"/>
        <w:numPr>
          <w:ilvl w:val="0"/>
          <w:numId w:val="2"/>
        </w:numPr>
        <w:spacing w:before="60" w:after="60"/>
      </w:pPr>
      <w:r>
        <w:rPr>
          <w:rFonts w:ascii="Arial" w:cs="Arial" w:eastAsia="Arial" w:hAnsi="Arial"/>
          <w:color w:val="222222"/>
          <w:sz w:val="20"/>
          <w:szCs w:val="20"/>
        </w:rPr>
        <w:t xml:space="preserve">Tiempo de procesamiento: máximo 30 segundos por documento de hasta 50 páginas.</w:t>
      </w:r>
    </w:p>
    <w:p>
      <w:pPr>
        <w:pStyle w:val="ListParagraph"/>
        <w:numPr>
          <w:ilvl w:val="0"/>
          <w:numId w:val="2"/>
        </w:numPr>
        <w:spacing w:before="60" w:after="60"/>
      </w:pPr>
      <w:r>
        <w:rPr>
          <w:rFonts w:ascii="Arial" w:cs="Arial" w:eastAsia="Arial" w:hAnsi="Arial"/>
          <w:color w:val="222222"/>
          <w:sz w:val="20"/>
          <w:szCs w:val="20"/>
        </w:rPr>
        <w:t xml:space="preserve">Seguridad: cifrado en tránsito (TLS 1.2+) y en reposo; acceso basado en roles (RBAC).</w:t>
      </w:r>
    </w:p>
    <w:p>
      <w:pPr>
        <w:pStyle w:val="ListParagraph"/>
        <w:numPr>
          <w:ilvl w:val="0"/>
          <w:numId w:val="2"/>
        </w:numPr>
        <w:spacing w:before="60" w:after="60"/>
      </w:pPr>
      <w:r>
        <w:rPr>
          <w:rFonts w:ascii="Arial" w:cs="Arial" w:eastAsia="Arial" w:hAnsi="Arial"/>
          <w:color w:val="222222"/>
          <w:sz w:val="20"/>
          <w:szCs w:val="20"/>
        </w:rPr>
        <w:t xml:space="preserve">Escalabilidad: capacidad para procesar hasta 10,000 documentos diarios en hora pico.</w:t>
      </w:r>
    </w:p>
    <w:p>
      <w:pPr>
        <w:pStyle w:val="ListParagraph"/>
        <w:numPr>
          <w:ilvl w:val="0"/>
          <w:numId w:val="2"/>
        </w:numPr>
        <w:spacing w:before="60" w:after="60"/>
      </w:pPr>
      <w:r>
        <w:rPr>
          <w:rFonts w:ascii="Arial" w:cs="Arial" w:eastAsia="Arial" w:hAnsi="Arial"/>
          <w:color w:val="222222"/>
          <w:sz w:val="20"/>
          <w:szCs w:val="20"/>
        </w:rPr>
        <w:t xml:space="preserve">Trazabilidad: registro de auditoría de cada operación de procesamiento.</w:t>
      </w:r>
    </w:p>
    <w:p>
      <w:pPr>
        <w:pStyle w:val="Heading2"/>
        <w:spacing w:before="280" w:after="120"/>
      </w:pPr>
      <w:r>
        <w:rPr>
          <w:rFonts w:ascii="Arial" w:cs="Arial" w:eastAsia="Arial" w:hAnsi="Arial"/>
          <w:b/>
          <w:bCs/>
          <w:color w:val="0078D4"/>
          <w:sz w:val="24"/>
          <w:szCs w:val="24"/>
        </w:rPr>
        <w:t xml:space="preserve">4.3 Requerimientos Técnicos del Cliente</w:t>
      </w:r>
    </w:p>
    <w:p>
      <w:pPr>
        <w:pStyle w:val="ListParagraph"/>
        <w:numPr>
          <w:ilvl w:val="0"/>
          <w:numId w:val="2"/>
        </w:numPr>
        <w:spacing w:before="60" w:after="60"/>
      </w:pPr>
      <w:r>
        <w:rPr>
          <w:rFonts w:ascii="Arial" w:cs="Arial" w:eastAsia="Arial" w:hAnsi="Arial"/>
          <w:color w:val="222222"/>
          <w:sz w:val="20"/>
          <w:szCs w:val="20"/>
        </w:rPr>
        <w:t xml:space="preserve">Suscripción activa de Microsoft Azure con permisos de Contributor o superior.</w:t>
      </w:r>
    </w:p>
    <w:p>
      <w:pPr>
        <w:pStyle w:val="ListParagraph"/>
        <w:numPr>
          <w:ilvl w:val="0"/>
          <w:numId w:val="2"/>
        </w:numPr>
        <w:spacing w:before="60" w:after="60"/>
      </w:pPr>
      <w:r>
        <w:rPr>
          <w:rFonts w:ascii="Arial" w:cs="Arial" w:eastAsia="Arial" w:hAnsi="Arial"/>
          <w:color w:val="222222"/>
          <w:sz w:val="20"/>
          <w:szCs w:val="20"/>
        </w:rPr>
        <w:t xml:space="preserve">Acceso a Azure Active Directory / Entra ID para gestión de identidades.</w:t>
      </w:r>
    </w:p>
    <w:p>
      <w:pPr>
        <w:pStyle w:val="ListParagraph"/>
        <w:numPr>
          <w:ilvl w:val="0"/>
          <w:numId w:val="2"/>
        </w:numPr>
        <w:spacing w:before="60" w:after="60"/>
      </w:pPr>
      <w:r>
        <w:rPr>
          <w:rFonts w:ascii="Arial" w:cs="Arial" w:eastAsia="Arial" w:hAnsi="Arial"/>
          <w:color w:val="222222"/>
          <w:sz w:val="20"/>
          <w:szCs w:val="20"/>
        </w:rPr>
        <w:t xml:space="preserve">Conectividad desde los sistemas fuente hacia Azure (VPN Site-to-Site o ExpressRoute recomendado).</w:t>
      </w:r>
    </w:p>
    <w:p>
      <w:pPr>
        <w:pStyle w:val="ListParagraph"/>
        <w:numPr>
          <w:ilvl w:val="0"/>
          <w:numId w:val="2"/>
        </w:numPr>
        <w:spacing w:before="60" w:after="60"/>
      </w:pPr>
      <w:r>
        <w:rPr>
          <w:rFonts w:ascii="Arial" w:cs="Arial" w:eastAsia="Arial" w:hAnsi="Arial"/>
          <w:color w:val="222222"/>
          <w:sz w:val="20"/>
          <w:szCs w:val="20"/>
        </w:rPr>
        <w:t xml:space="preserve">Definición y entrega de documentos muestra para entrenamiento y validación de modelos (mínimo 50 ejemplares por tipo).</w:t>
      </w:r>
    </w:p>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5. Alcance del Proyecto</w:t>
      </w:r>
    </w:p>
    <w:p>
      <w:pPr>
        <w:spacing w:before="80" w:after="80"/>
      </w:pPr>
      <w:r>
        <w:rPr>
          <w:rFonts w:ascii="Arial" w:cs="Arial" w:eastAsia="Arial" w:hAnsi="Arial"/>
          <w:b w:val="false"/>
          <w:bCs w:val="false"/>
          <w:i w:val="false"/>
          <w:iCs w:val="false"/>
          <w:color w:val="222222"/>
          <w:sz w:val="20"/>
          <w:szCs w:val="20"/>
        </w:rPr>
        <w:t xml:space="preserve">El presente proyecto contempla las siguientes fases y entregables dentro del alcance acordado: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20"/>
                <w:szCs w:val="20"/>
              </w:rPr>
              <w:t xml:space="preserve">Actividades Incluidas</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20"/>
                <w:szCs w:val="20"/>
              </w:rPr>
              <w:t xml:space="preserve">Entregable</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003E6B"/>
                <w:sz w:val="18"/>
                <w:szCs w:val="18"/>
              </w:rPr>
              <w:t xml:space="preserve">Fase 1
Arquitectura</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Análisis de requerimientos, diseño de arquitectura, definición de componentes Azure, estimación de costos.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444444"/>
                <w:sz w:val="18"/>
                <w:szCs w:val="18"/>
              </w:rPr>
              <w:t xml:space="preserve">Documento de arquitectura + plan de proyecto</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3E6B"/>
                <w:sz w:val="18"/>
                <w:szCs w:val="18"/>
              </w:rPr>
              <w:t xml:space="preserve">Fase 2
Desarrollo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Configuración del Hub AI Foundry, pipelines Document Intelligence, modelos GPT-4o, índices AI Search, APIs.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444444"/>
                <w:sz w:val="18"/>
                <w:szCs w:val="18"/>
              </w:rPr>
              <w:t xml:space="preserve">Ambiente de desarrollo funcional</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003E6B"/>
                <w:sz w:val="18"/>
                <w:szCs w:val="18"/>
              </w:rPr>
              <w:t xml:space="preserve">Fase 3
Integración</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Conexión con sistemas del cliente, pruebas de integración, ajuste de modelos con datos reales del cliente.</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444444"/>
                <w:sz w:val="18"/>
                <w:szCs w:val="18"/>
              </w:rPr>
              <w:t xml:space="preserve">Ambiente de integración + documentación API</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3E6B"/>
                <w:sz w:val="18"/>
                <w:szCs w:val="18"/>
              </w:rPr>
              <w:t xml:space="preserve">Fase 4
Pruebas y QA</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Pruebas funcionales, de carga, seguridad y UAT (User Acceptance Testing) con el cliente.</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444444"/>
                <w:sz w:val="18"/>
                <w:szCs w:val="18"/>
              </w:rPr>
              <w:t xml:space="preserve">Reporte de pruebas + aprobación UAT</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003E6B"/>
                <w:sz w:val="18"/>
                <w:szCs w:val="18"/>
              </w:rPr>
              <w:t xml:space="preserve">Fase 5
Despliegue</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Puesta en producción, capacitación a usuarios y equipo TI, documentación operativa.</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444444"/>
                <w:sz w:val="18"/>
                <w:szCs w:val="18"/>
              </w:rPr>
              <w:t xml:space="preserve">Ambiente productivo + manuales</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3E6B"/>
                <w:sz w:val="18"/>
                <w:szCs w:val="18"/>
              </w:rPr>
              <w:t xml:space="preserve">Fase 6
Soporte</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Soporte post-implementación por 30 días, ajustes menores y transferencia de conocimiento.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444444"/>
                <w:sz w:val="18"/>
                <w:szCs w:val="18"/>
              </w:rPr>
              <w:t xml:space="preserve">Cierre de proyecto + transferencia</w:t>
            </w:r>
          </w:p>
        </w:tc>
      </w:tr>
    </w:tbl>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6. Fuera de Alcance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4CE" w:val="clear"/>
            <w:tcMar>
              <w:top w:type="dxa" w:w="140"/>
              <w:left w:type="dxa" w:w="200"/>
              <w:bottom w:type="dxa" w:w="140"/>
              <w:right w:type="dxa" w:w="200"/>
            </w:tcMar>
          </w:tcPr>
          <w:p>
            <w:pPr>
              <w:spacing w:before="0" w:after="60"/>
            </w:pPr>
            <w:r>
              <w:rPr>
                <w:rFonts w:ascii="Arial" w:cs="Arial" w:eastAsia="Arial" w:hAnsi="Arial"/>
                <w:b/>
                <w:bCs/>
                <w:color w:val="7A4F00"/>
                <w:sz w:val="20"/>
                <w:szCs w:val="20"/>
              </w:rPr>
              <w:t xml:space="preserve">⚠️  Importante</w:t>
            </w:r>
          </w:p>
          <w:p>
            <w:pPr>
              <w:spacing w:before="0" w:after="0"/>
            </w:pPr>
            <w:r>
              <w:rPr>
                <w:rFonts w:ascii="Arial" w:cs="Arial" w:eastAsia="Arial" w:hAnsi="Arial"/>
                <w:color w:val="333333"/>
                <w:sz w:val="20"/>
                <w:szCs w:val="20"/>
              </w:rPr>
              <w:t xml:space="preserve">Los siguientes elementos NO están contemplados en esta propuesta. Su inclusión requerirá una adenda y ajuste presupuestal.</w:t>
            </w:r>
          </w:p>
        </w:tc>
      </w:tr>
    </w:tbl>
    <w:p>
      <w:pPr>
        <w:spacing w:before="100" w:after="0"/>
      </w:pPr>
      <w:r>
        <w:t xml:space="preserve"/>
      </w:r>
    </w:p>
    <w:p>
      <w:pPr>
        <w:pStyle w:val="ListParagraph"/>
        <w:numPr>
          <w:ilvl w:val="0"/>
          <w:numId w:val="2"/>
        </w:numPr>
        <w:spacing w:before="60" w:after="60"/>
      </w:pPr>
      <w:r>
        <w:rPr>
          <w:rFonts w:ascii="Arial" w:cs="Arial" w:eastAsia="Arial" w:hAnsi="Arial"/>
          <w:color w:val="222222"/>
          <w:sz w:val="20"/>
          <w:szCs w:val="20"/>
        </w:rPr>
        <w:t xml:space="preserve">Desarrollo de aplicaciones de front-end personalizadas (más allá del portal de administración básico incluido).</w:t>
      </w:r>
    </w:p>
    <w:p>
      <w:pPr>
        <w:pStyle w:val="ListParagraph"/>
        <w:numPr>
          <w:ilvl w:val="0"/>
          <w:numId w:val="2"/>
        </w:numPr>
        <w:spacing w:before="60" w:after="60"/>
      </w:pPr>
      <w:r>
        <w:rPr>
          <w:rFonts w:ascii="Arial" w:cs="Arial" w:eastAsia="Arial" w:hAnsi="Arial"/>
          <w:color w:val="222222"/>
          <w:sz w:val="20"/>
          <w:szCs w:val="20"/>
        </w:rPr>
        <w:t xml:space="preserve">Migración y limpieza de datos históricos del cliente previos al inicio del proyecto.</w:t>
      </w:r>
    </w:p>
    <w:p>
      <w:pPr>
        <w:pStyle w:val="ListParagraph"/>
        <w:numPr>
          <w:ilvl w:val="0"/>
          <w:numId w:val="2"/>
        </w:numPr>
        <w:spacing w:before="60" w:after="60"/>
      </w:pPr>
      <w:r>
        <w:rPr>
          <w:rFonts w:ascii="Arial" w:cs="Arial" w:eastAsia="Arial" w:hAnsi="Arial"/>
          <w:color w:val="222222"/>
          <w:sz w:val="20"/>
          <w:szCs w:val="20"/>
        </w:rPr>
        <w:t xml:space="preserve">Licenciamiento de herramientas de terceros no parte del ecosistema Azure.</w:t>
      </w:r>
    </w:p>
    <w:p>
      <w:pPr>
        <w:pStyle w:val="ListParagraph"/>
        <w:numPr>
          <w:ilvl w:val="0"/>
          <w:numId w:val="2"/>
        </w:numPr>
        <w:spacing w:before="60" w:after="60"/>
      </w:pPr>
      <w:r>
        <w:rPr>
          <w:rFonts w:ascii="Arial" w:cs="Arial" w:eastAsia="Arial" w:hAnsi="Arial"/>
          <w:color w:val="222222"/>
          <w:sz w:val="20"/>
          <w:szCs w:val="20"/>
        </w:rPr>
        <w:t xml:space="preserve">Capacitación extendida o certificaciones formales para el equipo del cliente.</w:t>
      </w:r>
    </w:p>
    <w:p>
      <w:pPr>
        <w:pStyle w:val="ListParagraph"/>
        <w:numPr>
          <w:ilvl w:val="0"/>
          <w:numId w:val="2"/>
        </w:numPr>
        <w:spacing w:before="60" w:after="60"/>
      </w:pPr>
      <w:r>
        <w:rPr>
          <w:rFonts w:ascii="Arial" w:cs="Arial" w:eastAsia="Arial" w:hAnsi="Arial"/>
          <w:color w:val="222222"/>
          <w:sz w:val="20"/>
          <w:szCs w:val="20"/>
        </w:rPr>
        <w:t xml:space="preserve">Integración con sistemas on-premise sin acceso a red o sin API disponible.</w:t>
      </w:r>
    </w:p>
    <w:p>
      <w:pPr>
        <w:pStyle w:val="ListParagraph"/>
        <w:numPr>
          <w:ilvl w:val="0"/>
          <w:numId w:val="2"/>
        </w:numPr>
        <w:spacing w:before="60" w:after="60"/>
      </w:pPr>
      <w:r>
        <w:rPr>
          <w:rFonts w:ascii="Arial" w:cs="Arial" w:eastAsia="Arial" w:hAnsi="Arial"/>
          <w:color w:val="222222"/>
          <w:sz w:val="20"/>
          <w:szCs w:val="20"/>
        </w:rPr>
        <w:t xml:space="preserve">Mantenimiento evolutivo de la solución posterior a los 30 días de soporte post-go-live.</w:t>
      </w:r>
    </w:p>
    <w:p>
      <w:pPr>
        <w:pStyle w:val="ListParagraph"/>
        <w:numPr>
          <w:ilvl w:val="0"/>
          <w:numId w:val="2"/>
        </w:numPr>
        <w:spacing w:before="60" w:after="60"/>
      </w:pPr>
      <w:r>
        <w:rPr>
          <w:rFonts w:ascii="Arial" w:cs="Arial" w:eastAsia="Arial" w:hAnsi="Arial"/>
          <w:color w:val="222222"/>
          <w:sz w:val="20"/>
          <w:szCs w:val="20"/>
        </w:rPr>
        <w:t xml:space="preserve">Implementación en nubes distintas a Microsoft Azure (AWS, GCP, etc.).</w:t>
      </w:r>
    </w:p>
    <w:p>
      <w:pPr>
        <w:pStyle w:val="ListParagraph"/>
        <w:numPr>
          <w:ilvl w:val="0"/>
          <w:numId w:val="2"/>
        </w:numPr>
        <w:spacing w:before="60" w:after="60"/>
      </w:pPr>
      <w:r>
        <w:rPr>
          <w:rFonts w:ascii="Arial" w:cs="Arial" w:eastAsia="Arial" w:hAnsi="Arial"/>
          <w:color w:val="222222"/>
          <w:sz w:val="20"/>
          <w:szCs w:val="20"/>
        </w:rPr>
        <w:t xml:space="preserve">Desarrollo de modelos de machine learning personalizados (fine-tuning extenso); se utilizarán modelos fundacionales de Azure OpenAI.</w:t>
      </w:r>
    </w:p>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7. Supuestos del Proyecto</w:t>
      </w:r>
    </w:p>
    <w:p>
      <w:pPr>
        <w:spacing w:before="80" w:after="80"/>
      </w:pPr>
      <w:r>
        <w:rPr>
          <w:rFonts w:ascii="Arial" w:cs="Arial" w:eastAsia="Arial" w:hAnsi="Arial"/>
          <w:b w:val="false"/>
          <w:bCs w:val="false"/>
          <w:i w:val="false"/>
          <w:iCs w:val="false"/>
          <w:color w:val="222222"/>
          <w:sz w:val="20"/>
          <w:szCs w:val="20"/>
        </w:rPr>
        <w:t xml:space="preserve">La propuesta se elabora bajo los siguientes supuestos. Cualquier desviación podría impactar tiempos y costos:</w:t>
      </w:r>
    </w:p>
    <w:p>
      <w:pPr>
        <w:spacing w:before="80" w:after="0"/>
      </w:pPr>
      <w:r>
        <w:t xml:space="preserve"/>
      </w:r>
    </w:p>
    <w:p>
      <w:pPr>
        <w:pStyle w:val="ListParagraph"/>
        <w:numPr>
          <w:ilvl w:val="0"/>
          <w:numId w:val="2"/>
        </w:numPr>
        <w:spacing w:before="60" w:after="60"/>
      </w:pPr>
      <w:r>
        <w:rPr>
          <w:rFonts w:ascii="Arial" w:cs="Arial" w:eastAsia="Arial" w:hAnsi="Arial"/>
          <w:color w:val="222222"/>
          <w:sz w:val="20"/>
          <w:szCs w:val="20"/>
        </w:rPr>
        <w:t xml:space="preserve">El cliente designará un Líder Técnico y un Líder de Negocio como puntos de contacto durante todo el proyecto.</w:t>
      </w:r>
    </w:p>
    <w:p>
      <w:pPr>
        <w:pStyle w:val="ListParagraph"/>
        <w:numPr>
          <w:ilvl w:val="0"/>
          <w:numId w:val="2"/>
        </w:numPr>
        <w:spacing w:before="60" w:after="60"/>
      </w:pPr>
      <w:r>
        <w:rPr>
          <w:rFonts w:ascii="Arial" w:cs="Arial" w:eastAsia="Arial" w:hAnsi="Arial"/>
          <w:color w:val="222222"/>
          <w:sz w:val="20"/>
          <w:szCs w:val="20"/>
        </w:rPr>
        <w:t xml:space="preserve">Se dispondrá de acceso a la suscripción Azure del cliente dentro de los primeros 5 días hábiles del proyecto.</w:t>
      </w:r>
    </w:p>
    <w:p>
      <w:pPr>
        <w:pStyle w:val="ListParagraph"/>
        <w:numPr>
          <w:ilvl w:val="0"/>
          <w:numId w:val="2"/>
        </w:numPr>
        <w:spacing w:before="60" w:after="60"/>
      </w:pPr>
      <w:r>
        <w:rPr>
          <w:rFonts w:ascii="Arial" w:cs="Arial" w:eastAsia="Arial" w:hAnsi="Arial"/>
          <w:color w:val="222222"/>
          <w:sz w:val="20"/>
          <w:szCs w:val="20"/>
        </w:rPr>
        <w:t xml:space="preserve">El cliente entregará al menos 50 documentos muestra por tipo en las primeras 2 semanas para entrenamiento y calibración.</w:t>
      </w:r>
    </w:p>
    <w:p>
      <w:pPr>
        <w:pStyle w:val="ListParagraph"/>
        <w:numPr>
          <w:ilvl w:val="0"/>
          <w:numId w:val="2"/>
        </w:numPr>
        <w:spacing w:before="60" w:after="60"/>
      </w:pPr>
      <w:r>
        <w:rPr>
          <w:rFonts w:ascii="Arial" w:cs="Arial" w:eastAsia="Arial" w:hAnsi="Arial"/>
          <w:color w:val="222222"/>
          <w:sz w:val="20"/>
          <w:szCs w:val="20"/>
        </w:rPr>
        <w:t xml:space="preserve">Las decisiones de aprobación de diseño y arquitectura se tomarán en un plazo no mayor a 3 días hábiles.</w:t>
      </w:r>
    </w:p>
    <w:p>
      <w:pPr>
        <w:pStyle w:val="ListParagraph"/>
        <w:numPr>
          <w:ilvl w:val="0"/>
          <w:numId w:val="2"/>
        </w:numPr>
        <w:spacing w:before="60" w:after="60"/>
      </w:pPr>
      <w:r>
        <w:rPr>
          <w:rFonts w:ascii="Arial" w:cs="Arial" w:eastAsia="Arial" w:hAnsi="Arial"/>
          <w:color w:val="222222"/>
          <w:sz w:val="20"/>
          <w:szCs w:val="20"/>
        </w:rPr>
        <w:t xml:space="preserve">El ambiente de producción del cliente cumple los requerimientos técnicos descritos en la sección 4.3.</w:t>
      </w:r>
    </w:p>
    <w:p>
      <w:pPr>
        <w:pStyle w:val="ListParagraph"/>
        <w:numPr>
          <w:ilvl w:val="0"/>
          <w:numId w:val="2"/>
        </w:numPr>
        <w:spacing w:before="60" w:after="60"/>
      </w:pPr>
      <w:r>
        <w:rPr>
          <w:rFonts w:ascii="Arial" w:cs="Arial" w:eastAsia="Arial" w:hAnsi="Arial"/>
          <w:color w:val="222222"/>
          <w:sz w:val="20"/>
          <w:szCs w:val="20"/>
        </w:rPr>
        <w:t xml:space="preserve">Las reglas de negocio para validación de datos estarán documentadas y entregadas antes del inicio de la Fase 2.</w:t>
      </w:r>
    </w:p>
    <w:p>
      <w:pPr>
        <w:pStyle w:val="ListParagraph"/>
        <w:numPr>
          <w:ilvl w:val="0"/>
          <w:numId w:val="2"/>
        </w:numPr>
        <w:spacing w:before="60" w:after="60"/>
      </w:pPr>
      <w:r>
        <w:rPr>
          <w:rFonts w:ascii="Arial" w:cs="Arial" w:eastAsia="Arial" w:hAnsi="Arial"/>
          <w:color w:val="222222"/>
          <w:sz w:val="20"/>
          <w:szCs w:val="20"/>
        </w:rPr>
        <w:t xml:space="preserve">No habrá cambios significativos en el alcance una vez iniciada la Fase 3 (integración).</w:t>
      </w:r>
    </w:p>
    <w:p>
      <w:pPr>
        <w:pStyle w:val="ListParagraph"/>
        <w:numPr>
          <w:ilvl w:val="0"/>
          <w:numId w:val="2"/>
        </w:numPr>
        <w:spacing w:before="60" w:after="60"/>
      </w:pPr>
      <w:r>
        <w:rPr>
          <w:rFonts w:ascii="Arial" w:cs="Arial" w:eastAsia="Arial" w:hAnsi="Arial"/>
          <w:color w:val="222222"/>
          <w:sz w:val="20"/>
          <w:szCs w:val="20"/>
        </w:rPr>
        <w:t xml:space="preserve">El cliente proporcionará acceso a los sistemas destino (ERP, CRM) en tiempo y forma para las pruebas de integración.</w:t>
      </w:r>
    </w:p>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8. Cronograma del Proyecto</w:t>
      </w:r>
    </w:p>
    <w:p>
      <w:pPr>
        <w:spacing w:before="80" w:after="80"/>
      </w:pPr>
      <w:r>
        <w:rPr>
          <w:rFonts w:ascii="Arial" w:cs="Arial" w:eastAsia="Arial" w:hAnsi="Arial"/>
          <w:b w:val="false"/>
          <w:bCs w:val="false"/>
          <w:i w:val="false"/>
          <w:iCs w:val="false"/>
          <w:color w:val="222222"/>
          <w:sz w:val="20"/>
          <w:szCs w:val="20"/>
        </w:rPr>
        <w:t xml:space="preserve">A continuación se presenta el plan de trabajo estimado. Las fechas son referenciales y se confirmarán en el kick-off del proyecto.</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280"/>
        <w:gridCol w:w="1280"/>
      </w:tblGrid>
      <w:tr>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Fase</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Inicio</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Fin</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Duración</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Semana</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Fase 1 — Arquitectura</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Semana 1</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Semana 2</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003E6B"/>
                <w:sz w:val="18"/>
                <w:szCs w:val="18"/>
              </w:rPr>
              <w:t xml:space="preserve">2 semanas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S1–S2</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Fase 2 — Desarrollo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Semana 3</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Semana 6</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3E6B"/>
                <w:sz w:val="18"/>
                <w:szCs w:val="18"/>
              </w:rPr>
              <w:t xml:space="preserve">4 semanas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S3–S6</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Fase 3 — Integración</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Semana 7</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Semana 9</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003E6B"/>
                <w:sz w:val="18"/>
                <w:szCs w:val="18"/>
              </w:rPr>
              <w:t xml:space="preserve">3 semanas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S7–S9</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Fase 4 — Pruebas y QA</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Semana 10</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Semana 11</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3E6B"/>
                <w:sz w:val="18"/>
                <w:szCs w:val="18"/>
              </w:rPr>
              <w:t xml:space="preserve">2 semanas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S10–S11</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Fase 5 — Despliegue</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Semana 12</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Semana 12</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003E6B"/>
                <w:sz w:val="18"/>
                <w:szCs w:val="18"/>
              </w:rPr>
              <w:t xml:space="preserve">1 semana</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S12</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Fase 6 — Soporte</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Semana 13</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Semana 16</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3E6B"/>
                <w:sz w:val="18"/>
                <w:szCs w:val="18"/>
              </w:rPr>
              <w:t xml:space="preserve">30 días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S13–S16</w:t>
            </w:r>
          </w:p>
        </w:tc>
      </w:tr>
    </w:tbl>
    <w:p>
      <w:pPr>
        <w:spacing w:before="80" w:after="0"/>
      </w:pPr>
      <w:r>
        <w:t xml:space="preserve"/>
      </w:r>
    </w:p>
    <w:p>
      <w:pPr>
        <w:spacing w:before="80" w:after="80"/>
      </w:pPr>
      <w:r>
        <w:rPr>
          <w:rFonts w:ascii="Arial" w:cs="Arial" w:eastAsia="Arial" w:hAnsi="Arial"/>
          <w:b/>
          <w:bCs/>
          <w:i w:val="false"/>
          <w:iCs w:val="false"/>
          <w:color w:val="222222"/>
          <w:sz w:val="20"/>
          <w:szCs w:val="20"/>
        </w:rPr>
        <w:t xml:space="preserve">Duración total estimada: 16 semanas (4 meses) desde la firma del contrato.</w:t>
      </w:r>
    </w:p>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9. Riesgos y Plan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Riesgo</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Probabilidad</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Impacto</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Plan de Mitigación</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8"/>
                <w:szCs w:val="18"/>
              </w:rPr>
              <w:t xml:space="preserve">Retraso en entrega de documentos muestra por parte del cliente</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center"/>
            </w:pPr>
            <w:r>
              <w:rPr>
                <w:rFonts w:ascii="Arial" w:cs="Arial" w:eastAsia="Arial" w:hAnsi="Arial"/>
                <w:b/>
                <w:bCs/>
                <w:color w:val="FF8C00"/>
                <w:sz w:val="18"/>
                <w:szCs w:val="18"/>
              </w:rPr>
              <w:t xml:space="preserve">Media</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center"/>
            </w:pPr>
            <w:r>
              <w:rPr>
                <w:rFonts w:ascii="Arial" w:cs="Arial" w:eastAsia="Arial" w:hAnsi="Arial"/>
                <w:b/>
                <w:bCs/>
                <w:color w:val="A4262C"/>
                <w:sz w:val="18"/>
                <w:szCs w:val="18"/>
              </w:rPr>
              <w:t xml:space="preserve">Alto</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444444"/>
                <w:sz w:val="18"/>
                <w:szCs w:val="18"/>
              </w:rPr>
              <w:t xml:space="preserve">Establecer entregables contractuales con fechas límite. Comenzar con documentos genéricos mientras se reciben los reales.</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Cambios de alcance durante el desarrollo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b/>
                <w:bCs/>
                <w:color w:val="FF8C00"/>
                <w:sz w:val="18"/>
                <w:szCs w:val="18"/>
              </w:rPr>
              <w:t xml:space="preserve">Media</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b/>
                <w:bCs/>
                <w:color w:val="A4262C"/>
                <w:sz w:val="18"/>
                <w:szCs w:val="18"/>
              </w:rPr>
              <w:t xml:space="preserve">Alto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Proceso formal de control de cambios. Todo cambio debe ser evaluado, presupuestado y firmado antes de implementarse.</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8"/>
                <w:szCs w:val="18"/>
              </w:rPr>
              <w:t xml:space="preserve">Acceso tardío o insuficiente a la suscripción Azure</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center"/>
            </w:pPr>
            <w:r>
              <w:rPr>
                <w:rFonts w:ascii="Arial" w:cs="Arial" w:eastAsia="Arial" w:hAnsi="Arial"/>
                <w:b/>
                <w:bCs/>
                <w:color w:val="107C10"/>
                <w:sz w:val="18"/>
                <w:szCs w:val="18"/>
              </w:rPr>
              <w:t xml:space="preserve">Baja</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center"/>
            </w:pPr>
            <w:r>
              <w:rPr>
                <w:rFonts w:ascii="Arial" w:cs="Arial" w:eastAsia="Arial" w:hAnsi="Arial"/>
                <w:b/>
                <w:bCs/>
                <w:color w:val="A4262C"/>
                <w:sz w:val="18"/>
                <w:szCs w:val="18"/>
              </w:rPr>
              <w:t xml:space="preserve">Alto</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444444"/>
                <w:sz w:val="18"/>
                <w:szCs w:val="18"/>
              </w:rPr>
              <w:t xml:space="preserve">Incluir requerimiento de acceso como condición previa al inicio. Involucrar al área de TI del cliente desde el kick-off.</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Baja precisión inicial en la extracción de documentos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b/>
                <w:bCs/>
                <w:color w:val="FF8C00"/>
                <w:sz w:val="18"/>
                <w:szCs w:val="18"/>
              </w:rPr>
              <w:t xml:space="preserve">Media</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b/>
                <w:bCs/>
                <w:color w:val="FF8C00"/>
                <w:sz w:val="18"/>
                <w:szCs w:val="18"/>
              </w:rPr>
              <w:t xml:space="preserve">Medio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Proceso de calibración iterativa con datos del cliente. SLA de precisión definido en criterios de aceptación.</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8"/>
                <w:szCs w:val="18"/>
              </w:rPr>
              <w:t xml:space="preserve">Cambios en precios o disponibilidad de servicios Azure</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center"/>
            </w:pPr>
            <w:r>
              <w:rPr>
                <w:rFonts w:ascii="Arial" w:cs="Arial" w:eastAsia="Arial" w:hAnsi="Arial"/>
                <w:b/>
                <w:bCs/>
                <w:color w:val="107C10"/>
                <w:sz w:val="18"/>
                <w:szCs w:val="18"/>
              </w:rPr>
              <w:t xml:space="preserve">Baja</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center"/>
            </w:pPr>
            <w:r>
              <w:rPr>
                <w:rFonts w:ascii="Arial" w:cs="Arial" w:eastAsia="Arial" w:hAnsi="Arial"/>
                <w:b/>
                <w:bCs/>
                <w:color w:val="107C10"/>
                <w:sz w:val="18"/>
                <w:szCs w:val="18"/>
              </w:rPr>
              <w:t xml:space="preserve">Bajo</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444444"/>
                <w:sz w:val="18"/>
                <w:szCs w:val="18"/>
              </w:rPr>
              <w:t xml:space="preserve">Los precios se establecen al inicio con presupuesto de contingencia del 15%. Alertas de billing configuradas.</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Rotación de personal clave en el proyecto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b/>
                <w:bCs/>
                <w:color w:val="107C10"/>
                <w:sz w:val="18"/>
                <w:szCs w:val="18"/>
              </w:rPr>
              <w:t xml:space="preserve">Baja</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b/>
                <w:bCs/>
                <w:color w:val="FF8C00"/>
                <w:sz w:val="18"/>
                <w:szCs w:val="18"/>
              </w:rPr>
              <w:t xml:space="preserve">Medio</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Documentación técnica continua. Sesiones de transferencia de conocimiento intermedias.</w:t>
            </w:r>
          </w:p>
        </w:tc>
      </w:tr>
    </w:tbl>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10. Estimación de Costos — Calculadora Azure</w:t>
      </w:r>
    </w:p>
    <w:p>
      <w:pPr>
        <w:spacing w:before="80" w:after="80"/>
      </w:pPr>
      <w:r>
        <w:rPr>
          <w:rFonts w:ascii="Arial" w:cs="Arial" w:eastAsia="Arial" w:hAnsi="Arial"/>
          <w:b w:val="false"/>
          <w:bCs w:val="false"/>
          <w:i w:val="false"/>
          <w:iCs w:val="false"/>
          <w:color w:val="222222"/>
          <w:sz w:val="20"/>
          <w:szCs w:val="20"/>
        </w:rPr>
        <w:t xml:space="preserve">Los costos a continuación son estimaciones mensuales en producción basadas en los precios públicos de Microsoft Azure (región East US). Los costos de implementación son por única vez. Se recomienda usar la Azure Pricing Calculator para ajustar según el volumen real del cliente.</w:t>
      </w:r>
    </w:p>
    <w:p>
      <w:pPr>
        <w:spacing w:before="100" w:after="0"/>
      </w:pPr>
      <w:r>
        <w:t xml:space="preserve"/>
      </w:r>
    </w:p>
    <w:p>
      <w:pPr>
        <w:pStyle w:val="Heading2"/>
        <w:spacing w:before="280" w:after="120"/>
      </w:pPr>
      <w:r>
        <w:rPr>
          <w:rFonts w:ascii="Arial" w:cs="Arial" w:eastAsia="Arial" w:hAnsi="Arial"/>
          <w:b/>
          <w:bCs/>
          <w:color w:val="0078D4"/>
          <w:sz w:val="24"/>
          <w:szCs w:val="24"/>
        </w:rPr>
        <w:t xml:space="preserve">10.1 Costos de Infraestructura Azure (Mensual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80"/>
        <w:gridCol w:w="1880"/>
      </w:tblGrid>
      <w:tr>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Servicio Azure</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Descripción / Tier</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pPr>
              <w:jc w:val="right"/>
            </w:pPr>
            <w:r>
              <w:rPr>
                <w:rFonts w:ascii="Arial" w:cs="Arial" w:eastAsia="Arial" w:hAnsi="Arial"/>
                <w:b/>
                <w:bCs/>
                <w:color w:val="FFFFFF"/>
                <w:sz w:val="19"/>
                <w:szCs w:val="19"/>
              </w:rPr>
              <w:t xml:space="preserve">Costo Estimado</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19"/>
                <w:szCs w:val="19"/>
              </w:rPr>
              <w:t xml:space="preserve">Notas</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Azure AI Foundry</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Standard — Hub + Project</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$50 – $150 USD/mes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666666"/>
                <w:sz w:val="16"/>
                <w:szCs w:val="16"/>
              </w:rPr>
              <w:t xml:space="preserve">Base por proyecto</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Azure Document Intelligence</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S0 — 10,000 pág/mes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$150 – $300 USD/mes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666666"/>
                <w:sz w:val="16"/>
                <w:szCs w:val="16"/>
              </w:rPr>
              <w:t xml:space="preserve">$0.015 por página</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Azure OpenAI (GPT-4o)</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Pay-as-you-go — 10M tokens/mes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$300 – $600 USD/mes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666666"/>
                <w:sz w:val="16"/>
                <w:szCs w:val="16"/>
              </w:rPr>
              <w:t xml:space="preserve">Input: $5/1M, Output: $15/1M tok</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Azure AI Search</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Standard S1 — 1 unidad</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$245 USD/mes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666666"/>
                <w:sz w:val="16"/>
                <w:szCs w:val="16"/>
              </w:rPr>
              <w:t xml:space="preserve">Búsqueda vectorial incluida</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Azure Blob Storage</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LRS — 1 TB/mes + operaciones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$25 – $50 USD/mes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666666"/>
                <w:sz w:val="16"/>
                <w:szCs w:val="16"/>
              </w:rPr>
              <w:t xml:space="preserve">Tier Hot para activos</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Azure Cosmos DB</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Serverless — 5M RU/mes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$50 – $120 USD/mes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666666"/>
                <w:sz w:val="16"/>
                <w:szCs w:val="16"/>
              </w:rPr>
              <w:t xml:space="preserve">Para metadatos y estados</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Azure API Management</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Developer / Basic tier</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$50 – $200 USD/mes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666666"/>
                <w:sz w:val="16"/>
                <w:szCs w:val="16"/>
              </w:rPr>
              <w:t xml:space="preserve">Basic recomendado para prod.</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Azure Logic Apps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Consumption — 10K ejecuciones/mes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$20 – $60 USD/mes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666666"/>
                <w:sz w:val="16"/>
                <w:szCs w:val="16"/>
              </w:rPr>
              <w:t xml:space="preserve">$0.000025 por acción</w:t>
            </w:r>
          </w:p>
        </w:tc>
      </w:tr>
      <w:tr>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b/>
                <w:bCs/>
                <w:color w:val="106EBE"/>
                <w:sz w:val="18"/>
                <w:szCs w:val="18"/>
              </w:rPr>
              <w:t xml:space="preserve">Azure Monitor / App Insights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color w:val="333333"/>
                <w:sz w:val="18"/>
                <w:szCs w:val="18"/>
              </w:rPr>
              <w:t xml:space="preserve">5 GB de logs/mes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$20 – $40 USD/mes</w:t>
            </w:r>
          </w:p>
        </w:tc>
        <w:tc>
          <w:tcPr>
            <w:tcBorders>
              <w:top w:val="single" w:color="D0D0D0" w:sz="1"/>
              <w:left w:val="single" w:color="D0D0D0" w:sz="1"/>
              <w:bottom w:val="single" w:color="D0D0D0" w:sz="1"/>
              <w:right w:val="single" w:color="D0D0D0" w:sz="1"/>
            </w:tcBorders>
            <w:shd w:fill="DEECF9" w:val="clear"/>
            <w:tcMar>
              <w:top w:type="dxa" w:w="80"/>
              <w:left w:type="dxa" w:w="140"/>
              <w:bottom w:type="dxa" w:w="80"/>
              <w:right w:type="dxa" w:w="140"/>
            </w:tcMar>
          </w:tcPr>
          <w:p>
            <w:r>
              <w:rPr>
                <w:rFonts w:ascii="Arial" w:cs="Arial" w:eastAsia="Arial" w:hAnsi="Arial"/>
                <w:i/>
                <w:iCs/>
                <w:color w:val="666666"/>
                <w:sz w:val="16"/>
                <w:szCs w:val="16"/>
              </w:rPr>
              <w:t xml:space="preserve">Primeros 5 GB gratis</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106EBE"/>
                <w:sz w:val="18"/>
                <w:szCs w:val="18"/>
              </w:rPr>
              <w:t xml:space="preserve">Azure Key Vault</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Standard — 10K operaciones/mes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$5 – $15 USD/mes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i/>
                <w:iCs/>
                <w:color w:val="666666"/>
                <w:sz w:val="16"/>
                <w:szCs w:val="16"/>
              </w:rPr>
              <w:t xml:space="preserve">Bajo costo, alto valor</w:t>
            </w:r>
          </w:p>
        </w:tc>
      </w:tr>
      <w:tr>
        <w:tc>
          <w:tcPr>
            <w:gridSpan w:val="2"/>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20"/>
                <w:szCs w:val="20"/>
              </w:rPr>
              <w:t xml:space="preserve">TOTAL ESTIMADO MENSUAL (infraestructura)</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pPr>
              <w:jc w:val="right"/>
            </w:pPr>
            <w:r>
              <w:rPr>
                <w:rFonts w:ascii="Arial" w:cs="Arial" w:eastAsia="Arial" w:hAnsi="Arial"/>
                <w:b/>
                <w:bCs/>
                <w:color w:val="7FC3F5"/>
                <w:sz w:val="20"/>
                <w:szCs w:val="20"/>
              </w:rPr>
              <w:t xml:space="preserve">$915 – $1,535 USD</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color w:val="AAAAAA"/>
                <w:sz w:val="18"/>
                <w:szCs w:val="18"/>
              </w:rPr>
              <w:t xml:space="preserve">Varía por volumen</w:t>
            </w:r>
          </w:p>
        </w:tc>
      </w:tr>
    </w:tbl>
    <w:p>
      <w:pPr>
        <w:spacing w:before="100" w:after="0"/>
      </w:pPr>
      <w:r>
        <w:t xml:space="preserve"/>
      </w:r>
    </w:p>
    <w:p>
      <w:pPr>
        <w:pStyle w:val="Heading2"/>
        <w:spacing w:before="280" w:after="120"/>
      </w:pPr>
      <w:r>
        <w:rPr>
          <w:rFonts w:ascii="Arial" w:cs="Arial" w:eastAsia="Arial" w:hAnsi="Arial"/>
          <w:b/>
          <w:bCs/>
          <w:color w:val="0078D4"/>
          <w:sz w:val="24"/>
          <w:szCs w:val="24"/>
        </w:rPr>
        <w:t xml:space="preserve">10.2 Costos de Implementación (Única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Borders>
              <w:top w:val="single" w:color="D0D0D0" w:sz="1"/>
              <w:left w:val="single" w:color="D0D0D0" w:sz="1"/>
              <w:bottom w:val="single" w:color="D0D0D0" w:sz="1"/>
              <w:right w:val="single" w:color="D0D0D0" w:sz="1"/>
            </w:tcBorders>
            <w:shd w:fill="106EBE" w:val="clear"/>
            <w:tcMar>
              <w:top w:type="dxa" w:w="100"/>
              <w:left w:type="dxa" w:w="140"/>
              <w:bottom w:type="dxa" w:w="100"/>
              <w:right w:type="dxa" w:w="140"/>
            </w:tcMar>
          </w:tcPr>
          <w:p>
            <w:r>
              <w:rPr>
                <w:rFonts w:ascii="Arial" w:cs="Arial" w:eastAsia="Arial" w:hAnsi="Arial"/>
                <w:b/>
                <w:bCs/>
                <w:color w:val="FFFFFF"/>
                <w:sz w:val="19"/>
                <w:szCs w:val="19"/>
              </w:rPr>
              <w:t xml:space="preserve">Concepto</w:t>
            </w:r>
          </w:p>
        </w:tc>
        <w:tc>
          <w:tcPr>
            <w:tcBorders>
              <w:top w:val="single" w:color="D0D0D0" w:sz="1"/>
              <w:left w:val="single" w:color="D0D0D0" w:sz="1"/>
              <w:bottom w:val="single" w:color="D0D0D0" w:sz="1"/>
              <w:right w:val="single" w:color="D0D0D0" w:sz="1"/>
            </w:tcBorders>
            <w:shd w:fill="106EBE" w:val="clear"/>
            <w:tcMar>
              <w:top w:type="dxa" w:w="100"/>
              <w:left w:type="dxa" w:w="140"/>
              <w:bottom w:type="dxa" w:w="100"/>
              <w:right w:type="dxa" w:w="140"/>
            </w:tcMar>
          </w:tcPr>
          <w:p>
            <w:pPr>
              <w:jc w:val="right"/>
            </w:pPr>
            <w:r>
              <w:rPr>
                <w:rFonts w:ascii="Arial" w:cs="Arial" w:eastAsia="Arial" w:hAnsi="Arial"/>
                <w:b/>
                <w:bCs/>
                <w:color w:val="FFFFFF"/>
                <w:sz w:val="19"/>
                <w:szCs w:val="19"/>
              </w:rPr>
              <w:t xml:space="preserve">Horas Est.</w:t>
            </w:r>
          </w:p>
        </w:tc>
        <w:tc>
          <w:tcPr>
            <w:tcBorders>
              <w:top w:val="single" w:color="D0D0D0" w:sz="1"/>
              <w:left w:val="single" w:color="D0D0D0" w:sz="1"/>
              <w:bottom w:val="single" w:color="D0D0D0" w:sz="1"/>
              <w:right w:val="single" w:color="D0D0D0" w:sz="1"/>
            </w:tcBorders>
            <w:shd w:fill="106EBE" w:val="clear"/>
            <w:tcMar>
              <w:top w:type="dxa" w:w="100"/>
              <w:left w:type="dxa" w:w="140"/>
              <w:bottom w:type="dxa" w:w="100"/>
              <w:right w:type="dxa" w:w="140"/>
            </w:tcMar>
          </w:tcPr>
          <w:p>
            <w:pPr>
              <w:jc w:val="right"/>
            </w:pPr>
            <w:r>
              <w:rPr>
                <w:rFonts w:ascii="Arial" w:cs="Arial" w:eastAsia="Arial" w:hAnsi="Arial"/>
                <w:b/>
                <w:bCs/>
                <w:color w:val="FFFFFF"/>
                <w:sz w:val="19"/>
                <w:szCs w:val="19"/>
              </w:rPr>
              <w:t xml:space="preserve">Costo (USD)</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8"/>
                <w:szCs w:val="18"/>
              </w:rPr>
              <w:t xml:space="preserve">Arquitectura y diseño de solución</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color w:val="666666"/>
                <w:sz w:val="18"/>
                <w:szCs w:val="18"/>
              </w:rPr>
              <w:t xml:space="preserve">40 hrs</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$4,000</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Configuración de infraestructura Azure</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color w:val="666666"/>
                <w:sz w:val="18"/>
                <w:szCs w:val="18"/>
              </w:rPr>
              <w:t xml:space="preserve">60 hrs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$6,000</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8"/>
                <w:szCs w:val="18"/>
              </w:rPr>
              <w:t xml:space="preserve">Desarrollo de pipelines y modelos AI</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color w:val="666666"/>
                <w:sz w:val="18"/>
                <w:szCs w:val="18"/>
              </w:rPr>
              <w:t xml:space="preserve">120 hrs</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$12,000</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Integración con sistemas del cliente</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color w:val="666666"/>
                <w:sz w:val="18"/>
                <w:szCs w:val="18"/>
              </w:rPr>
              <w:t xml:space="preserve">80 hrs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$8,000</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8"/>
                <w:szCs w:val="18"/>
              </w:rPr>
              <w:t xml:space="preserve">Pruebas, QA y ajuste de modelos</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color w:val="666666"/>
                <w:sz w:val="18"/>
                <w:szCs w:val="18"/>
              </w:rPr>
              <w:t xml:space="preserve">60 hrs</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$6,000</w:t>
            </w:r>
          </w:p>
        </w:tc>
      </w:tr>
      <w:tr>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Despliegue y capacitación</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color w:val="666666"/>
                <w:sz w:val="18"/>
                <w:szCs w:val="18"/>
              </w:rPr>
              <w:t xml:space="preserve">40 hrs</w:t>
            </w:r>
          </w:p>
        </w:tc>
        <w:tc>
          <w:tcPr>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$4,000</w:t>
            </w:r>
          </w:p>
        </w:tc>
      </w:tr>
      <w:tr>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r>
              <w:rPr>
                <w:rFonts w:ascii="Arial" w:cs="Arial" w:eastAsia="Arial" w:hAnsi="Arial"/>
                <w:color w:val="333333"/>
                <w:sz w:val="18"/>
                <w:szCs w:val="18"/>
              </w:rPr>
              <w:t xml:space="preserve">Soporte post-implementación (30 días)</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color w:val="666666"/>
                <w:sz w:val="18"/>
                <w:szCs w:val="18"/>
              </w:rPr>
              <w:t xml:space="preserve">20 hrs</w:t>
            </w:r>
          </w:p>
        </w:tc>
        <w:tc>
          <w:tcPr>
            <w:tcBorders>
              <w:top w:val="single" w:color="D0D0D0" w:sz="1"/>
              <w:left w:val="single" w:color="D0D0D0" w:sz="1"/>
              <w:bottom w:val="single" w:color="D0D0D0" w:sz="1"/>
              <w:right w:val="single" w:color="D0D0D0" w:sz="1"/>
            </w:tcBorders>
            <w:shd w:fill="F3F3F3" w:val="clear"/>
            <w:tcMar>
              <w:top w:type="dxa" w:w="80"/>
              <w:left w:type="dxa" w:w="140"/>
              <w:bottom w:type="dxa" w:w="80"/>
              <w:right w:type="dxa" w:w="140"/>
            </w:tcMar>
          </w:tcPr>
          <w:p>
            <w:pPr>
              <w:jc w:val="right"/>
            </w:pPr>
            <w:r>
              <w:rPr>
                <w:rFonts w:ascii="Arial" w:cs="Arial" w:eastAsia="Arial" w:hAnsi="Arial"/>
                <w:b/>
                <w:bCs/>
                <w:color w:val="003E6B"/>
                <w:sz w:val="18"/>
                <w:szCs w:val="18"/>
              </w:rPr>
              <w:t xml:space="preserve">$2,000</w:t>
            </w:r>
          </w:p>
        </w:tc>
      </w:tr>
      <w:tr>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r>
              <w:rPr>
                <w:rFonts w:ascii="Arial" w:cs="Arial" w:eastAsia="Arial" w:hAnsi="Arial"/>
                <w:b/>
                <w:bCs/>
                <w:color w:val="FFFFFF"/>
                <w:sz w:val="20"/>
                <w:szCs w:val="20"/>
              </w:rPr>
              <w:t xml:space="preserve">TOTAL IMPLEMENTACIÓN</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pPr>
              <w:jc w:val="right"/>
            </w:pPr>
            <w:r>
              <w:rPr>
                <w:rFonts w:ascii="Arial" w:cs="Arial" w:eastAsia="Arial" w:hAnsi="Arial"/>
                <w:b/>
                <w:bCs/>
                <w:color w:val="7FC3F5"/>
                <w:sz w:val="20"/>
                <w:szCs w:val="20"/>
              </w:rPr>
              <w:t xml:space="preserve">420 hrs</w:t>
            </w:r>
          </w:p>
        </w:tc>
        <w:tc>
          <w:tcPr>
            <w:tcBorders>
              <w:top w:val="single" w:color="D0D0D0" w:sz="1"/>
              <w:left w:val="single" w:color="D0D0D0" w:sz="1"/>
              <w:bottom w:val="single" w:color="D0D0D0" w:sz="1"/>
              <w:right w:val="single" w:color="D0D0D0" w:sz="1"/>
            </w:tcBorders>
            <w:shd w:fill="003E6B" w:val="clear"/>
            <w:tcMar>
              <w:top w:type="dxa" w:w="100"/>
              <w:left w:type="dxa" w:w="140"/>
              <w:bottom w:type="dxa" w:w="100"/>
              <w:right w:type="dxa" w:w="140"/>
            </w:tcMar>
          </w:tcPr>
          <w:p>
            <w:pPr>
              <w:jc w:val="right"/>
            </w:pPr>
            <w:r>
              <w:rPr>
                <w:rFonts w:ascii="Arial" w:cs="Arial" w:eastAsia="Arial" w:hAnsi="Arial"/>
                <w:b/>
                <w:bCs/>
                <w:color w:val="7FC3F5"/>
                <w:sz w:val="20"/>
                <w:szCs w:val="20"/>
              </w:rPr>
              <w:t xml:space="preserve">$42,000 USD</w:t>
            </w:r>
          </w:p>
        </w:tc>
      </w:tr>
    </w:tbl>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9E6" w:val="clear"/>
            <w:tcMar>
              <w:top w:type="dxa" w:w="140"/>
              <w:left w:type="dxa" w:w="200"/>
              <w:bottom w:type="dxa" w:w="140"/>
              <w:right w:type="dxa" w:w="200"/>
            </w:tcMar>
          </w:tcPr>
          <w:p>
            <w:pPr>
              <w:spacing w:before="0" w:after="60"/>
            </w:pPr>
            <w:r>
              <w:rPr>
                <w:rFonts w:ascii="Arial" w:cs="Arial" w:eastAsia="Arial" w:hAnsi="Arial"/>
                <w:b/>
                <w:bCs/>
                <w:color w:val="7A4F00"/>
                <w:sz w:val="20"/>
                <w:szCs w:val="20"/>
              </w:rPr>
              <w:t xml:space="preserve">💡  Nota sobre precios</w:t>
            </w:r>
          </w:p>
          <w:p>
            <w:pPr>
              <w:spacing w:before="0" w:after="0"/>
            </w:pPr>
            <w:r>
              <w:rPr>
                <w:rFonts w:ascii="Arial" w:cs="Arial" w:eastAsia="Arial" w:hAnsi="Arial"/>
                <w:color w:val="333333"/>
                <w:sz w:val="20"/>
                <w:szCs w:val="20"/>
              </w:rPr>
              <w:t xml:space="preserve">Las tarifas de infraestructura Azure son aproximadas y pueden variar. Se recomienda validar en https://azure.microsoft.com/en-us/pricing/calculator/ con los parámetros exactos del cliente. Los costos de implementación no incluyen IVA. Se puede aplicar un 15% de contingencia sobre el total.</w:t>
            </w:r>
          </w:p>
        </w:tc>
      </w:tr>
    </w:tbl>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11. Términos y Condiciones Generales</w:t>
      </w:r>
    </w:p>
    <w:p>
      <w:pPr>
        <w:pStyle w:val="ListParagraph"/>
        <w:numPr>
          <w:ilvl w:val="0"/>
          <w:numId w:val="2"/>
        </w:numPr>
        <w:spacing w:before="60" w:after="60"/>
      </w:pPr>
      <w:r>
        <w:rPr>
          <w:rFonts w:ascii="Arial" w:cs="Arial" w:eastAsia="Arial" w:hAnsi="Arial"/>
          <w:color w:val="222222"/>
          <w:sz w:val="20"/>
          <w:szCs w:val="20"/>
        </w:rPr>
        <w:t xml:space="preserve">La propuesta tiene una vigencia de 30 días calendario a partir de la fecha de emisión.</w:t>
      </w:r>
    </w:p>
    <w:p>
      <w:pPr>
        <w:pStyle w:val="ListParagraph"/>
        <w:numPr>
          <w:ilvl w:val="0"/>
          <w:numId w:val="2"/>
        </w:numPr>
        <w:spacing w:before="60" w:after="60"/>
      </w:pPr>
      <w:r>
        <w:rPr>
          <w:rFonts w:ascii="Arial" w:cs="Arial" w:eastAsia="Arial" w:hAnsi="Arial"/>
          <w:color w:val="222222"/>
          <w:sz w:val="20"/>
          <w:szCs w:val="20"/>
        </w:rPr>
        <w:t xml:space="preserve">Los precios están expresados en dólares americanos (USD) más impuestos aplicables.</w:t>
      </w:r>
    </w:p>
    <w:p>
      <w:pPr>
        <w:pStyle w:val="ListParagraph"/>
        <w:numPr>
          <w:ilvl w:val="0"/>
          <w:numId w:val="2"/>
        </w:numPr>
        <w:spacing w:before="60" w:after="60"/>
      </w:pPr>
      <w:r>
        <w:rPr>
          <w:rFonts w:ascii="Arial" w:cs="Arial" w:eastAsia="Arial" w:hAnsi="Arial"/>
          <w:color w:val="222222"/>
          <w:sz w:val="20"/>
          <w:szCs w:val="20"/>
        </w:rPr>
        <w:t xml:space="preserve">El inicio del proyecto queda sujeto a la firma del contrato de servicios y el pago del 40% como anticipo.</w:t>
      </w:r>
    </w:p>
    <w:p>
      <w:pPr>
        <w:pStyle w:val="ListParagraph"/>
        <w:numPr>
          <w:ilvl w:val="0"/>
          <w:numId w:val="2"/>
        </w:numPr>
        <w:spacing w:before="60" w:after="60"/>
      </w:pPr>
      <w:r>
        <w:rPr>
          <w:rFonts w:ascii="Arial" w:cs="Arial" w:eastAsia="Arial" w:hAnsi="Arial"/>
          <w:color w:val="222222"/>
          <w:sz w:val="20"/>
          <w:szCs w:val="20"/>
        </w:rPr>
        <w:t xml:space="preserve">Los pagos se realizarán por hitos: 40% anticipo, 30% al completar Fase 3, 30% al go-live.</w:t>
      </w:r>
    </w:p>
    <w:p>
      <w:pPr>
        <w:pStyle w:val="ListParagraph"/>
        <w:numPr>
          <w:ilvl w:val="0"/>
          <w:numId w:val="2"/>
        </w:numPr>
        <w:spacing w:before="60" w:after="60"/>
      </w:pPr>
      <w:r>
        <w:rPr>
          <w:rFonts w:ascii="Arial" w:cs="Arial" w:eastAsia="Arial" w:hAnsi="Arial"/>
          <w:color w:val="222222"/>
          <w:sz w:val="20"/>
          <w:szCs w:val="20"/>
        </w:rPr>
        <w:t xml:space="preserve">Cualquier trabajo fuera del alcance definido será cotizado por separado mediante Change Request formal.</w:t>
      </w:r>
    </w:p>
    <w:p>
      <w:pPr>
        <w:pStyle w:val="ListParagraph"/>
        <w:numPr>
          <w:ilvl w:val="0"/>
          <w:numId w:val="2"/>
        </w:numPr>
        <w:spacing w:before="60" w:after="60"/>
      </w:pPr>
      <w:r>
        <w:rPr>
          <w:rFonts w:ascii="Arial" w:cs="Arial" w:eastAsia="Arial" w:hAnsi="Arial"/>
          <w:color w:val="222222"/>
          <w:sz w:val="20"/>
          <w:szCs w:val="20"/>
        </w:rPr>
        <w:t xml:space="preserve">La propiedad intelectual del código y configuraciones desarrolladas será transferida al cliente al término del proyecto previo pago total.</w:t>
      </w:r>
    </w:p>
    <w:p>
      <w:pPr>
        <w:spacing w:before="120" w:after="0"/>
      </w:pPr>
      <w:r>
        <w:t xml:space="preserve"/>
      </w:r>
    </w:p>
    <w:p>
      <w:pPr>
        <w:pStyle w:val="Heading1"/>
        <w:pBdr>
          <w:bottom w:val="single" w:color="0078D4" w:sz="6" w:space="6"/>
        </w:pBdr>
        <w:spacing w:before="360" w:after="160"/>
      </w:pPr>
      <w:r>
        <w:rPr>
          <w:rFonts w:ascii="Arial" w:cs="Arial" w:eastAsia="Arial" w:hAnsi="Arial"/>
          <w:b/>
          <w:bCs/>
          <w:color w:val="003E6B"/>
          <w:sz w:val="28"/>
          <w:szCs w:val="28"/>
        </w:rPr>
        <w:t xml:space="preserve">12. Próximos Pasos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EECF9" w:val="clear"/>
            <w:tcMar>
              <w:top w:type="dxa" w:w="140"/>
              <w:left w:type="dxa" w:w="200"/>
              <w:bottom w:type="dxa" w:w="140"/>
              <w:right w:type="dxa" w:w="200"/>
            </w:tcMar>
          </w:tcPr>
          <w:p>
            <w:pPr>
              <w:spacing w:before="0" w:after="60"/>
            </w:pPr>
            <w:r>
              <w:rPr>
                <w:rFonts w:ascii="Arial" w:cs="Arial" w:eastAsia="Arial" w:hAnsi="Arial"/>
                <w:b/>
                <w:bCs/>
                <w:color w:val="003E6B"/>
                <w:sz w:val="20"/>
                <w:szCs w:val="20"/>
              </w:rPr>
              <w:t xml:space="preserve">¿Cómo proceder?</w:t>
            </w:r>
          </w:p>
          <w:p>
            <w:pPr>
              <w:spacing w:before="0" w:after="0"/>
            </w:pPr>
            <w:r>
              <w:rPr>
                <w:rFonts w:ascii="Arial" w:cs="Arial" w:eastAsia="Arial" w:hAnsi="Arial"/>
                <w:color w:val="333333"/>
                <w:sz w:val="20"/>
                <w:szCs w:val="20"/>
              </w:rPr>
              <w:t xml:space="preserve">Para avanzar con esta propuesta, favor de seguir los pasos indicados a continuación.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D0D0D0" w:sz="1"/>
              <w:left w:val="single" w:color="D0D0D0" w:sz="1"/>
              <w:bottom w:val="single" w:color="D0D0D0" w:sz="1"/>
              <w:right w:val="single" w:color="D0D0D0" w:sz="1"/>
            </w:tcBorders>
            <w:shd w:fill="0078D4"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Borders>
              <w:top w:val="single" w:color="D0D0D0" w:sz="1"/>
              <w:left w:val="single" w:color="D0D0D0" w:sz="1"/>
              <w:bottom w:val="single" w:color="D0D0D0" w:sz="1"/>
              <w:right w:val="single" w:color="D0D0D0" w:sz="1"/>
            </w:tcBorders>
            <w:shd w:fill="DEECF9" w:val="clear"/>
            <w:tcMar>
              <w:top w:type="dxa" w:w="100"/>
              <w:left w:type="dxa" w:w="200"/>
              <w:bottom w:type="dxa" w:w="100"/>
              <w:right w:type="dxa" w:w="140"/>
            </w:tcMar>
          </w:tcPr>
          <w:p>
            <w:r>
              <w:rPr>
                <w:rFonts w:ascii="Arial" w:cs="Arial" w:eastAsia="Arial" w:hAnsi="Arial"/>
                <w:color w:val="222222"/>
                <w:sz w:val="20"/>
                <w:szCs w:val="20"/>
              </w:rPr>
              <w:t xml:space="preserve">Revisión interna de la propuesta por parte del cliente y retroalimentación.</w:t>
            </w:r>
          </w:p>
        </w:tc>
      </w:tr>
      <w:tr>
        <w:tc>
          <w:tcPr>
            <w:tcBorders>
              <w:top w:val="single" w:color="D0D0D0" w:sz="1"/>
              <w:left w:val="single" w:color="D0D0D0" w:sz="1"/>
              <w:bottom w:val="single" w:color="D0D0D0" w:sz="1"/>
              <w:right w:val="single" w:color="D0D0D0" w:sz="1"/>
            </w:tcBorders>
            <w:shd w:fill="0078D4"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40"/>
            </w:tcMar>
          </w:tcPr>
          <w:p>
            <w:r>
              <w:rPr>
                <w:rFonts w:ascii="Arial" w:cs="Arial" w:eastAsia="Arial" w:hAnsi="Arial"/>
                <w:color w:val="222222"/>
                <w:sz w:val="20"/>
                <w:szCs w:val="20"/>
              </w:rPr>
              <w:t xml:space="preserve">Sesión de Q&amp;A técnica y comercial (30 min — virtual o presencial).</w:t>
            </w:r>
          </w:p>
        </w:tc>
      </w:tr>
      <w:tr>
        <w:tc>
          <w:tcPr>
            <w:tcBorders>
              <w:top w:val="single" w:color="D0D0D0" w:sz="1"/>
              <w:left w:val="single" w:color="D0D0D0" w:sz="1"/>
              <w:bottom w:val="single" w:color="D0D0D0" w:sz="1"/>
              <w:right w:val="single" w:color="D0D0D0" w:sz="1"/>
            </w:tcBorders>
            <w:shd w:fill="0078D4"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Borders>
              <w:top w:val="single" w:color="D0D0D0" w:sz="1"/>
              <w:left w:val="single" w:color="D0D0D0" w:sz="1"/>
              <w:bottom w:val="single" w:color="D0D0D0" w:sz="1"/>
              <w:right w:val="single" w:color="D0D0D0" w:sz="1"/>
            </w:tcBorders>
            <w:shd w:fill="DEECF9" w:val="clear"/>
            <w:tcMar>
              <w:top w:type="dxa" w:w="100"/>
              <w:left w:type="dxa" w:w="200"/>
              <w:bottom w:type="dxa" w:w="100"/>
              <w:right w:type="dxa" w:w="140"/>
            </w:tcMar>
          </w:tcPr>
          <w:p>
            <w:r>
              <w:rPr>
                <w:rFonts w:ascii="Arial" w:cs="Arial" w:eastAsia="Arial" w:hAnsi="Arial"/>
                <w:color w:val="222222"/>
                <w:sz w:val="20"/>
                <w:szCs w:val="20"/>
              </w:rPr>
              <w:t xml:space="preserve">Ajuste de alcance o términos si aplica.</w:t>
            </w:r>
          </w:p>
        </w:tc>
      </w:tr>
      <w:tr>
        <w:tc>
          <w:tcPr>
            <w:tcBorders>
              <w:top w:val="single" w:color="D0D0D0" w:sz="1"/>
              <w:left w:val="single" w:color="D0D0D0" w:sz="1"/>
              <w:bottom w:val="single" w:color="D0D0D0" w:sz="1"/>
              <w:right w:val="single" w:color="D0D0D0" w:sz="1"/>
            </w:tcBorders>
            <w:shd w:fill="0078D4"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40"/>
            </w:tcMar>
          </w:tcPr>
          <w:p>
            <w:r>
              <w:rPr>
                <w:rFonts w:ascii="Arial" w:cs="Arial" w:eastAsia="Arial" w:hAnsi="Arial"/>
                <w:color w:val="222222"/>
                <w:sz w:val="20"/>
                <w:szCs w:val="20"/>
              </w:rPr>
              <w:t xml:space="preserve">Firma de contrato y pago de anticipo.</w:t>
            </w:r>
          </w:p>
        </w:tc>
      </w:tr>
      <w:tr>
        <w:tc>
          <w:tcPr>
            <w:tcBorders>
              <w:top w:val="single" w:color="D0D0D0" w:sz="1"/>
              <w:left w:val="single" w:color="D0D0D0" w:sz="1"/>
              <w:bottom w:val="single" w:color="D0D0D0" w:sz="1"/>
              <w:right w:val="single" w:color="D0D0D0" w:sz="1"/>
            </w:tcBorders>
            <w:shd w:fill="0078D4"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Borders>
              <w:top w:val="single" w:color="D0D0D0" w:sz="1"/>
              <w:left w:val="single" w:color="D0D0D0" w:sz="1"/>
              <w:bottom w:val="single" w:color="D0D0D0" w:sz="1"/>
              <w:right w:val="single" w:color="D0D0D0" w:sz="1"/>
            </w:tcBorders>
            <w:shd w:fill="DEECF9" w:val="clear"/>
            <w:tcMar>
              <w:top w:type="dxa" w:w="100"/>
              <w:left w:type="dxa" w:w="200"/>
              <w:bottom w:type="dxa" w:w="100"/>
              <w:right w:type="dxa" w:w="140"/>
            </w:tcMar>
          </w:tcPr>
          <w:p>
            <w:r>
              <w:rPr>
                <w:rFonts w:ascii="Arial" w:cs="Arial" w:eastAsia="Arial" w:hAnsi="Arial"/>
                <w:color w:val="222222"/>
                <w:sz w:val="20"/>
                <w:szCs w:val="20"/>
              </w:rPr>
              <w:t xml:space="preserve">Kick-off oficial del proyecto y asignación de equipo.</w:t>
            </w:r>
          </w:p>
        </w:tc>
      </w:tr>
    </w:tbl>
    <w:p>
      <w:pPr>
        <w:spacing w:before="200" w:after="0"/>
      </w:pPr>
      <w:r>
        <w:t xml:space="preserve"/>
      </w:r>
    </w:p>
    <w:p>
      <w:pPr>
        <w:spacing w:before="240" w:after="80"/>
        <w:jc w:val="center"/>
      </w:pPr>
      <w:r>
        <w:rPr>
          <w:rFonts w:ascii="Arial" w:cs="Arial" w:eastAsia="Arial" w:hAnsi="Arial"/>
          <w:i/>
          <w:iCs/>
          <w:color w:val="106EBE"/>
          <w:sz w:val="22"/>
          <w:szCs w:val="22"/>
        </w:rPr>
        <w:t xml:space="preserve">Agradecemos su confianza y quedamos a sus órdenes para cualquier consulta.</w:t>
      </w:r>
    </w:p>
    <w:p>
      <w:pPr>
        <w:spacing w:before="0" w:after="0"/>
        <w:jc w:val="center"/>
      </w:pPr>
      <w:r>
        <w:rPr>
          <w:rFonts w:ascii="Arial" w:cs="Arial" w:eastAsia="Arial" w:hAnsi="Arial"/>
          <w:color w:val="666666"/>
          <w:sz w:val="20"/>
          <w:szCs w:val="20"/>
        </w:rPr>
        <w:t xml:space="preserve">[Tu Empresa]  —  [contacto@empresa.com]  —  [+52 55 0000-0000]</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026"/>
      </w:tabs>
      <w:spacing w:before="120" w:after="0"/>
    </w:pPr>
    <w:r>
      <w:rPr>
        <w:rFonts w:ascii="Arial" w:cs="Arial" w:eastAsia="Arial" w:hAnsi="Arial"/>
        <w:color w:val="666666"/>
        <w:sz w:val="16"/>
        <w:szCs w:val="16"/>
      </w:rPr>
      <w:t xml:space="preserve">Confidencial — [Tu Empresa]</w:t>
    </w:r>
    <w:r>
      <w:rPr>
        <w:rFonts w:ascii="Arial" w:cs="Arial" w:eastAsia="Arial" w:hAnsi="Arial"/>
        <w:color w:val="666666"/>
        <w:sz w:val="16"/>
        <w:szCs w:val="16"/>
      </w:rPr>
      <w:t xml:space="preserve">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spacing w:before="0" w:after="120"/>
    </w:pPr>
    <w:r>
      <w:rPr>
        <w:rFonts w:ascii="Arial" w:cs="Arial" w:eastAsia="Arial" w:hAnsi="Arial"/>
        <w:color w:val="666666"/>
        <w:sz w:val="16"/>
        <w:szCs w:val="16"/>
      </w:rPr>
      <w:t xml:space="preserve">Propuesta de Servicio — Azure AI Foundry  |  Procesamiento de Documentos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2026-03-20T09:54:34.790Z</dcterms:created>
  <dcterms:modified xsi:type="dcterms:W3CDTF">2026-03-20T09:54:34.791Z</dcterms:modified>
</cp:coreProperties>
</file>

<file path=docProps/custom.xml><?xml version="1.0" encoding="utf-8"?>
<Properties xmlns="http://schemas.openxmlformats.org/officeDocument/2006/custom-properties" xmlns:vt="http://schemas.openxmlformats.org/officeDocument/2006/docPropsVTypes"/>
</file>