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00"/>
        <w:jc w:val="center"/>
      </w:pPr>
      <w:r>
        <w:rPr>
          <w:b/>
          <w:bCs/>
          <w:color w:val="2E75B6"/>
          <w:sz w:val="26"/>
          <w:szCs w:val="26"/>
        </w:rPr>
        <w:t xml:space="preserve">GUÍA DE ONBOARDING Y MEJORES PRÁCTICAS</w:t>
      </w:r>
    </w:p>
    <w:p>
      <w:pPr>
        <w:spacing w:after="120"/>
        <w:jc w:val="center"/>
      </w:pPr>
      <w:r>
        <w:rPr>
          <w:b/>
          <w:bCs/>
          <w:color w:val="1F4E79"/>
          <w:sz w:val="64"/>
          <w:szCs w:val="64"/>
        </w:rPr>
        <w:t xml:space="preserve">Microsoft 365</w:t>
      </w:r>
    </w:p>
    <w:p>
      <w:pPr>
        <w:spacing w:after="400"/>
        <w:jc w:val="center"/>
      </w:pPr>
      <w:r>
        <w:rPr>
          <w:b/>
          <w:bCs/>
          <w:color w:val="2E75B6"/>
          <w:sz w:val="30"/>
          <w:szCs w:val="30"/>
        </w:rPr>
        <w:t xml:space="preserve">Configuración del tenant, RBAC, seguridad, cumplimiento y adopción</w:t>
      </w:r>
    </w:p>
    <w:p>
      <w:pPr>
        <w:spacing w:after="200"/>
        <w:jc w:val="center"/>
      </w:pPr>
      <w:r>
        <w:rPr>
          <w:i/>
          <w:iCs/>
          <w:color w:val="595959"/>
          <w:sz w:val="24"/>
          <w:szCs w:val="24"/>
        </w:rPr>
        <w:t xml:space="preserve">Guía completa para el despliegue seguro y ordenado de un tenant de Microsoft 365, aplicando el modelo de referencia de Microsoft y los principios de Zero Trust y mínimo privilegio.</w:t>
      </w:r>
    </w:p>
    <w:p>
      <w:pPr>
        <w:spacing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Documento</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Guía de onboarding y mejores prácticas de Microsoft 365</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Versión</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1.0</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Fecha de emisión</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Junio 2026</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Alcance</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Configuración inicial del tenant, identidad, seguridad, cumplimiento y adopción</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Aplicable a</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Planes Microsoft 365 Business Premium, E3 y E5</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Marco de referencia</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Microsoft Zero Trust + CIS M365 Benchmarks + Secure Score</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Audiencia</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Administradores TI / Arquitectos M365 / Área de gobierno</w:t>
            </w:r>
          </w:p>
        </w:tc>
      </w:tr>
    </w:tbl>
    <w:p>
      <w:r>
        <w:br w:type="page"/>
      </w:r>
    </w:p>
    <w:p>
      <w:pPr>
        <w:pStyle w:val="Heading1"/>
        <w:spacing w:after="200" w:before="360"/>
      </w:pPr>
      <w:r>
        <w:t xml:space="preserve">1. Resumen ejecutivo</w:t>
      </w:r>
    </w:p>
    <w:p>
      <w:pPr>
        <w:spacing w:after="120" w:before="0" w:line="300"/>
      </w:pPr>
      <w:r>
        <w:t xml:space="preserve">Microsoft 365 es una plataforma extensa que va mucho más allá del correo y las aplicaciones de Office. Un tenant recién creado incluye Entra ID (identidad), Exchange Online (correo), SharePoint / OneDrive (colaboración documental), Teams (comunicaciones), Intune (dispositivos), Defender (seguridad) y Purview (cumplimiento). Por defecto, el tenant se entrega con una configuración optimizada para facilidad de uso, no para seguridad.</w:t>
      </w:r>
    </w:p>
    <w:p>
      <w:pPr>
        <w:spacing w:after="120" w:before="0" w:line="300"/>
      </w:pPr>
      <w:r>
        <w:t xml:space="preserve">Esta guía documenta el proceso de onboarding completo del tenant y las mejores prácticas para dejar el entorno en un estado seguro, gobernado y listo para operar. Se estructura en fases secuenciales que pueden ejecutarse en un período de 2 a 6 semanas, dependiendo del tamaño de la organización y la complejidad de la integración con sistemas existentes.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E2EFDA" w:val="clear"/>
            <w:tcMar>
              <w:top w:type="dxa" w:w="160"/>
              <w:left w:type="dxa" w:w="200"/>
              <w:bottom w:type="dxa" w:w="160"/>
              <w:right w:type="dxa" w:w="200"/>
            </w:tcMar>
          </w:tcPr>
          <w:p>
            <w:pPr>
              <w:spacing w:after="80"/>
            </w:pPr>
            <w:r>
              <w:rPr>
                <w:b/>
                <w:bCs/>
                <w:color w:val="1F4E79"/>
                <w:sz w:val="22"/>
                <w:szCs w:val="22"/>
              </w:rPr>
              <w:t xml:space="preserve">Los cinco pilares del onboarding</w:t>
            </w:r>
          </w:p>
          <w:p>
            <w:pPr>
              <w:spacing w:after="60" w:before="0" w:line="300"/>
            </w:pPr>
            <w:r>
              <w:rPr>
                <w:b/>
                <w:bCs/>
                <w:color w:val="1F4E79"/>
              </w:rPr>
              <w:t xml:space="preserve">1. Identidad: </w:t>
            </w:r>
            <w:r>
              <w:t xml:space="preserve">un solo directorio autoritativo, con sincronización desde AD si aplica, y ciclo de vida claro de altas/bajas.</w:t>
            </w:r>
          </w:p>
          <w:p>
            <w:pPr>
              <w:spacing w:after="60" w:before="0" w:line="300"/>
            </w:pPr>
            <w:r>
              <w:rPr>
                <w:b/>
                <w:bCs/>
                <w:color w:val="1F4E79"/>
              </w:rPr>
              <w:t xml:space="preserve">2. Acceso (RBAC): </w:t>
            </w:r>
            <w:r>
              <w:t xml:space="preserve">roles administrativos por mínimo privilegio, con PIM para elevación temporal y cuentas break-glass.</w:t>
            </w:r>
          </w:p>
          <w:p>
            <w:pPr>
              <w:spacing w:after="60" w:before="0" w:line="300"/>
            </w:pPr>
            <w:r>
              <w:rPr>
                <w:b/>
                <w:bCs/>
                <w:color w:val="1F4E79"/>
              </w:rPr>
              <w:t xml:space="preserve">3. Seguridad: </w:t>
            </w:r>
            <w:r>
              <w:t xml:space="preserve">MFA obligatoria, Conditional Access baseline, bloqueo de autenticación heredada.</w:t>
            </w:r>
          </w:p>
          <w:p>
            <w:pPr>
              <w:spacing w:after="60" w:before="0" w:line="300"/>
            </w:pPr>
            <w:r>
              <w:rPr>
                <w:b/>
                <w:bCs/>
                <w:color w:val="1F4E79"/>
              </w:rPr>
              <w:t xml:space="preserve">4. Cumplimiento: </w:t>
            </w:r>
            <w:r>
              <w:t xml:space="preserve">etiquetas de sensibilidad, retención, DLP, auditoría.</w:t>
            </w:r>
          </w:p>
          <w:p>
            <w:pPr>
              <w:spacing w:after="0" w:before="0" w:line="300"/>
            </w:pPr>
            <w:r>
              <w:rPr>
                <w:b/>
                <w:bCs/>
                <w:color w:val="1F4E79"/>
              </w:rPr>
              <w:t xml:space="preserve">5. Adopción: </w:t>
            </w:r>
            <w:r>
              <w:t xml:space="preserve">capacitación, red de campeones y métricas de uso.</w:t>
            </w:r>
          </w:p>
        </w:tc>
      </w:tr>
    </w:tbl>
    <w:p>
      <w:pPr>
        <w:spacing w:after="100"/>
      </w:pPr>
      <w:r>
        <w:t xml:space="preserve"/>
      </w:r>
    </w:p>
    <w:p>
      <w:pPr>
        <w:pStyle w:val="Heading2"/>
        <w:spacing w:after="160" w:before="280"/>
      </w:pPr>
      <w:r>
        <w:t xml:space="preserve">1.1 Estructura del documento</w:t>
      </w:r>
    </w:p>
    <w:p>
      <w:pPr>
        <w:pStyle w:val="ListParagraph"/>
        <w:numPr>
          <w:ilvl w:val="0"/>
          <w:numId w:val="2"/>
        </w:numPr>
        <w:spacing w:after="80" w:line="280"/>
      </w:pPr>
      <w:r>
        <w:rPr>
          <w:b/>
          <w:bCs/>
        </w:rPr>
        <w:t xml:space="preserve">Fundamentos: </w:t>
      </w:r>
      <w:r>
        <w:t xml:space="preserve">concepto de tenant, planes de licenciamiento, servicios incluidos.</w:t>
      </w:r>
    </w:p>
    <w:p>
      <w:pPr>
        <w:pStyle w:val="ListParagraph"/>
        <w:numPr>
          <w:ilvl w:val="0"/>
          <w:numId w:val="2"/>
        </w:numPr>
        <w:spacing w:after="80" w:line="280"/>
      </w:pPr>
      <w:r>
        <w:rPr>
          <w:b/>
          <w:bCs/>
        </w:rPr>
        <w:t xml:space="preserve">Fase 1 — Preparación: </w:t>
      </w:r>
      <w:r>
        <w:t xml:space="preserve">requisitos previos, verificación de dominios, estrategia de identidad.</w:t>
      </w:r>
    </w:p>
    <w:p>
      <w:pPr>
        <w:pStyle w:val="ListParagraph"/>
        <w:numPr>
          <w:ilvl w:val="0"/>
          <w:numId w:val="2"/>
        </w:numPr>
        <w:spacing w:after="80" w:line="280"/>
      </w:pPr>
      <w:r>
        <w:rPr>
          <w:b/>
          <w:bCs/>
        </w:rPr>
        <w:t xml:space="preserve">Fase 2 — Configuración inicial: </w:t>
      </w:r>
      <w:r>
        <w:t xml:space="preserve">parámetros del tenant, región, notificaciones.</w:t>
      </w:r>
    </w:p>
    <w:p>
      <w:pPr>
        <w:pStyle w:val="ListParagraph"/>
        <w:numPr>
          <w:ilvl w:val="0"/>
          <w:numId w:val="2"/>
        </w:numPr>
        <w:spacing w:after="80" w:line="280"/>
      </w:pPr>
      <w:r>
        <w:rPr>
          <w:b/>
          <w:bCs/>
        </w:rPr>
        <w:t xml:space="preserve">Fase 3 — Usuarios e identidad: </w:t>
      </w:r>
      <w:r>
        <w:t xml:space="preserve">tipos de usuarios, Entra Connect, ciclo de vida, contraseñas.</w:t>
      </w:r>
    </w:p>
    <w:p>
      <w:pPr>
        <w:pStyle w:val="ListParagraph"/>
        <w:numPr>
          <w:ilvl w:val="0"/>
          <w:numId w:val="2"/>
        </w:numPr>
        <w:spacing w:after="80" w:line="280"/>
      </w:pPr>
      <w:r>
        <w:rPr>
          <w:b/>
          <w:bCs/>
        </w:rPr>
        <w:t xml:space="preserve">Fase 4 — RBAC y roles: </w:t>
      </w:r>
      <w:r>
        <w:t xml:space="preserve">roles built-in, PIM, break-glass, Administrative Units.</w:t>
      </w:r>
    </w:p>
    <w:p>
      <w:pPr>
        <w:pStyle w:val="ListParagraph"/>
        <w:numPr>
          <w:ilvl w:val="0"/>
          <w:numId w:val="2"/>
        </w:numPr>
        <w:spacing w:after="80" w:line="280"/>
      </w:pPr>
      <w:r>
        <w:rPr>
          <w:b/>
          <w:bCs/>
        </w:rPr>
        <w:t xml:space="preserve">Fase 5 — Seguridad: </w:t>
      </w:r>
      <w:r>
        <w:t xml:space="preserve">MFA, Conditional Access, protección de identidad.</w:t>
      </w:r>
    </w:p>
    <w:p>
      <w:pPr>
        <w:pStyle w:val="ListParagraph"/>
        <w:numPr>
          <w:ilvl w:val="0"/>
          <w:numId w:val="2"/>
        </w:numPr>
        <w:spacing w:after="80" w:line="280"/>
      </w:pPr>
      <w:r>
        <w:rPr>
          <w:b/>
          <w:bCs/>
        </w:rPr>
        <w:t xml:space="preserve">Fase 6 — Servicios: </w:t>
      </w:r>
      <w:r>
        <w:t xml:space="preserve">Exchange, SharePoint, Teams, Intune.</w:t>
      </w:r>
    </w:p>
    <w:p>
      <w:pPr>
        <w:pStyle w:val="ListParagraph"/>
        <w:numPr>
          <w:ilvl w:val="0"/>
          <w:numId w:val="2"/>
        </w:numPr>
        <w:spacing w:after="80" w:line="280"/>
      </w:pPr>
      <w:r>
        <w:rPr>
          <w:b/>
          <w:bCs/>
        </w:rPr>
        <w:t xml:space="preserve">Fase 7 — Cumplimiento (Purview): </w:t>
      </w:r>
      <w:r>
        <w:t xml:space="preserve">DLP, sensibilidad, retención, eDiscovery.</w:t>
      </w:r>
    </w:p>
    <w:p>
      <w:pPr>
        <w:pStyle w:val="ListParagraph"/>
        <w:numPr>
          <w:ilvl w:val="0"/>
          <w:numId w:val="2"/>
        </w:numPr>
        <w:spacing w:after="80" w:line="280"/>
      </w:pPr>
      <w:r>
        <w:rPr>
          <w:b/>
          <w:bCs/>
        </w:rPr>
        <w:t xml:space="preserve">Fase 8 — Defender: </w:t>
      </w:r>
      <w:r>
        <w:t xml:space="preserve">protección de correo, dispositivos y aplicaciones.</w:t>
      </w:r>
    </w:p>
    <w:p>
      <w:pPr>
        <w:pStyle w:val="ListParagraph"/>
        <w:numPr>
          <w:ilvl w:val="0"/>
          <w:numId w:val="2"/>
        </w:numPr>
        <w:spacing w:after="80" w:line="280"/>
      </w:pPr>
      <w:r>
        <w:rPr>
          <w:b/>
          <w:bCs/>
        </w:rPr>
        <w:t xml:space="preserve">Fase 9 — Gobierno y monitoreo: </w:t>
      </w:r>
      <w:r>
        <w:t xml:space="preserve">Secure Score, auditoría, Access Reviews.</w:t>
      </w:r>
    </w:p>
    <w:p>
      <w:pPr>
        <w:pStyle w:val="ListParagraph"/>
        <w:numPr>
          <w:ilvl w:val="0"/>
          <w:numId w:val="2"/>
        </w:numPr>
        <w:spacing w:after="80" w:line="280"/>
      </w:pPr>
      <w:r>
        <w:rPr>
          <w:b/>
          <w:bCs/>
        </w:rPr>
        <w:t xml:space="preserve">Fase 10 — Adopción: </w:t>
      </w:r>
      <w:r>
        <w:t xml:space="preserve">plan de capacitación, campeones, métricas.</w:t>
      </w:r>
    </w:p>
    <w:p>
      <w:pPr>
        <w:pStyle w:val="ListParagraph"/>
        <w:numPr>
          <w:ilvl w:val="0"/>
          <w:numId w:val="2"/>
        </w:numPr>
        <w:spacing w:after="80" w:line="280"/>
      </w:pPr>
      <w:r>
        <w:rPr>
          <w:b/>
          <w:bCs/>
        </w:rPr>
        <w:t xml:space="preserve">Apéndices: </w:t>
      </w:r>
      <w:r>
        <w:t xml:space="preserve">comparativos de planes, checklists, referencias.</w:t>
      </w:r>
    </w:p>
    <w:p>
      <w:r>
        <w:br w:type="page"/>
      </w:r>
    </w:p>
    <w:p>
      <w:pPr>
        <w:pStyle w:val="Heading1"/>
        <w:spacing w:after="200" w:before="360"/>
      </w:pPr>
      <w:r>
        <w:t xml:space="preserve">2. Tabla de contenido</w:t>
      </w:r>
    </w:p>
    <w:p>
      <w:pPr>
        <w:spacing w:after="120" w:before="0" w:line="300"/>
      </w:pPr>
      <w:r>
        <w:t xml:space="preserve">1.   Resumen ejecutivo</w:t>
      </w:r>
    </w:p>
    <w:p>
      <w:pPr>
        <w:spacing w:after="120" w:before="0" w:line="300"/>
      </w:pPr>
      <w:r>
        <w:t xml:space="preserve">2.   Tabla de contenido</w:t>
      </w:r>
    </w:p>
    <w:p>
      <w:pPr>
        <w:spacing w:after="120" w:before="0" w:line="300"/>
      </w:pPr>
      <w:r>
        <w:t xml:space="preserve">3.   Fundamentos de Microsoft 365</w:t>
      </w:r>
    </w:p>
    <w:p>
      <w:pPr>
        <w:spacing w:after="120" w:before="0" w:line="300"/>
      </w:pPr>
      <w:r>
        <w:t xml:space="preserve">4.   Fase 1 — Preparación y planificación del onboarding</w:t>
      </w:r>
    </w:p>
    <w:p>
      <w:pPr>
        <w:spacing w:after="120" w:before="0" w:line="300"/>
      </w:pPr>
      <w:r>
        <w:t xml:space="preserve">5.   Fase 2 — Configuración inicial del tenant</w:t>
      </w:r>
    </w:p>
    <w:p>
      <w:pPr>
        <w:spacing w:after="120" w:before="0" w:line="300"/>
      </w:pPr>
      <w:r>
        <w:t xml:space="preserve">6.   Fase 3 — Modelo de identidad y usuarios</w:t>
      </w:r>
    </w:p>
    <w:p>
      <w:pPr>
        <w:spacing w:after="120" w:before="0" w:line="300"/>
      </w:pPr>
      <w:r>
        <w:t xml:space="preserve">7.   Fase 4 — RBAC y roles administrativos</w:t>
      </w:r>
    </w:p>
    <w:p>
      <w:pPr>
        <w:spacing w:after="120" w:before="0" w:line="300"/>
      </w:pPr>
      <w:r>
        <w:t xml:space="preserve">8.   Fase 5 — Seguridad e identidad (MFA y Conditional Access)</w:t>
      </w:r>
    </w:p>
    <w:p>
      <w:pPr>
        <w:spacing w:after="120" w:before="0" w:line="300"/>
      </w:pPr>
      <w:r>
        <w:t xml:space="preserve">9.   Fase 6 — Configuración de servicios principales</w:t>
      </w:r>
    </w:p>
    <w:p>
      <w:pPr>
        <w:spacing w:after="120" w:before="0" w:line="300"/>
      </w:pPr>
      <w:r>
        <w:t xml:space="preserve">10. Fase 7 — Protección de datos y cumplimiento (Purview)</w:t>
      </w:r>
    </w:p>
    <w:p>
      <w:pPr>
        <w:spacing w:after="120" w:before="0" w:line="300"/>
      </w:pPr>
      <w:r>
        <w:t xml:space="preserve">11. Fase 8 — Amenazas y seguridad avanzada (Defender)</w:t>
      </w:r>
    </w:p>
    <w:p>
      <w:pPr>
        <w:spacing w:after="120" w:before="0" w:line="300"/>
      </w:pPr>
      <w:r>
        <w:t xml:space="preserve">12. Fase 9 — Gobierno y monitoreo continuo</w:t>
      </w:r>
    </w:p>
    <w:p>
      <w:pPr>
        <w:spacing w:after="120" w:before="0" w:line="300"/>
      </w:pPr>
      <w:r>
        <w:t xml:space="preserve">13. Fase 10 — Adopción y capacitación</w:t>
      </w:r>
    </w:p>
    <w:p>
      <w:pPr>
        <w:spacing w:after="120" w:before="0" w:line="300"/>
      </w:pPr>
      <w:r>
        <w:t xml:space="preserve">14. Apéndice A — Comparativo de planes M365</w:t>
      </w:r>
    </w:p>
    <w:p>
      <w:pPr>
        <w:spacing w:after="120" w:before="0" w:line="300"/>
      </w:pPr>
      <w:r>
        <w:t xml:space="preserve">15. Apéndice B — Matriz de roles administrativos comunes</w:t>
      </w:r>
    </w:p>
    <w:p>
      <w:pPr>
        <w:spacing w:after="120" w:before="0" w:line="300"/>
      </w:pPr>
      <w:r>
        <w:t xml:space="preserve">16. Apéndice C — Baseline de Conditional Access (10 políticas)</w:t>
      </w:r>
    </w:p>
    <w:p>
      <w:pPr>
        <w:spacing w:after="120" w:before="0" w:line="300"/>
      </w:pPr>
      <w:r>
        <w:t xml:space="preserve">17. Apéndice D — Checklist de onboarding</w:t>
      </w:r>
    </w:p>
    <w:p>
      <w:pPr>
        <w:spacing w:after="120" w:before="0" w:line="300"/>
      </w:pPr>
      <w:r>
        <w:t xml:space="preserve">18. Apéndice E — Nomenclatura estándar</w:t>
      </w:r>
    </w:p>
    <w:p>
      <w:pPr>
        <w:spacing w:after="120" w:before="0" w:line="300"/>
      </w:pPr>
      <w:r>
        <w:t xml:space="preserve">19. Apéndice F — Recursos oficiales y referencias</w:t>
      </w:r>
    </w:p>
    <w:p>
      <w:r>
        <w:br w:type="page"/>
      </w:r>
    </w:p>
    <w:p>
      <w:pPr>
        <w:pStyle w:val="Heading1"/>
        <w:spacing w:after="200" w:before="360"/>
      </w:pPr>
      <w:r>
        <w:t xml:space="preserve">3. Fundamentos de Microsoft 365</w:t>
      </w:r>
    </w:p>
    <w:p>
      <w:pPr>
        <w:pStyle w:val="Heading2"/>
        <w:spacing w:after="160" w:before="280"/>
      </w:pPr>
      <w:r>
        <w:t xml:space="preserve">3.1 ¿Qué es un tenant?</w:t>
      </w:r>
    </w:p>
    <w:p>
      <w:pPr>
        <w:spacing w:after="120" w:before="0" w:line="300"/>
      </w:pPr>
      <w:r>
        <w:t xml:space="preserve">Un tenant de Microsoft 365 es una instancia dedicada e independiente de los servicios de Microsoft en la nube, provisionada para una organización específica. Contiene todos los datos, usuarios, configuraciones y políticas de esa organización, aislada lógicamente del resto de tenants.</w:t>
      </w:r>
    </w:p>
    <w:p>
      <w:pPr>
        <w:spacing w:after="120" w:before="0" w:line="300"/>
      </w:pPr>
      <w:r>
        <w:t xml:space="preserve">Un tenant se identifica por dos elementos:</w:t>
      </w:r>
    </w:p>
    <w:p>
      <w:pPr>
        <w:pStyle w:val="ListParagraph"/>
        <w:numPr>
          <w:ilvl w:val="0"/>
          <w:numId w:val="2"/>
        </w:numPr>
        <w:spacing w:after="80" w:line="280"/>
      </w:pPr>
      <w:r>
        <w:rPr>
          <w:b/>
          <w:bCs/>
        </w:rPr>
        <w:t xml:space="preserve">Tenant ID: </w:t>
      </w:r>
      <w:r>
        <w:t xml:space="preserve">un GUID único e inmutable (ej: 12345678-1234-1234-1234-123456789abc).</w:t>
      </w:r>
    </w:p>
    <w:p>
      <w:pPr>
        <w:pStyle w:val="ListParagraph"/>
        <w:numPr>
          <w:ilvl w:val="0"/>
          <w:numId w:val="2"/>
        </w:numPr>
        <w:spacing w:after="80" w:line="280"/>
      </w:pPr>
      <w:r>
        <w:rPr>
          <w:b/>
          <w:bCs/>
        </w:rPr>
        <w:t xml:space="preserve">Dominio inicial: </w:t>
      </w:r>
      <w:r>
        <w:t xml:space="preserve">un subdominio de onmicrosoft.com (ej: contoso.onmicrosoft.com), que se asigna en el momento de crear el tenant y NO puede cambiarse posteriormente.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FF2CC" w:val="clear"/>
            <w:tcMar>
              <w:top w:type="dxa" w:w="160"/>
              <w:left w:type="dxa" w:w="200"/>
              <w:bottom w:type="dxa" w:w="160"/>
              <w:right w:type="dxa" w:w="200"/>
            </w:tcMar>
          </w:tcPr>
          <w:p>
            <w:pPr>
              <w:spacing w:after="80"/>
            </w:pPr>
            <w:r>
              <w:rPr>
                <w:b/>
                <w:bCs/>
                <w:color w:val="1F4E79"/>
                <w:sz w:val="22"/>
                <w:szCs w:val="22"/>
              </w:rPr>
              <w:t xml:space="preserve">Advertencia sobre el nombre del tenant</w:t>
            </w:r>
          </w:p>
          <w:p>
            <w:pPr>
              <w:spacing w:after="0" w:before="0" w:line="300"/>
            </w:pPr>
            <w:r>
              <w:t xml:space="preserve">El dominio inicial contoso.onmicrosoft.com aparece en múltiples lugares (URLs de SharePoint, direcciones de correo internas, referencias a servicios) y es permanente. Elegir con cuidado y consenso ejecutivo antes de crear el tenant. Los dominios personalizados (contoso.com) se agregan después y pueden ser varios, pero el inicial es para siempre.</w:t>
            </w:r>
          </w:p>
        </w:tc>
      </w:tr>
    </w:tbl>
    <w:p>
      <w:pPr>
        <w:spacing w:after="100"/>
      </w:pPr>
      <w:r>
        <w:t xml:space="preserve"/>
      </w:r>
    </w:p>
    <w:p>
      <w:pPr>
        <w:pStyle w:val="Heading2"/>
        <w:spacing w:after="160" w:before="280"/>
      </w:pPr>
      <w:r>
        <w:t xml:space="preserve">3.2 Planes de licenciamiento principales</w:t>
      </w:r>
    </w:p>
    <w:p>
      <w:pPr>
        <w:spacing w:after="120" w:before="0" w:line="300"/>
      </w:pPr>
      <w:r>
        <w:t xml:space="preserve">Microsoft 365 se comercializa en múltiples planes. Los más relevantes para organizaciones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Plan</w:t>
            </w:r>
          </w:p>
        </w:tc>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Segmento</w:t>
            </w:r>
          </w:p>
        </w:tc>
        <w:tc>
          <w:tcPr>
            <w:tcW w:type="dxa" w:w="2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Incluye</w:t>
            </w:r>
          </w:p>
        </w:tc>
        <w:tc>
          <w:tcPr>
            <w:tcW w:type="dxa" w:w="29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Distintivo</w:t>
            </w:r>
          </w:p>
        </w:tc>
      </w:tr>
      <w:tr>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Business Basic</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SMB &lt; 300 usuarios</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Web/mobile Office + Exchange 50GB + Teams + SharePoint</w:t>
            </w:r>
          </w:p>
        </w:tc>
        <w:tc>
          <w:tcPr>
            <w:tcW w:type="dxa" w:w="2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 apps de escritorio.</w:t>
            </w:r>
          </w:p>
        </w:tc>
      </w:tr>
      <w:tr>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Business Standard</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SMB &lt; 300 usuarios</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 anterior + apps de escritorio</w:t>
            </w:r>
          </w:p>
        </w:tc>
        <w:tc>
          <w:tcPr>
            <w:tcW w:type="dxa" w:w="2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 Intune ni Defender.</w:t>
            </w:r>
          </w:p>
        </w:tc>
      </w:tr>
      <w:tr>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Business Premium</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SMB &lt; 300 usuarios</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Todo + Intune + Defender Business + Entra ID P1</w:t>
            </w:r>
          </w:p>
        </w:tc>
        <w:tc>
          <w:tcPr>
            <w:tcW w:type="dxa" w:w="2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Muy buena relación costo/beneficio.</w:t>
            </w:r>
          </w:p>
        </w:tc>
      </w:tr>
      <w:tr>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E3</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Enterprise</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Todo Office + Exchange 100GB + Purview + Entra ID P1</w:t>
            </w:r>
          </w:p>
        </w:tc>
        <w:tc>
          <w:tcPr>
            <w:tcW w:type="dxa" w:w="2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Estándar corporativo.</w:t>
            </w:r>
          </w:p>
        </w:tc>
      </w:tr>
      <w:tr>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E5</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Enterprise</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E3 + Defender for O365 P2 + Defender for Endpoint P2 + Entra ID P2 (PIM) + Advanced Compliance</w:t>
            </w:r>
          </w:p>
        </w:tc>
        <w:tc>
          <w:tcPr>
            <w:tcW w:type="dxa" w:w="2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Seguridad y cumplimiento avanzados.</w:t>
            </w:r>
          </w:p>
        </w:tc>
      </w:tr>
      <w:tr>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F1 / F3</w:t>
            </w:r>
          </w:p>
        </w:tc>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Frontline</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Licencia económica para trabajadores no-de-escritorio</w:t>
            </w:r>
          </w:p>
        </w:tc>
        <w:tc>
          <w:tcPr>
            <w:tcW w:type="dxa" w:w="2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 acceso a apps completas.</w:t>
            </w:r>
          </w:p>
        </w:tc>
      </w:tr>
    </w:tbl>
    <w:p>
      <w:pPr>
        <w:spacing w:after="100"/>
      </w:pPr>
      <w:r>
        <w:t xml:space="preserve"/>
      </w:r>
    </w:p>
    <w:p>
      <w:pPr>
        <w:pStyle w:val="Heading2"/>
        <w:spacing w:after="160" w:before="280"/>
      </w:pPr>
      <w:r>
        <w:t xml:space="preserve">3.3 Servicios que componen Microsoft 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Servicio</w:t>
            </w:r>
          </w:p>
        </w:tc>
        <w:tc>
          <w:tcPr>
            <w:tcW w:type="dxa" w:w="69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Descripción</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Entra ID (Azure AD)</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Directorio de identidad y acceso. Base de todo el ecosistema.</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Exchange Online</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Correo empresarial en la nube.</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SharePoint Online</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Portal colaborativo, repositorio de documentos, intranet.</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OneDrive for Business</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Almacenamiento personal por usuario (1TB+).</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Microsoft Teams</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Colaboración: chat, reuniones, canales, integración con SharePoint.</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Microsoft Intune</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 de dispositivos (MDM) y aplicaciones (MAM).</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Microsoft Defender</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Suite de seguridad: correo, endpoint, identidad, cloud apps.</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Microsoft Purview</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Cumplimiento: DLP, sensibilidad, retención, eDiscovery.</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Power Platform</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Automatización (Power Automate), aplicaciones (Power Apps), BI.</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Copilot</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IA generativa integrada en aplicaciones (con licencia adicional).</w:t>
            </w:r>
          </w:p>
        </w:tc>
      </w:tr>
    </w:tbl>
    <w:p>
      <w:pPr>
        <w:spacing w:after="100"/>
      </w:pPr>
      <w:r>
        <w:t xml:space="preserve"/>
      </w:r>
    </w:p>
    <w:p>
      <w:pPr>
        <w:pStyle w:val="Heading2"/>
        <w:spacing w:after="160" w:before="280"/>
      </w:pPr>
      <w:r>
        <w:t xml:space="preserve">3.4 Modelo de identidad: Entra ID</w:t>
      </w:r>
    </w:p>
    <w:p>
      <w:pPr>
        <w:spacing w:after="120" w:before="0" w:line="300"/>
      </w:pPr>
      <w:r>
        <w:t xml:space="preserve">Entra ID (antes Azure AD) es el corazón del ecosistema. Todo usuario, grupo, dispositivo, aplicación y política se registra aquí. Es el punto único de autenticación y autorización.</w:t>
      </w:r>
    </w:p>
    <w:p>
      <w:pPr>
        <w:spacing w:after="120" w:before="0" w:line="300"/>
      </w:pPr>
      <w:r>
        <w:t xml:space="preserve">Hay tres modelos posibles de identidad:</w:t>
      </w:r>
    </w:p>
    <w:p>
      <w:pPr>
        <w:pStyle w:val="ListParagraph"/>
        <w:numPr>
          <w:ilvl w:val="0"/>
          <w:numId w:val="2"/>
        </w:numPr>
        <w:spacing w:after="80" w:line="280"/>
      </w:pPr>
      <w:r>
        <w:rPr>
          <w:b/>
          <w:bCs/>
        </w:rPr>
        <w:t xml:space="preserve">Cloud-only: </w:t>
      </w:r>
      <w:r>
        <w:t xml:space="preserve">los usuarios existen únicamente en Entra ID. Ideal para organizaciones nuevas o sin Active Directory local.</w:t>
      </w:r>
    </w:p>
    <w:p>
      <w:pPr>
        <w:pStyle w:val="ListParagraph"/>
        <w:numPr>
          <w:ilvl w:val="0"/>
          <w:numId w:val="2"/>
        </w:numPr>
        <w:spacing w:after="80" w:line="280"/>
      </w:pPr>
      <w:r>
        <w:rPr>
          <w:b/>
          <w:bCs/>
        </w:rPr>
        <w:t xml:space="preserve">Híbrido con sincronización (Entra Connect / Cloud Sync): </w:t>
      </w:r>
      <w:r>
        <w:t xml:space="preserve">los usuarios existen en Active Directory local y se sincronizan a Entra ID. La autenticación puede seguir siendo local (Pass-Through) o hacerse en la nube (Hash Sync). El modelo más común en organizaciones establecidas.</w:t>
      </w:r>
    </w:p>
    <w:p>
      <w:pPr>
        <w:pStyle w:val="ListParagraph"/>
        <w:numPr>
          <w:ilvl w:val="0"/>
          <w:numId w:val="2"/>
        </w:numPr>
        <w:spacing w:after="80" w:line="280"/>
      </w:pPr>
      <w:r>
        <w:rPr>
          <w:b/>
          <w:bCs/>
        </w:rPr>
        <w:t xml:space="preserve">Federado (ADFS): </w:t>
      </w:r>
      <w:r>
        <w:t xml:space="preserve">la autenticación se delega a ADFS on-premises. Modelo en desuso; Microsoft recomienda migrar a autenticación en la nube.</w:t>
      </w:r>
    </w:p>
    <w:p>
      <w:r>
        <w:br w:type="page"/>
      </w:r>
    </w:p>
    <w:p>
      <w:pPr>
        <w:pStyle w:val="Heading1"/>
        <w:spacing w:after="200" w:before="360"/>
      </w:pPr>
      <w:r>
        <w:t xml:space="preserve">4. Fase 1 — Preparación y planificación del onboarding</w:t>
      </w:r>
    </w:p>
    <w:p>
      <w:pPr>
        <w:spacing w:after="120" w:before="0" w:line="300"/>
      </w:pPr>
      <w:r>
        <w:t xml:space="preserve">Antes de configurar el tenant, es esencial recopilar información y tomar decisiones estructurales que después son difíciles o imposibles de revertir.</w:t>
      </w:r>
    </w:p>
    <w:p>
      <w:pPr>
        <w:pStyle w:val="Heading2"/>
        <w:spacing w:after="160" w:before="280"/>
      </w:pPr>
      <w:r>
        <w:t xml:space="preserve">4.1 Requisitos previos organizacionales</w:t>
      </w:r>
    </w:p>
    <w:p>
      <w:pPr>
        <w:pStyle w:val="ListParagraph"/>
        <w:numPr>
          <w:ilvl w:val="0"/>
          <w:numId w:val="2"/>
        </w:numPr>
        <w:spacing w:after="80" w:line="280"/>
      </w:pPr>
      <w:r>
        <w:t xml:space="preserve">Identificar al patrocinador ejecutivo del proyecto.</w:t>
      </w:r>
    </w:p>
    <w:p>
      <w:pPr>
        <w:pStyle w:val="ListParagraph"/>
        <w:numPr>
          <w:ilvl w:val="0"/>
          <w:numId w:val="2"/>
        </w:numPr>
        <w:spacing w:after="80" w:line="280"/>
      </w:pPr>
      <w:r>
        <w:t xml:space="preserve">Definir el equipo técnico responsable (mínimo un arquitecto M365 + un administrador).</w:t>
      </w:r>
    </w:p>
    <w:p>
      <w:pPr>
        <w:pStyle w:val="ListParagraph"/>
        <w:numPr>
          <w:ilvl w:val="0"/>
          <w:numId w:val="2"/>
        </w:numPr>
        <w:spacing w:after="80" w:line="280"/>
      </w:pPr>
      <w:r>
        <w:t xml:space="preserve">Confirmar el número final de usuarios, para dimensionar licenciamiento.</w:t>
      </w:r>
    </w:p>
    <w:p>
      <w:pPr>
        <w:pStyle w:val="ListParagraph"/>
        <w:numPr>
          <w:ilvl w:val="0"/>
          <w:numId w:val="2"/>
        </w:numPr>
        <w:spacing w:after="80" w:line="280"/>
      </w:pPr>
      <w:r>
        <w:t xml:space="preserve">Confirmar los dominios de correo que se agregarán.</w:t>
      </w:r>
    </w:p>
    <w:p>
      <w:pPr>
        <w:pStyle w:val="ListParagraph"/>
        <w:numPr>
          <w:ilvl w:val="0"/>
          <w:numId w:val="2"/>
        </w:numPr>
        <w:spacing w:after="80" w:line="280"/>
      </w:pPr>
      <w:r>
        <w:t xml:space="preserve">Documentar los sistemas existentes con los que M365 deberá integrarse (AD local, ERP, CRM, aplicaciones LOB).</w:t>
      </w:r>
    </w:p>
    <w:p>
      <w:pPr>
        <w:pStyle w:val="ListParagraph"/>
        <w:numPr>
          <w:ilvl w:val="0"/>
          <w:numId w:val="2"/>
        </w:numPr>
        <w:spacing w:after="80" w:line="280"/>
      </w:pPr>
      <w:r>
        <w:t xml:space="preserve">Definir cronograma y ventanas de mantenimiento.</w:t>
      </w:r>
    </w:p>
    <w:p>
      <w:pPr>
        <w:spacing w:after="100"/>
      </w:pPr>
      <w:r>
        <w:t xml:space="preserve"/>
      </w:r>
    </w:p>
    <w:p>
      <w:pPr>
        <w:pStyle w:val="Heading2"/>
        <w:spacing w:after="160" w:before="280"/>
      </w:pPr>
      <w:r>
        <w:t xml:space="preserve">4.2 Decisiones clave anticipadas</w:t>
      </w:r>
    </w:p>
    <w:p>
      <w:pPr>
        <w:pStyle w:val="Heading3"/>
        <w:spacing w:after="120" w:before="220"/>
      </w:pPr>
      <w:r>
        <w:t xml:space="preserve">4.2.1 Nombre del tenant (onmicrosoft.com)</w:t>
      </w:r>
    </w:p>
    <w:p>
      <w:pPr>
        <w:pStyle w:val="ListParagraph"/>
        <w:numPr>
          <w:ilvl w:val="0"/>
          <w:numId w:val="2"/>
        </w:numPr>
        <w:spacing w:after="80" w:line="280"/>
      </w:pPr>
      <w:r>
        <w:t xml:space="preserve">Elegir un nombre corto, memorable y alineado con la marca.</w:t>
      </w:r>
    </w:p>
    <w:p>
      <w:pPr>
        <w:pStyle w:val="ListParagraph"/>
        <w:numPr>
          <w:ilvl w:val="0"/>
          <w:numId w:val="2"/>
        </w:numPr>
        <w:spacing w:after="80" w:line="280"/>
      </w:pPr>
      <w:r>
        <w:t xml:space="preserve">Evitar guiones, números o combinaciones difíciles de dictar por teléfono.</w:t>
      </w:r>
    </w:p>
    <w:p>
      <w:pPr>
        <w:pStyle w:val="ListParagraph"/>
        <w:numPr>
          <w:ilvl w:val="0"/>
          <w:numId w:val="2"/>
        </w:numPr>
        <w:spacing w:after="80" w:line="280"/>
      </w:pPr>
      <w:r>
        <w:t xml:space="preserve">Validar que esté disponible (no todos los nombres lo están).</w:t>
      </w:r>
    </w:p>
    <w:p>
      <w:pPr>
        <w:pStyle w:val="ListParagraph"/>
        <w:numPr>
          <w:ilvl w:val="0"/>
          <w:numId w:val="2"/>
        </w:numPr>
        <w:spacing w:after="80" w:line="280"/>
      </w:pPr>
      <w:r>
        <w:t xml:space="preserve">Recordar: es PERMANENTE. Documentar la decisión formalmente.</w:t>
      </w:r>
    </w:p>
    <w:p>
      <w:pPr>
        <w:spacing w:after="100"/>
      </w:pPr>
      <w:r>
        <w:t xml:space="preserve"/>
      </w:r>
    </w:p>
    <w:p>
      <w:pPr>
        <w:pStyle w:val="Heading3"/>
        <w:spacing w:after="120" w:before="220"/>
      </w:pPr>
      <w:r>
        <w:t xml:space="preserve">4.2.2 Región de datos (data residency)</w:t>
      </w:r>
    </w:p>
    <w:p>
      <w:pPr>
        <w:spacing w:after="120" w:before="0" w:line="300"/>
      </w:pPr>
      <w:r>
        <w:t xml:space="preserve">Microsoft aloja los datos del tenant en centros de datos regionales. La región se elige en la creación y no puede modificarse. Consideraciones:</w:t>
      </w:r>
    </w:p>
    <w:p>
      <w:pPr>
        <w:pStyle w:val="ListParagraph"/>
        <w:numPr>
          <w:ilvl w:val="0"/>
          <w:numId w:val="2"/>
        </w:numPr>
        <w:spacing w:after="80" w:line="280"/>
      </w:pPr>
      <w:r>
        <w:t xml:space="preserve">México, América Latina → típicamente centros de datos de Estados Unidos.</w:t>
      </w:r>
    </w:p>
    <w:p>
      <w:pPr>
        <w:pStyle w:val="ListParagraph"/>
        <w:numPr>
          <w:ilvl w:val="0"/>
          <w:numId w:val="2"/>
        </w:numPr>
        <w:spacing w:after="80" w:line="280"/>
      </w:pPr>
      <w:r>
        <w:t xml:space="preserve">Verificar requerimientos regulatorios: algunas normas (LGPD Brasil, ciertos sectores) requieren residencia local.</w:t>
      </w:r>
    </w:p>
    <w:p>
      <w:pPr>
        <w:pStyle w:val="ListParagraph"/>
        <w:numPr>
          <w:ilvl w:val="0"/>
          <w:numId w:val="2"/>
        </w:numPr>
        <w:spacing w:after="80" w:line="280"/>
      </w:pPr>
      <w:r>
        <w:t xml:space="preserve">Considerar Multi-Geo si la organización opera en varios países con requisitos distintos (feature adicional).</w:t>
      </w:r>
    </w:p>
    <w:p>
      <w:pPr>
        <w:spacing w:after="100"/>
      </w:pPr>
      <w:r>
        <w:t xml:space="preserve"/>
      </w:r>
    </w:p>
    <w:p>
      <w:pPr>
        <w:pStyle w:val="Heading3"/>
        <w:spacing w:after="120" w:before="220"/>
      </w:pPr>
      <w:r>
        <w:t xml:space="preserve">4.2.3 Modelo de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Guía rápida de decisión</w:t>
            </w:r>
          </w:p>
          <w:p>
            <w:pPr>
              <w:pStyle w:val="ListParagraph"/>
              <w:numPr>
                <w:ilvl w:val="0"/>
                <w:numId w:val="2"/>
              </w:numPr>
              <w:spacing w:after="80" w:line="280"/>
            </w:pPr>
            <w:r>
              <w:rPr>
                <w:b/>
                <w:bCs/>
              </w:rPr>
              <w:t xml:space="preserve">¿No tienen Active Directory local? </w:t>
            </w:r>
            <w:r>
              <w:t xml:space="preserve">→ Cloud-only con Entra ID. Simple, sin infraestructura.</w:t>
            </w:r>
          </w:p>
          <w:p>
            <w:pPr>
              <w:pStyle w:val="ListParagraph"/>
              <w:numPr>
                <w:ilvl w:val="0"/>
                <w:numId w:val="2"/>
              </w:numPr>
              <w:spacing w:after="80" w:line="280"/>
            </w:pPr>
            <w:r>
              <w:rPr>
                <w:b/>
                <w:bCs/>
              </w:rPr>
              <w:t xml:space="preserve">¿Tienen AD local con más de 100 usuarios? </w:t>
            </w:r>
            <w:r>
              <w:t xml:space="preserve">→ Entra Cloud Sync (más moderno) o Entra Connect (legado, sigue soportado).</w:t>
            </w:r>
          </w:p>
          <w:p>
            <w:pPr>
              <w:pStyle w:val="ListParagraph"/>
              <w:numPr>
                <w:ilvl w:val="0"/>
                <w:numId w:val="2"/>
              </w:numPr>
              <w:spacing w:after="80" w:line="280"/>
            </w:pPr>
            <w:r>
              <w:rPr>
                <w:b/>
                <w:bCs/>
              </w:rPr>
              <w:t xml:space="preserve">¿Tienen ADFS hoy? </w:t>
            </w:r>
            <w:r>
              <w:t xml:space="preserve">→ Migrar a autenticación en la nube (Hash Sync + Seamless SSO). ADFS ya no es recomendado.</w:t>
            </w:r>
          </w:p>
          <w:p>
            <w:pPr>
              <w:pStyle w:val="ListParagraph"/>
              <w:numPr>
                <w:ilvl w:val="0"/>
                <w:numId w:val="2"/>
              </w:numPr>
              <w:spacing w:after="80" w:line="280"/>
            </w:pPr>
            <w:r>
              <w:rPr>
                <w:b/>
                <w:bCs/>
              </w:rPr>
              <w:t xml:space="preserve">¿Necesitan Multi-Forest o Multi-Domain? </w:t>
            </w:r>
            <w:r>
              <w:t xml:space="preserve">→ Evaluar Entra Connect (soporta escenarios complejos).</w:t>
            </w:r>
          </w:p>
        </w:tc>
      </w:tr>
    </w:tbl>
    <w:p>
      <w:pPr>
        <w:spacing w:after="100"/>
      </w:pPr>
      <w:r>
        <w:t xml:space="preserve"/>
      </w:r>
    </w:p>
    <w:p>
      <w:pPr>
        <w:pStyle w:val="Heading2"/>
        <w:spacing w:after="160" w:before="280"/>
      </w:pPr>
      <w:r>
        <w:t xml:space="preserve">4.3 Verificación de dominios</w:t>
      </w:r>
    </w:p>
    <w:p>
      <w:pPr>
        <w:spacing w:after="120" w:before="0" w:line="300"/>
      </w:pPr>
      <w:r>
        <w:t xml:space="preserve">Los dominios de correo (contoso.com, contoso.mx) deben agregarse y verificarse en el tenant antes de crear los usuarios con esas direcciones.</w:t>
      </w:r>
    </w:p>
    <w:p>
      <w:pPr>
        <w:pStyle w:val="ListParagraph"/>
        <w:numPr>
          <w:ilvl w:val="0"/>
          <w:numId w:val="3"/>
        </w:numPr>
        <w:spacing w:after="100" w:line="280"/>
      </w:pPr>
      <w:r>
        <w:t xml:space="preserve">En el Centro de administración de M365 → Configuración → Dominios → Agregar dominio.</w:t>
      </w:r>
    </w:p>
    <w:p>
      <w:pPr>
        <w:pStyle w:val="ListParagraph"/>
        <w:numPr>
          <w:ilvl w:val="0"/>
          <w:numId w:val="3"/>
        </w:numPr>
        <w:spacing w:after="100" w:line="280"/>
      </w:pPr>
      <w:r>
        <w:t xml:space="preserve">Ingresar el dominio (ej: contoso.com).</w:t>
      </w:r>
    </w:p>
    <w:p>
      <w:pPr>
        <w:pStyle w:val="ListParagraph"/>
        <w:numPr>
          <w:ilvl w:val="0"/>
          <w:numId w:val="3"/>
        </w:numPr>
        <w:spacing w:after="100" w:line="280"/>
      </w:pPr>
      <w:r>
        <w:t xml:space="preserve">Microsoft solicitará agregar un registro TXT en el DNS público del dominio para probar propiedad.</w:t>
      </w:r>
    </w:p>
    <w:p>
      <w:pPr>
        <w:pStyle w:val="ListParagraph"/>
        <w:numPr>
          <w:ilvl w:val="0"/>
          <w:numId w:val="3"/>
        </w:numPr>
        <w:spacing w:after="100" w:line="280"/>
      </w:pPr>
      <w:r>
        <w:t xml:space="preserve">El registro es del tipo: MS=msXXXXXXXX</w:t>
      </w:r>
    </w:p>
    <w:p>
      <w:pPr>
        <w:pStyle w:val="ListParagraph"/>
        <w:numPr>
          <w:ilvl w:val="0"/>
          <w:numId w:val="3"/>
        </w:numPr>
        <w:spacing w:after="100" w:line="280"/>
      </w:pPr>
      <w:r>
        <w:t xml:space="preserve">Publicar en el DNS y esperar propagación (5-60 min).</w:t>
      </w:r>
    </w:p>
    <w:p>
      <w:pPr>
        <w:pStyle w:val="ListParagraph"/>
        <w:numPr>
          <w:ilvl w:val="0"/>
          <w:numId w:val="3"/>
        </w:numPr>
        <w:spacing w:after="100" w:line="280"/>
      </w:pPr>
      <w:r>
        <w:t xml:space="preserve">Regresar al portal y confirmar verificación.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FF2CC" w:val="clear"/>
            <w:tcMar>
              <w:top w:type="dxa" w:w="160"/>
              <w:left w:type="dxa" w:w="200"/>
              <w:bottom w:type="dxa" w:w="160"/>
              <w:right w:type="dxa" w:w="200"/>
            </w:tcMar>
          </w:tcPr>
          <w:p>
            <w:pPr>
              <w:spacing w:after="80"/>
            </w:pPr>
            <w:r>
              <w:rPr>
                <w:b/>
                <w:bCs/>
                <w:color w:val="1F4E79"/>
                <w:sz w:val="22"/>
                <w:szCs w:val="22"/>
              </w:rPr>
              <w:t xml:space="preserve">No aceptar el cambio automático de DNS</w:t>
            </w:r>
          </w:p>
          <w:p>
            <w:pPr>
              <w:spacing w:after="0" w:before="0" w:line="300"/>
            </w:pPr>
            <w:r>
              <w:t xml:space="preserve">El portal ofrecerá cambiar automáticamente los registros MX, SPF, Autodiscover, DKIM. Si el correo aún opera en otro proveedor (Hostinger, Gmail, Exchange on-premises), rechazar y seleccionar "Voy a administrar mis propios registros DNS". El cambio de MX debe hacerse controladamente al final de la migración de correo, no ahora.</w:t>
            </w:r>
          </w:p>
        </w:tc>
      </w:tr>
    </w:tbl>
    <w:p>
      <w:pPr>
        <w:spacing w:after="100"/>
      </w:pPr>
      <w:r>
        <w:t xml:space="preserve"/>
      </w:r>
    </w:p>
    <w:p>
      <w:pPr>
        <w:pStyle w:val="Heading2"/>
        <w:spacing w:after="160" w:before="280"/>
      </w:pPr>
      <w:r>
        <w:t xml:space="preserve">4.4 Documentación previa a la ejecución</w:t>
      </w:r>
    </w:p>
    <w:p>
      <w:pPr>
        <w:pStyle w:val="ListParagraph"/>
        <w:numPr>
          <w:ilvl w:val="0"/>
          <w:numId w:val="2"/>
        </w:numPr>
        <w:spacing w:after="80" w:line="280"/>
      </w:pPr>
      <w:r>
        <w:t xml:space="preserve">Documento de arquitectura del tenant (dominios, región, modelo de identidad).</w:t>
      </w:r>
    </w:p>
    <w:p>
      <w:pPr>
        <w:pStyle w:val="ListParagraph"/>
        <w:numPr>
          <w:ilvl w:val="0"/>
          <w:numId w:val="2"/>
        </w:numPr>
        <w:spacing w:after="80" w:line="280"/>
      </w:pPr>
      <w:r>
        <w:t xml:space="preserve">Inventario de licencias adquiridas.</w:t>
      </w:r>
    </w:p>
    <w:p>
      <w:pPr>
        <w:pStyle w:val="ListParagraph"/>
        <w:numPr>
          <w:ilvl w:val="0"/>
          <w:numId w:val="2"/>
        </w:numPr>
        <w:spacing w:after="80" w:line="280"/>
      </w:pPr>
      <w:r>
        <w:t xml:space="preserve">Matriz de responsabilidades RACI del equipo.</w:t>
      </w:r>
    </w:p>
    <w:p>
      <w:pPr>
        <w:pStyle w:val="ListParagraph"/>
        <w:numPr>
          <w:ilvl w:val="0"/>
          <w:numId w:val="2"/>
        </w:numPr>
        <w:spacing w:after="80" w:line="280"/>
      </w:pPr>
      <w:r>
        <w:t xml:space="preserve">Plan de comunicación a usuarios finales.</w:t>
      </w:r>
    </w:p>
    <w:p>
      <w:pPr>
        <w:pStyle w:val="ListParagraph"/>
        <w:numPr>
          <w:ilvl w:val="0"/>
          <w:numId w:val="2"/>
        </w:numPr>
        <w:spacing w:after="80" w:line="280"/>
      </w:pPr>
      <w:r>
        <w:t xml:space="preserve">Cronograma de fases con fechas objetivo.</w:t>
      </w:r>
    </w:p>
    <w:p>
      <w:r>
        <w:br w:type="page"/>
      </w:r>
    </w:p>
    <w:p>
      <w:pPr>
        <w:pStyle w:val="Heading1"/>
        <w:spacing w:after="200" w:before="360"/>
      </w:pPr>
      <w:r>
        <w:t xml:space="preserve">5. Fase 2 — Configuración inicial del tenant</w:t>
      </w:r>
    </w:p>
    <w:p>
      <w:pPr>
        <w:spacing w:after="120" w:before="0" w:line="300"/>
      </w:pPr>
      <w:r>
        <w:t xml:space="preserve">Una vez creado el tenant, hay una serie de parámetros base que deben ajustarse antes de crear usuarios o exponer el servicio. Estos parámetros afectan la experiencia y seguridad de toda la organización.</w:t>
      </w:r>
    </w:p>
    <w:p>
      <w:pPr>
        <w:pStyle w:val="Heading2"/>
        <w:spacing w:after="160" w:before="280"/>
      </w:pPr>
      <w:r>
        <w:t xml:space="preserve">5.1 Configuración de la organización</w:t>
      </w:r>
    </w:p>
    <w:p>
      <w:pPr>
        <w:spacing w:after="120" w:before="0" w:line="300"/>
      </w:pPr>
      <w:r>
        <w:t xml:space="preserve">En Centro de administración de M365 → Configuración → Configuración de la organización:</w:t>
      </w:r>
    </w:p>
    <w:p>
      <w:pPr>
        <w:pStyle w:val="ListParagraph"/>
        <w:numPr>
          <w:ilvl w:val="0"/>
          <w:numId w:val="2"/>
        </w:numPr>
        <w:spacing w:after="80" w:line="280"/>
      </w:pPr>
      <w:r>
        <w:t xml:space="preserve">Nombre de la organización (aparece en portales, correos automáticos).</w:t>
      </w:r>
    </w:p>
    <w:p>
      <w:pPr>
        <w:pStyle w:val="ListParagraph"/>
        <w:numPr>
          <w:ilvl w:val="0"/>
          <w:numId w:val="2"/>
        </w:numPr>
        <w:spacing w:after="80" w:line="280"/>
      </w:pPr>
      <w:r>
        <w:t xml:space="preserve">Dirección postal, teléfono y correo de contacto técnico.</w:t>
      </w:r>
    </w:p>
    <w:p>
      <w:pPr>
        <w:pStyle w:val="ListParagraph"/>
        <w:numPr>
          <w:ilvl w:val="0"/>
          <w:numId w:val="2"/>
        </w:numPr>
        <w:spacing w:after="80" w:line="280"/>
      </w:pPr>
      <w:r>
        <w:t xml:space="preserve">Idioma predeterminado y zona horaria.</w:t>
      </w:r>
    </w:p>
    <w:p>
      <w:pPr>
        <w:pStyle w:val="ListParagraph"/>
        <w:numPr>
          <w:ilvl w:val="0"/>
          <w:numId w:val="2"/>
        </w:numPr>
        <w:spacing w:after="80" w:line="280"/>
      </w:pPr>
      <w:r>
        <w:t xml:space="preserve">Preferencias de privacidad y análisis (opt-out de servicios opcionales).</w:t>
      </w:r>
    </w:p>
    <w:p>
      <w:pPr>
        <w:pStyle w:val="ListParagraph"/>
        <w:numPr>
          <w:ilvl w:val="0"/>
          <w:numId w:val="2"/>
        </w:numPr>
        <w:spacing w:after="80" w:line="280"/>
      </w:pPr>
      <w:r>
        <w:t xml:space="preserve">Configuración de notificaciones a administradores.</w:t>
      </w:r>
    </w:p>
    <w:p>
      <w:pPr>
        <w:spacing w:after="100"/>
      </w:pPr>
      <w:r>
        <w:t xml:space="preserve"/>
      </w:r>
    </w:p>
    <w:p>
      <w:pPr>
        <w:pStyle w:val="Heading2"/>
        <w:spacing w:after="160" w:before="280"/>
      </w:pPr>
      <w:r>
        <w:t xml:space="preserve">5.2 Perfil de emisor y correo de administrador</w:t>
      </w:r>
    </w:p>
    <w:p>
      <w:pPr>
        <w:pStyle w:val="ListParagraph"/>
        <w:numPr>
          <w:ilvl w:val="0"/>
          <w:numId w:val="2"/>
        </w:numPr>
        <w:spacing w:after="80" w:line="280"/>
      </w:pPr>
      <w:r>
        <w:t xml:space="preserve">Definir la dirección de correo que recibe alertas críticas de Microsoft (facturación, seguridad, cambios en el servicio).</w:t>
      </w:r>
    </w:p>
    <w:p>
      <w:pPr>
        <w:pStyle w:val="ListParagraph"/>
        <w:numPr>
          <w:ilvl w:val="0"/>
          <w:numId w:val="2"/>
        </w:numPr>
        <w:spacing w:after="80" w:line="280"/>
      </w:pPr>
      <w:r>
        <w:t xml:space="preserve">Recomendado: un buzón compartido (alertas@empresa.com) que reciban múltiples administradores, no un buzón personal.</w:t>
      </w:r>
    </w:p>
    <w:p>
      <w:pPr>
        <w:pStyle w:val="ListParagraph"/>
        <w:numPr>
          <w:ilvl w:val="0"/>
          <w:numId w:val="2"/>
        </w:numPr>
        <w:spacing w:after="80" w:line="280"/>
      </w:pPr>
      <w:r>
        <w:t xml:space="preserve">Configurar el correo de recuperación y teléfono de contacto para el Global Admin inicial.</w:t>
      </w:r>
    </w:p>
    <w:p>
      <w:pPr>
        <w:spacing w:after="100"/>
      </w:pPr>
      <w:r>
        <w:t xml:space="preserve"/>
      </w:r>
    </w:p>
    <w:p>
      <w:pPr>
        <w:pStyle w:val="Heading2"/>
        <w:spacing w:after="160" w:before="280"/>
      </w:pPr>
      <w:r>
        <w:t xml:space="preserve">5.3 Configuraciones de servicios (habilitación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Principio: habilitar solo lo necesario</w:t>
            </w:r>
          </w:p>
          <w:p>
            <w:pPr>
              <w:spacing w:after="0" w:before="0" w:line="300"/>
            </w:pPr>
            <w:r>
              <w:t xml:space="preserve">Por defecto, todos los servicios (Teams, SharePoint, Sway, Forms, Power Apps, etc.) están habilitados para todos los usuarios. Se recomienda revisar y deshabilitar los que la organización no vaya a usar en la fase inicial. Se pueden habilitar más adelante cuando exista un plan de adopción.</w:t>
            </w:r>
          </w:p>
        </w:tc>
      </w:tr>
    </w:tbl>
    <w:p>
      <w:pPr>
        <w:spacing w:after="100"/>
      </w:pPr>
      <w:r>
        <w:t xml:space="preserve"/>
      </w:r>
    </w:p>
    <w:p>
      <w:pPr>
        <w:spacing w:after="120" w:before="0" w:line="300"/>
      </w:pPr>
      <w:r>
        <w:t xml:space="preserve">Configuración por servicio en: Centro de administración → Configuración → Servicios.</w:t>
      </w:r>
    </w:p>
    <w:p>
      <w:pPr>
        <w:pStyle w:val="ListParagraph"/>
        <w:numPr>
          <w:ilvl w:val="0"/>
          <w:numId w:val="2"/>
        </w:numPr>
        <w:spacing w:after="80" w:line="280"/>
      </w:pPr>
      <w:r>
        <w:t xml:space="preserve">Sway: deshabilitar si no se planea usar (evita creación de contenido no gobernado).</w:t>
      </w:r>
    </w:p>
    <w:p>
      <w:pPr>
        <w:pStyle w:val="ListParagraph"/>
        <w:numPr>
          <w:ilvl w:val="0"/>
          <w:numId w:val="2"/>
        </w:numPr>
        <w:spacing w:after="80" w:line="280"/>
      </w:pPr>
      <w:r>
        <w:t xml:space="preserve">Forms: revisar configuración de compartición externa.</w:t>
      </w:r>
    </w:p>
    <w:p>
      <w:pPr>
        <w:pStyle w:val="ListParagraph"/>
        <w:numPr>
          <w:ilvl w:val="0"/>
          <w:numId w:val="2"/>
        </w:numPr>
        <w:spacing w:after="80" w:line="280"/>
      </w:pPr>
      <w:r>
        <w:t xml:space="preserve">Whiteboard: definir si se guarda en OneDrive del usuario o en Azure.</w:t>
      </w:r>
    </w:p>
    <w:p>
      <w:pPr>
        <w:pStyle w:val="ListParagraph"/>
        <w:numPr>
          <w:ilvl w:val="0"/>
          <w:numId w:val="2"/>
        </w:numPr>
        <w:spacing w:after="80" w:line="280"/>
      </w:pPr>
      <w:r>
        <w:t xml:space="preserve">Bookings: deshabilitar si no aplica al negocio.</w:t>
      </w:r>
    </w:p>
    <w:p>
      <w:pPr>
        <w:pStyle w:val="ListParagraph"/>
        <w:numPr>
          <w:ilvl w:val="0"/>
          <w:numId w:val="2"/>
        </w:numPr>
        <w:spacing w:after="80" w:line="280"/>
      </w:pPr>
      <w:r>
        <w:t xml:space="preserve">Power Platform: definir política de gobierno (Data Loss Prevention Policies para conectores).</w:t>
      </w:r>
    </w:p>
    <w:p>
      <w:pPr>
        <w:pStyle w:val="ListParagraph"/>
        <w:numPr>
          <w:ilvl w:val="0"/>
          <w:numId w:val="2"/>
        </w:numPr>
        <w:spacing w:after="80" w:line="280"/>
      </w:pPr>
      <w:r>
        <w:t xml:space="preserve">Copilot: si se adquiere, configurar acceso por grupos específicos.</w:t>
      </w:r>
    </w:p>
    <w:p>
      <w:pPr>
        <w:spacing w:after="100"/>
      </w:pPr>
      <w:r>
        <w:t xml:space="preserve"/>
      </w:r>
    </w:p>
    <w:p>
      <w:pPr>
        <w:pStyle w:val="Heading2"/>
        <w:spacing w:after="160" w:before="280"/>
      </w:pPr>
      <w:r>
        <w:t xml:space="preserve">5.4 Configuraciones globales de seguridad iniciales</w:t>
      </w:r>
    </w:p>
    <w:p>
      <w:pPr>
        <w:pStyle w:val="ListParagraph"/>
        <w:numPr>
          <w:ilvl w:val="0"/>
          <w:numId w:val="2"/>
        </w:numPr>
        <w:spacing w:after="80" w:line="280"/>
      </w:pPr>
      <w:r>
        <w:t xml:space="preserve">Habilitar auditoría unificada: Portal de Purview → Auditoría → Comenzar a grabar la actividad.</w:t>
      </w:r>
    </w:p>
    <w:p>
      <w:pPr>
        <w:pStyle w:val="ListParagraph"/>
        <w:numPr>
          <w:ilvl w:val="0"/>
          <w:numId w:val="2"/>
        </w:numPr>
        <w:spacing w:after="80" w:line="280"/>
      </w:pPr>
      <w:r>
        <w:t xml:space="preserve">Habilitar reportes de mensajería de usuario (User Reported Messages) en Defender for O365.</w:t>
      </w:r>
    </w:p>
    <w:p>
      <w:pPr>
        <w:pStyle w:val="ListParagraph"/>
        <w:numPr>
          <w:ilvl w:val="0"/>
          <w:numId w:val="2"/>
        </w:numPr>
        <w:spacing w:after="80" w:line="280"/>
      </w:pPr>
      <w:r>
        <w:t xml:space="preserve">Configurar el buzón de reporte de phishing (reports@empresa.com).</w:t>
      </w:r>
    </w:p>
    <w:p>
      <w:pPr>
        <w:pStyle w:val="ListParagraph"/>
        <w:numPr>
          <w:ilvl w:val="0"/>
          <w:numId w:val="2"/>
        </w:numPr>
        <w:spacing w:after="80" w:line="280"/>
      </w:pPr>
      <w:r>
        <w:t xml:space="preserve">Deshabilitar el consentimiento de usuario para aplicaciones de terceros: Entra ID → Aplicaciones empresariales → Configuración de consentimiento.</w:t>
      </w:r>
    </w:p>
    <w:p>
      <w:pPr>
        <w:pStyle w:val="ListParagraph"/>
        <w:numPr>
          <w:ilvl w:val="0"/>
          <w:numId w:val="2"/>
        </w:numPr>
        <w:spacing w:after="80" w:line="280"/>
      </w:pPr>
      <w:r>
        <w:t xml:space="preserve">Deshabilitar la posibilidad de que usuarios creen tenants o suscripciones adicionales.</w:t>
      </w:r>
    </w:p>
    <w:p>
      <w:pPr>
        <w:spacing w:after="100"/>
      </w:pPr>
      <w:r>
        <w:t xml:space="preserve"/>
      </w:r>
    </w:p>
    <w:p>
      <w:pPr>
        <w:pStyle w:val="Heading2"/>
        <w:spacing w:after="160" w:before="280"/>
      </w:pPr>
      <w:r>
        <w:t xml:space="preserve">5.5 Notificaciones al administrador</w:t>
      </w:r>
    </w:p>
    <w:p>
      <w:pPr>
        <w:spacing w:after="120" w:before="0" w:line="300"/>
      </w:pPr>
      <w:r>
        <w:t xml:space="preserve">Configurar destinatarios y tipo de notificaciones a recibir:</w:t>
      </w:r>
    </w:p>
    <w:p>
      <w:pPr>
        <w:pStyle w:val="ListParagraph"/>
        <w:numPr>
          <w:ilvl w:val="0"/>
          <w:numId w:val="2"/>
        </w:numPr>
        <w:spacing w:after="80" w:line="280"/>
      </w:pPr>
      <w:r>
        <w:t xml:space="preserve">Alertas de seguridad de Entra ID (usuarios comprometidos, inicios de sesión sospechosos).</w:t>
      </w:r>
    </w:p>
    <w:p>
      <w:pPr>
        <w:pStyle w:val="ListParagraph"/>
        <w:numPr>
          <w:ilvl w:val="0"/>
          <w:numId w:val="2"/>
        </w:numPr>
        <w:spacing w:after="80" w:line="280"/>
      </w:pPr>
      <w:r>
        <w:t xml:space="preserve">Alertas de Defender (malware detectado, phishing bloqueado, campañas).</w:t>
      </w:r>
    </w:p>
    <w:p>
      <w:pPr>
        <w:pStyle w:val="ListParagraph"/>
        <w:numPr>
          <w:ilvl w:val="0"/>
          <w:numId w:val="2"/>
        </w:numPr>
        <w:spacing w:after="80" w:line="280"/>
      </w:pPr>
      <w:r>
        <w:t xml:space="preserve">Alertas de servicio de Microsoft (mantenimiento, incidencias).</w:t>
      </w:r>
    </w:p>
    <w:p>
      <w:pPr>
        <w:pStyle w:val="ListParagraph"/>
        <w:numPr>
          <w:ilvl w:val="0"/>
          <w:numId w:val="2"/>
        </w:numPr>
        <w:spacing w:after="80" w:line="280"/>
      </w:pPr>
      <w:r>
        <w:t xml:space="preserve">Notificaciones de licenciamiento y facturación.</w:t>
      </w:r>
    </w:p>
    <w:p>
      <w:pPr>
        <w:pStyle w:val="ListParagraph"/>
        <w:numPr>
          <w:ilvl w:val="0"/>
          <w:numId w:val="2"/>
        </w:numPr>
        <w:spacing w:after="80" w:line="280"/>
      </w:pPr>
      <w:r>
        <w:t xml:space="preserve">Reportes semanales/mensuales resumen.</w:t>
      </w:r>
    </w:p>
    <w:p>
      <w:r>
        <w:br w:type="page"/>
      </w:r>
    </w:p>
    <w:p>
      <w:pPr>
        <w:pStyle w:val="Heading1"/>
        <w:spacing w:after="200" w:before="360"/>
      </w:pPr>
      <w:r>
        <w:t xml:space="preserve">6. Fase 3 — Modelo de identidad y usuarios</w:t>
      </w:r>
    </w:p>
    <w:p>
      <w:pPr>
        <w:spacing w:after="120" w:before="0" w:line="300"/>
      </w:pPr>
      <w:r>
        <w:t xml:space="preserve">Los usuarios son la base sobre la que se apoya todo lo demás. Definir bien los tipos de cuenta, el ciclo de vida y las convenciones ahorra semanas de retrabajo en el futuro.</w:t>
      </w:r>
    </w:p>
    <w:p>
      <w:pPr>
        <w:pStyle w:val="Heading2"/>
        <w:spacing w:after="160" w:before="280"/>
      </w:pPr>
      <w:r>
        <w:t xml:space="preserve">6.1 Tipos de usuarios en Microsoft 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Tipo</w:t>
            </w:r>
          </w:p>
        </w:tc>
        <w:tc>
          <w:tcPr>
            <w:tcW w:type="dxa" w:w="69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Descripción y uso</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Miembro (Member)</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Empleados formales de la organización. Cuenta completa con acceso a servicios.</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Invitado (Guest, B2B)</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Personas externas (proveedores, clientes) invitadas a colaborar. Autenticación con su propio proveedor de identidad (Google, Microsoft, otro Entra ID).</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Cuenta de servicio</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 es una persona; representa una aplicación o proceso. NO debe usarse para inicio de sesión interactivo (usar Managed Identities en Azure cuando sea posible).</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Cuenta compartida</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Buzón compartido, sala, equipo, dispositivo. No debe tener licencia asignada individualmente; se otorga acceso por delegación.</w:t>
            </w:r>
          </w:p>
        </w:tc>
      </w:tr>
      <w:tr>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Break-glass / Emergencia</w:t>
            </w:r>
          </w:p>
        </w:tc>
        <w:tc>
          <w:tcPr>
            <w:tcW w:type="dxa" w:w="69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Cuentas administrativas de último recurso, excluidas de Conditional Access y MFA condicional. Ver Fase 4.</w:t>
            </w:r>
          </w:p>
        </w:tc>
      </w:tr>
    </w:tbl>
    <w:p>
      <w:pPr>
        <w:spacing w:after="100"/>
      </w:pPr>
      <w:r>
        <w:t xml:space="preserve"/>
      </w:r>
    </w:p>
    <w:p>
      <w:pPr>
        <w:pStyle w:val="Heading2"/>
        <w:spacing w:after="160" w:before="280"/>
      </w:pPr>
      <w:r>
        <w:t xml:space="preserve">6.2 Estrategia de sincronización con Active Directory</w:t>
      </w:r>
    </w:p>
    <w:p>
      <w:pPr>
        <w:spacing w:after="120" w:before="0" w:line="300"/>
      </w:pPr>
      <w:r>
        <w:t xml:space="preserve">Si la organización tiene AD local, se sincronizan los usuarios a Entra ID. Hay dos herramientas:</w:t>
      </w:r>
    </w:p>
    <w:p>
      <w:pPr>
        <w:pStyle w:val="ListParagraph"/>
        <w:numPr>
          <w:ilvl w:val="0"/>
          <w:numId w:val="2"/>
        </w:numPr>
        <w:spacing w:after="80" w:line="280"/>
      </w:pPr>
      <w:r>
        <w:rPr>
          <w:b/>
          <w:bCs/>
        </w:rPr>
        <w:t xml:space="preserve">Entra Cloud Sync (recomendado para nuevos despliegues): </w:t>
      </w:r>
      <w:r>
        <w:t xml:space="preserve">agente ligero, gestionado desde el portal, adecuado para escenarios estándar y multi-forest.</w:t>
      </w:r>
    </w:p>
    <w:p>
      <w:pPr>
        <w:pStyle w:val="ListParagraph"/>
        <w:numPr>
          <w:ilvl w:val="0"/>
          <w:numId w:val="2"/>
        </w:numPr>
        <w:spacing w:after="80" w:line="280"/>
      </w:pPr>
      <w:r>
        <w:rPr>
          <w:b/>
          <w:bCs/>
        </w:rPr>
        <w:t xml:space="preserve">Entra Connect (legado, sigue soportado): </w:t>
      </w:r>
      <w:r>
        <w:t xml:space="preserve">instalación tradicional, más opciones avanzadas (filtros, custom rules, ADFS).</w:t>
      </w:r>
    </w:p>
    <w:p>
      <w:pPr>
        <w:spacing w:after="100"/>
      </w:pPr>
      <w:r>
        <w:t xml:space="preserve"/>
      </w:r>
    </w:p>
    <w:p>
      <w:pPr>
        <w:pStyle w:val="Heading3"/>
        <w:spacing w:after="120" w:before="220"/>
      </w:pPr>
      <w:r>
        <w:t xml:space="preserve">6.2.1 Consideraciones de sincronización</w:t>
      </w:r>
    </w:p>
    <w:p>
      <w:pPr>
        <w:pStyle w:val="ListParagraph"/>
        <w:numPr>
          <w:ilvl w:val="0"/>
          <w:numId w:val="2"/>
        </w:numPr>
        <w:spacing w:after="80" w:line="280"/>
      </w:pPr>
      <w:r>
        <w:t xml:space="preserve">Definir qué OUs se sincronizan (evitar sincronizar servicio, computadoras, cuentas obsoletas).</w:t>
      </w:r>
    </w:p>
    <w:p>
      <w:pPr>
        <w:pStyle w:val="ListParagraph"/>
        <w:numPr>
          <w:ilvl w:val="0"/>
          <w:numId w:val="2"/>
        </w:numPr>
        <w:spacing w:after="80" w:line="280"/>
      </w:pPr>
      <w:r>
        <w:t xml:space="preserve">Habilitar Password Hash Sync como respaldo aunque se use otro método.</w:t>
      </w:r>
    </w:p>
    <w:p>
      <w:pPr>
        <w:pStyle w:val="ListParagraph"/>
        <w:numPr>
          <w:ilvl w:val="0"/>
          <w:numId w:val="2"/>
        </w:numPr>
        <w:spacing w:after="80" w:line="280"/>
      </w:pPr>
      <w:r>
        <w:t xml:space="preserve">Habilitar Seamless SSO para autenticación transparente en la red corporativa.</w:t>
      </w:r>
    </w:p>
    <w:p>
      <w:pPr>
        <w:pStyle w:val="ListParagraph"/>
        <w:numPr>
          <w:ilvl w:val="0"/>
          <w:numId w:val="2"/>
        </w:numPr>
        <w:spacing w:after="80" w:line="280"/>
      </w:pPr>
      <w:r>
        <w:t xml:space="preserve">Configurar UPN Suffix Routing: el UPN local debe coincidir con la dirección de correo (usuario@dominio.com), no con el dominio interno de AD (usuario@dominio.local).</w:t>
      </w:r>
    </w:p>
    <w:p>
      <w:pPr>
        <w:pStyle w:val="ListParagraph"/>
        <w:numPr>
          <w:ilvl w:val="0"/>
          <w:numId w:val="2"/>
        </w:numPr>
        <w:spacing w:after="80" w:line="280"/>
      </w:pPr>
      <w:r>
        <w:t xml:space="preserve">Documentar reglas de sincronización personalizadas si aplican.</w:t>
      </w:r>
    </w:p>
    <w:p>
      <w:pPr>
        <w:pStyle w:val="ListParagraph"/>
        <w:numPr>
          <w:ilvl w:val="0"/>
          <w:numId w:val="2"/>
        </w:numPr>
        <w:spacing w:after="80" w:line="280"/>
      </w:pPr>
      <w:r>
        <w:t xml:space="preserve">Monitorear salud del sync desde el portal Entra Connect Health.</w:t>
      </w:r>
    </w:p>
    <w:p>
      <w:pPr>
        <w:spacing w:after="100"/>
      </w:pPr>
      <w:r>
        <w:t xml:space="preserve"/>
      </w:r>
    </w:p>
    <w:p>
      <w:pPr>
        <w:pStyle w:val="Heading2"/>
        <w:spacing w:after="160" w:before="280"/>
      </w:pPr>
      <w:r>
        <w:t xml:space="preserve">6.3 Nomenclatura estándar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E2EFDA" w:val="clear"/>
            <w:tcMar>
              <w:top w:type="dxa" w:w="160"/>
              <w:left w:type="dxa" w:w="200"/>
              <w:bottom w:type="dxa" w:w="160"/>
              <w:right w:type="dxa" w:w="200"/>
            </w:tcMar>
          </w:tcPr>
          <w:p>
            <w:pPr>
              <w:spacing w:after="80"/>
            </w:pPr>
            <w:r>
              <w:rPr>
                <w:b/>
                <w:bCs/>
                <w:color w:val="1F4E79"/>
                <w:sz w:val="22"/>
                <w:szCs w:val="22"/>
              </w:rPr>
              <w:t xml:space="preserve">Regla: UPN = dirección de correo</w:t>
            </w:r>
          </w:p>
          <w:p>
            <w:pPr>
              <w:spacing w:after="0" w:before="0" w:line="300"/>
            </w:pPr>
            <w:r>
              <w:t xml:space="preserve">El User Principal Name (UPN) del usuario en M365 debe ser SIEMPRE su dirección de correo (juan.perez@contoso.com), no un identificador técnico. Simplifica la experiencia, evita confusión y facilita SSO.</w:t>
            </w:r>
          </w:p>
        </w:tc>
      </w:tr>
    </w:tbl>
    <w:p>
      <w:pPr>
        <w:spacing w:after="100"/>
      </w:pPr>
      <w:r>
        <w:t xml:space="preserve"/>
      </w:r>
    </w:p>
    <w:p>
      <w:pPr>
        <w:spacing w:after="120" w:before="0" w:line="300"/>
      </w:pPr>
      <w:r>
        <w:t xml:space="preserve">Convenciones recomendadas:</w:t>
      </w:r>
    </w:p>
    <w:p>
      <w:pPr>
        <w:pStyle w:val="ListParagraph"/>
        <w:numPr>
          <w:ilvl w:val="0"/>
          <w:numId w:val="2"/>
        </w:numPr>
        <w:spacing w:after="80" w:line="280"/>
      </w:pPr>
      <w:r>
        <w:t xml:space="preserve">UPN: nombre.apellido@dominio.com</w:t>
      </w:r>
    </w:p>
    <w:p>
      <w:pPr>
        <w:pStyle w:val="ListParagraph"/>
        <w:numPr>
          <w:ilvl w:val="0"/>
          <w:numId w:val="2"/>
        </w:numPr>
        <w:spacing w:after="80" w:line="280"/>
      </w:pPr>
      <w:r>
        <w:t xml:space="preserve">Alias / MailNickname: nombre.apellido (sin espacios ni caracteres especiales).</w:t>
      </w:r>
    </w:p>
    <w:p>
      <w:pPr>
        <w:pStyle w:val="ListParagraph"/>
        <w:numPr>
          <w:ilvl w:val="0"/>
          <w:numId w:val="2"/>
        </w:numPr>
        <w:spacing w:after="80" w:line="280"/>
      </w:pPr>
      <w:r>
        <w:t xml:space="preserve">Display Name: Nombre Apellido (con acentos y espacios naturales).</w:t>
      </w:r>
    </w:p>
    <w:p>
      <w:pPr>
        <w:pStyle w:val="ListParagraph"/>
        <w:numPr>
          <w:ilvl w:val="0"/>
          <w:numId w:val="2"/>
        </w:numPr>
        <w:spacing w:after="80" w:line="280"/>
      </w:pPr>
      <w:r>
        <w:t xml:space="preserve">Puestos duplicados (dos Juan Pérez): agregar inicial del segundo apellido o número solo si es indispensable.</w:t>
      </w:r>
    </w:p>
    <w:p>
      <w:pPr>
        <w:pStyle w:val="ListParagraph"/>
        <w:numPr>
          <w:ilvl w:val="0"/>
          <w:numId w:val="2"/>
        </w:numPr>
        <w:spacing w:after="80" w:line="280"/>
      </w:pPr>
      <w:r>
        <w:t xml:space="preserve">Cuentas de servicio: prefijo svc- (ej: svc-migracion@contoso.com).</w:t>
      </w:r>
    </w:p>
    <w:p>
      <w:pPr>
        <w:pStyle w:val="ListParagraph"/>
        <w:numPr>
          <w:ilvl w:val="0"/>
          <w:numId w:val="2"/>
        </w:numPr>
        <w:spacing w:after="80" w:line="280"/>
      </w:pPr>
      <w:r>
        <w:t xml:space="preserve">Cuentas administrativas: prefijo adm- (ej: adm-jperez@contoso.com) — SEPARADAS de la cuenta de usuario cotidiana.</w:t>
      </w:r>
    </w:p>
    <w:p>
      <w:pPr>
        <w:spacing w:after="100"/>
      </w:pPr>
      <w:r>
        <w:t xml:space="preserve"/>
      </w:r>
    </w:p>
    <w:p>
      <w:pPr>
        <w:pStyle w:val="Heading2"/>
        <w:spacing w:after="160" w:before="280"/>
      </w:pPr>
      <w:r>
        <w:t xml:space="preserve">6.4 Ciclo de vida (Joiner–Mover–Leaver)</w:t>
      </w:r>
    </w:p>
    <w:p>
      <w:pPr>
        <w:spacing w:after="120" w:before="0" w:line="300"/>
      </w:pPr>
      <w:r>
        <w:t xml:space="preserve">Definir procedimientos formales para las tres transiciones del ciclo de vida del usuario:</w:t>
      </w:r>
    </w:p>
    <w:p>
      <w:pPr>
        <w:pStyle w:val="Heading3"/>
        <w:spacing w:after="120" w:before="220"/>
      </w:pPr>
      <w:r>
        <w:t xml:space="preserve">6.4.1 Joiner — Alta de usuario nuevo</w:t>
      </w:r>
    </w:p>
    <w:p>
      <w:pPr>
        <w:pStyle w:val="ListParagraph"/>
        <w:numPr>
          <w:ilvl w:val="0"/>
          <w:numId w:val="3"/>
        </w:numPr>
        <w:spacing w:after="100" w:line="280"/>
      </w:pPr>
      <w:r>
        <w:t xml:space="preserve">Solicitud formal de RH al equipo de TI (o automatización desde el sistema de nómina).</w:t>
      </w:r>
    </w:p>
    <w:p>
      <w:pPr>
        <w:pStyle w:val="ListParagraph"/>
        <w:numPr>
          <w:ilvl w:val="0"/>
          <w:numId w:val="3"/>
        </w:numPr>
        <w:spacing w:after="100" w:line="280"/>
      </w:pPr>
      <w:r>
        <w:t xml:space="preserve">Creación de cuenta en AD local (si aplica) → sincronización a Entra ID.</w:t>
      </w:r>
    </w:p>
    <w:p>
      <w:pPr>
        <w:pStyle w:val="ListParagraph"/>
        <w:numPr>
          <w:ilvl w:val="0"/>
          <w:numId w:val="3"/>
        </w:numPr>
        <w:spacing w:after="100" w:line="280"/>
      </w:pPr>
      <w:r>
        <w:t xml:space="preserve">Asignación de licencia por medio de grupos (Group-Based Licensing).</w:t>
      </w:r>
    </w:p>
    <w:p>
      <w:pPr>
        <w:pStyle w:val="ListParagraph"/>
        <w:numPr>
          <w:ilvl w:val="0"/>
          <w:numId w:val="3"/>
        </w:numPr>
        <w:spacing w:after="100" w:line="280"/>
      </w:pPr>
      <w:r>
        <w:t xml:space="preserve">Asignación a grupos de acceso según puesto/área.</w:t>
      </w:r>
    </w:p>
    <w:p>
      <w:pPr>
        <w:pStyle w:val="ListParagraph"/>
        <w:numPr>
          <w:ilvl w:val="0"/>
          <w:numId w:val="3"/>
        </w:numPr>
        <w:spacing w:after="100" w:line="280"/>
      </w:pPr>
      <w:r>
        <w:t xml:space="preserve">Envío al usuario de correo con: UPN, contraseña temporal, guía de primer acceso, requisito de configurar MFA.</w:t>
      </w:r>
    </w:p>
    <w:p>
      <w:pPr>
        <w:pStyle w:val="ListParagraph"/>
        <w:numPr>
          <w:ilvl w:val="0"/>
          <w:numId w:val="3"/>
        </w:numPr>
        <w:spacing w:after="100" w:line="280"/>
      </w:pPr>
      <w:r>
        <w:t xml:space="preserve">Entrega de dispositivos (si aplica) con enrollment automático en Intune.</w:t>
      </w:r>
    </w:p>
    <w:p>
      <w:pPr>
        <w:pStyle w:val="ListParagraph"/>
        <w:numPr>
          <w:ilvl w:val="0"/>
          <w:numId w:val="3"/>
        </w:numPr>
        <w:spacing w:after="100" w:line="280"/>
      </w:pPr>
      <w:r>
        <w:t xml:space="preserve">Sesión de inducción con capacitación básica de M365.</w:t>
      </w:r>
    </w:p>
    <w:p>
      <w:pPr>
        <w:spacing w:after="100"/>
      </w:pPr>
      <w:r>
        <w:t xml:space="preserve"/>
      </w:r>
    </w:p>
    <w:p>
      <w:pPr>
        <w:pStyle w:val="Heading3"/>
        <w:spacing w:after="120" w:before="220"/>
      </w:pPr>
      <w:r>
        <w:t xml:space="preserve">6.4.2 Mover — Cambio de rol interno</w:t>
      </w:r>
    </w:p>
    <w:p>
      <w:pPr>
        <w:pStyle w:val="ListParagraph"/>
        <w:numPr>
          <w:ilvl w:val="0"/>
          <w:numId w:val="2"/>
        </w:numPr>
        <w:spacing w:after="80" w:line="280"/>
      </w:pPr>
      <w:r>
        <w:t xml:space="preserve">Remover el usuario de los grupos del rol anterior.</w:t>
      </w:r>
    </w:p>
    <w:p>
      <w:pPr>
        <w:pStyle w:val="ListParagraph"/>
        <w:numPr>
          <w:ilvl w:val="0"/>
          <w:numId w:val="2"/>
        </w:numPr>
        <w:spacing w:after="80" w:line="280"/>
      </w:pPr>
      <w:r>
        <w:t xml:space="preserve">Asignar a los grupos del nuevo rol.</w:t>
      </w:r>
    </w:p>
    <w:p>
      <w:pPr>
        <w:pStyle w:val="ListParagraph"/>
        <w:numPr>
          <w:ilvl w:val="0"/>
          <w:numId w:val="2"/>
        </w:numPr>
        <w:spacing w:after="80" w:line="280"/>
      </w:pPr>
      <w:r>
        <w:t xml:space="preserve">Revisar accesos heredados y limpiarlos.</w:t>
      </w:r>
    </w:p>
    <w:p>
      <w:pPr>
        <w:pStyle w:val="ListParagraph"/>
        <w:numPr>
          <w:ilvl w:val="0"/>
          <w:numId w:val="2"/>
        </w:numPr>
        <w:spacing w:after="80" w:line="280"/>
      </w:pPr>
      <w:r>
        <w:t xml:space="preserve">Notificar a los dueños de datos afectados.</w:t>
      </w:r>
    </w:p>
    <w:p>
      <w:pPr>
        <w:spacing w:after="100"/>
      </w:pPr>
      <w:r>
        <w:t xml:space="preserve"/>
      </w:r>
    </w:p>
    <w:p>
      <w:pPr>
        <w:pStyle w:val="Heading3"/>
        <w:spacing w:after="120" w:before="220"/>
      </w:pPr>
      <w:r>
        <w:t xml:space="preserve">6.4.3 Leaver — Baja de usuario</w:t>
      </w:r>
    </w:p>
    <w:p>
      <w:pPr>
        <w:pStyle w:val="ListParagraph"/>
        <w:numPr>
          <w:ilvl w:val="0"/>
          <w:numId w:val="3"/>
        </w:numPr>
        <w:spacing w:after="100" w:line="280"/>
      </w:pPr>
      <w:r>
        <w:t xml:space="preserve">Notificación de baja de RH con al menos 24 h de anticipación.</w:t>
      </w:r>
    </w:p>
    <w:p>
      <w:pPr>
        <w:pStyle w:val="ListParagraph"/>
        <w:numPr>
          <w:ilvl w:val="0"/>
          <w:numId w:val="3"/>
        </w:numPr>
        <w:spacing w:after="100" w:line="280"/>
      </w:pPr>
      <w:r>
        <w:t xml:space="preserve">Bloquear inicio de sesión en Entra ID (Sign-In blocked). Preferible sobre eliminar inmediatamente.</w:t>
      </w:r>
    </w:p>
    <w:p>
      <w:pPr>
        <w:pStyle w:val="ListParagraph"/>
        <w:numPr>
          <w:ilvl w:val="0"/>
          <w:numId w:val="3"/>
        </w:numPr>
        <w:spacing w:after="100" w:line="280"/>
      </w:pPr>
      <w:r>
        <w:t xml:space="preserve">Revocar todas las sesiones activas.</w:t>
      </w:r>
    </w:p>
    <w:p>
      <w:pPr>
        <w:pStyle w:val="ListParagraph"/>
        <w:numPr>
          <w:ilvl w:val="0"/>
          <w:numId w:val="3"/>
        </w:numPr>
        <w:spacing w:after="100" w:line="280"/>
      </w:pPr>
      <w:r>
        <w:t xml:space="preserve">Restablecer contraseña a un valor conocido solo por TI.</w:t>
      </w:r>
    </w:p>
    <w:p>
      <w:pPr>
        <w:pStyle w:val="ListParagraph"/>
        <w:numPr>
          <w:ilvl w:val="0"/>
          <w:numId w:val="3"/>
        </w:numPr>
        <w:spacing w:after="100" w:line="280"/>
      </w:pPr>
      <w:r>
        <w:t xml:space="preserve">Convertir el buzón en Shared Mailbox si es necesario retenerlo (sin cargo de licencia hasta 50 GB).</w:t>
      </w:r>
    </w:p>
    <w:p>
      <w:pPr>
        <w:pStyle w:val="ListParagraph"/>
        <w:numPr>
          <w:ilvl w:val="0"/>
          <w:numId w:val="3"/>
        </w:numPr>
        <w:spacing w:after="100" w:line="280"/>
      </w:pPr>
      <w:r>
        <w:t xml:space="preserve">Configurar autorrespondedor en el buzón notificando al remitente y ofreciendo contactos alternativos.</w:t>
      </w:r>
    </w:p>
    <w:p>
      <w:pPr>
        <w:pStyle w:val="ListParagraph"/>
        <w:numPr>
          <w:ilvl w:val="0"/>
          <w:numId w:val="3"/>
        </w:numPr>
        <w:spacing w:after="100" w:line="280"/>
      </w:pPr>
      <w:r>
        <w:t xml:space="preserve">Delegar acceso al buzón al jefe directo si aplica.</w:t>
      </w:r>
    </w:p>
    <w:p>
      <w:pPr>
        <w:pStyle w:val="ListParagraph"/>
        <w:numPr>
          <w:ilvl w:val="0"/>
          <w:numId w:val="3"/>
        </w:numPr>
        <w:spacing w:after="100" w:line="280"/>
      </w:pPr>
      <w:r>
        <w:t xml:space="preserve">Remover licencia después de 30 días (permite el bloqueo pero no cobra).</w:t>
      </w:r>
    </w:p>
    <w:p>
      <w:pPr>
        <w:pStyle w:val="ListParagraph"/>
        <w:numPr>
          <w:ilvl w:val="0"/>
          <w:numId w:val="3"/>
        </w:numPr>
        <w:spacing w:after="100" w:line="280"/>
      </w:pPr>
      <w:r>
        <w:t xml:space="preserve">Eliminar la cuenta después de 90–180 días según política de retención (los datos van a la papelera reciclable durante 30 días adicionales).</w:t>
      </w:r>
    </w:p>
    <w:p>
      <w:pPr>
        <w:pStyle w:val="ListParagraph"/>
        <w:numPr>
          <w:ilvl w:val="0"/>
          <w:numId w:val="3"/>
        </w:numPr>
        <w:spacing w:after="100" w:line="280"/>
      </w:pPr>
      <w:r>
        <w:t xml:space="preserve">Documentar el proceso completo en la bitácora.</w:t>
      </w:r>
    </w:p>
    <w:p>
      <w:pPr>
        <w:spacing w:after="100"/>
      </w:pPr>
      <w:r>
        <w:t xml:space="preserve"/>
      </w:r>
    </w:p>
    <w:p>
      <w:pPr>
        <w:pStyle w:val="Heading2"/>
        <w:spacing w:after="160" w:before="280"/>
      </w:pPr>
      <w:r>
        <w:t xml:space="preserve">6.5 Contraseñas y SSPR (Self-Service Password Reset)</w:t>
      </w:r>
    </w:p>
    <w:p>
      <w:pPr>
        <w:pStyle w:val="Heading3"/>
        <w:spacing w:after="120" w:before="220"/>
      </w:pPr>
      <w:r>
        <w:t xml:space="preserve">6.5.1 Políticas de contraseña</w:t>
      </w:r>
    </w:p>
    <w:p>
      <w:pPr>
        <w:pStyle w:val="ListParagraph"/>
        <w:numPr>
          <w:ilvl w:val="0"/>
          <w:numId w:val="2"/>
        </w:numPr>
        <w:spacing w:after="80" w:line="280"/>
      </w:pPr>
      <w:r>
        <w:t xml:space="preserve">Longitud mínima: 12 caracteres (14+ recomendado).</w:t>
      </w:r>
    </w:p>
    <w:p>
      <w:pPr>
        <w:pStyle w:val="ListParagraph"/>
        <w:numPr>
          <w:ilvl w:val="0"/>
          <w:numId w:val="2"/>
        </w:numPr>
        <w:spacing w:after="80" w:line="280"/>
      </w:pPr>
      <w:r>
        <w:t xml:space="preserve">Complejidad: no forzar caracteres especiales; forzar longitud + habilitar Password Protection para bloquear contraseñas comunes/débiles.</w:t>
      </w:r>
    </w:p>
    <w:p>
      <w:pPr>
        <w:pStyle w:val="ListParagraph"/>
        <w:numPr>
          <w:ilvl w:val="0"/>
          <w:numId w:val="2"/>
        </w:numPr>
        <w:spacing w:after="80" w:line="280"/>
      </w:pPr>
      <w:r>
        <w:t xml:space="preserve">Expiración: NO forzar expiración periódica (recomendación actualizada de Microsoft y NIST). Cambiar solo cuando hay evidencia de compromiso.</w:t>
      </w:r>
    </w:p>
    <w:p>
      <w:pPr>
        <w:pStyle w:val="ListParagraph"/>
        <w:numPr>
          <w:ilvl w:val="0"/>
          <w:numId w:val="2"/>
        </w:numPr>
        <w:spacing w:after="80" w:line="280"/>
      </w:pPr>
      <w:r>
        <w:t xml:space="preserve">Habilitar Entra ID Password Protection con lista personalizada (nombre de empresa, ciudad, marca).</w:t>
      </w:r>
    </w:p>
    <w:p>
      <w:pPr>
        <w:spacing w:after="100"/>
      </w:pPr>
      <w:r>
        <w:t xml:space="preserve"/>
      </w:r>
    </w:p>
    <w:p>
      <w:pPr>
        <w:pStyle w:val="Heading3"/>
        <w:spacing w:after="120" w:before="220"/>
      </w:pPr>
      <w:r>
        <w:t xml:space="preserve">6.5.2 SSPR — Self-Service Password Reset</w:t>
      </w:r>
    </w:p>
    <w:p>
      <w:pPr>
        <w:pStyle w:val="ListParagraph"/>
        <w:numPr>
          <w:ilvl w:val="0"/>
          <w:numId w:val="2"/>
        </w:numPr>
        <w:spacing w:after="80" w:line="280"/>
      </w:pPr>
      <w:r>
        <w:t xml:space="preserve">Habilitar SSPR para todos los usuarios.</w:t>
      </w:r>
    </w:p>
    <w:p>
      <w:pPr>
        <w:pStyle w:val="ListParagraph"/>
        <w:numPr>
          <w:ilvl w:val="0"/>
          <w:numId w:val="2"/>
        </w:numPr>
        <w:spacing w:after="80" w:line="280"/>
      </w:pPr>
      <w:r>
        <w:t xml:space="preserve">Requerir al menos 2 métodos de autenticación registrados.</w:t>
      </w:r>
    </w:p>
    <w:p>
      <w:pPr>
        <w:pStyle w:val="ListParagraph"/>
        <w:numPr>
          <w:ilvl w:val="0"/>
          <w:numId w:val="2"/>
        </w:numPr>
        <w:spacing w:after="80" w:line="280"/>
      </w:pPr>
      <w:r>
        <w:t xml:space="preserve">Métodos preferidos: aplicación autenticadora, FIDO2, teléfono móvil (SMS/voz).</w:t>
      </w:r>
    </w:p>
    <w:p>
      <w:pPr>
        <w:pStyle w:val="ListParagraph"/>
        <w:numPr>
          <w:ilvl w:val="0"/>
          <w:numId w:val="2"/>
        </w:numPr>
        <w:spacing w:after="80" w:line="280"/>
      </w:pPr>
      <w:r>
        <w:t xml:space="preserve">Deshabilitar preguntas de seguridad (son inseguras).</w:t>
      </w:r>
    </w:p>
    <w:p>
      <w:pPr>
        <w:pStyle w:val="ListParagraph"/>
        <w:numPr>
          <w:ilvl w:val="0"/>
          <w:numId w:val="2"/>
        </w:numPr>
        <w:spacing w:after="80" w:line="280"/>
      </w:pPr>
      <w:r>
        <w:t xml:space="preserve">Habilitar writeback a AD local si se sincroniza.</w:t>
      </w:r>
    </w:p>
    <w:p>
      <w:pPr>
        <w:pStyle w:val="ListParagraph"/>
        <w:numPr>
          <w:ilvl w:val="0"/>
          <w:numId w:val="2"/>
        </w:numPr>
        <w:spacing w:after="80" w:line="280"/>
      </w:pPr>
      <w:r>
        <w:t xml:space="preserve">Notificar por correo al usuario cuando cambia su contraseña.</w:t>
      </w:r>
    </w:p>
    <w:p>
      <w:r>
        <w:br w:type="page"/>
      </w:r>
    </w:p>
    <w:p>
      <w:pPr>
        <w:pStyle w:val="Heading1"/>
        <w:spacing w:after="200" w:before="360"/>
      </w:pPr>
      <w:r>
        <w:t xml:space="preserve">7. Fase 4 — RBAC y roles administrativos</w:t>
      </w:r>
    </w:p>
    <w:p>
      <w:pPr>
        <w:spacing w:after="120" w:before="0" w:line="300"/>
      </w:pPr>
      <w:r>
        <w:t xml:space="preserve">El modelo de control de acceso basado en roles (RBAC) determina qué puede hacer cada administrador. Una asignación descuidada de roles es la causa principal de compromisos catastróficos en tenants de M365. El principio rector es simple pero exigente: mínimo privilegio, siempre.</w:t>
      </w:r>
    </w:p>
    <w:p>
      <w:pPr>
        <w:pStyle w:val="Heading2"/>
        <w:spacing w:after="160" w:before="280"/>
      </w:pPr>
      <w:r>
        <w:t xml:space="preserve">7.1 Principios rectores</w:t>
      </w:r>
    </w:p>
    <w:p>
      <w:pPr>
        <w:pStyle w:val="ListParagraph"/>
        <w:numPr>
          <w:ilvl w:val="0"/>
          <w:numId w:val="2"/>
        </w:numPr>
        <w:spacing w:after="80" w:line="280"/>
      </w:pPr>
      <w:r>
        <w:rPr>
          <w:b/>
          <w:bCs/>
        </w:rPr>
        <w:t xml:space="preserve">Mínimo privilegio: </w:t>
      </w:r>
      <w:r>
        <w:t xml:space="preserve">cada persona tiene solo los permisos que su función requiere, ni más ni menos.</w:t>
      </w:r>
    </w:p>
    <w:p>
      <w:pPr>
        <w:pStyle w:val="ListParagraph"/>
        <w:numPr>
          <w:ilvl w:val="0"/>
          <w:numId w:val="2"/>
        </w:numPr>
        <w:spacing w:after="80" w:line="280"/>
      </w:pPr>
      <w:r>
        <w:rPr>
          <w:b/>
          <w:bCs/>
        </w:rPr>
        <w:t xml:space="preserve">Separación de responsabilidades: </w:t>
      </w:r>
      <w:r>
        <w:t xml:space="preserve">las cuentas administrativas son SEPARADAS de las cuentas de usuario cotidianas. Nunca administrar M365 desde la cuenta de correo personal del trabajo.</w:t>
      </w:r>
    </w:p>
    <w:p>
      <w:pPr>
        <w:pStyle w:val="ListParagraph"/>
        <w:numPr>
          <w:ilvl w:val="0"/>
          <w:numId w:val="2"/>
        </w:numPr>
        <w:spacing w:after="80" w:line="280"/>
      </w:pPr>
      <w:r>
        <w:rPr>
          <w:b/>
          <w:bCs/>
        </w:rPr>
        <w:t xml:space="preserve">Elevación temporal (JIT): </w:t>
      </w:r>
      <w:r>
        <w:t xml:space="preserve">los roles privilegiados se activan solo cuando se necesitan, con auditoría y expiración.</w:t>
      </w:r>
    </w:p>
    <w:p>
      <w:pPr>
        <w:pStyle w:val="ListParagraph"/>
        <w:numPr>
          <w:ilvl w:val="0"/>
          <w:numId w:val="2"/>
        </w:numPr>
        <w:spacing w:after="80" w:line="280"/>
      </w:pPr>
      <w:r>
        <w:rPr>
          <w:b/>
          <w:bCs/>
        </w:rPr>
        <w:t xml:space="preserve">Menos de 5 Global Admins: </w:t>
      </w:r>
      <w:r>
        <w:t xml:space="preserve">recomendación oficial de Microsoft. Más de 5 dispara alerta en el portal.</w:t>
      </w:r>
    </w:p>
    <w:p>
      <w:pPr>
        <w:pStyle w:val="ListParagraph"/>
        <w:numPr>
          <w:ilvl w:val="0"/>
          <w:numId w:val="2"/>
        </w:numPr>
        <w:spacing w:after="80" w:line="280"/>
      </w:pPr>
      <w:r>
        <w:rPr>
          <w:b/>
          <w:bCs/>
        </w:rPr>
        <w:t xml:space="preserve">Break-glass: </w:t>
      </w:r>
      <w:r>
        <w:t xml:space="preserve">2 cuentas de emergencia con Global Admin permanente, excluidas de Conditional Access y MFA condicional, custodiadas con contraseñas físicas y monitoreadas por auditoría.</w:t>
      </w:r>
    </w:p>
    <w:p>
      <w:pPr>
        <w:spacing w:after="100"/>
      </w:pPr>
      <w:r>
        <w:t xml:space="preserve"/>
      </w:r>
    </w:p>
    <w:p>
      <w:pPr>
        <w:pStyle w:val="Heading2"/>
        <w:spacing w:after="160" w:before="280"/>
      </w:pPr>
      <w:r>
        <w:t xml:space="preserve">7.2 Categorías de roles administrativos</w:t>
      </w:r>
    </w:p>
    <w:p>
      <w:pPr>
        <w:spacing w:after="120" w:before="0" w:line="300"/>
      </w:pPr>
      <w:r>
        <w:t xml:space="preserve">Entra ID tiene más de 90 roles built-in. Los más relevantes para el onboarding se agrupan así:</w:t>
      </w:r>
    </w:p>
    <w:p>
      <w:pPr>
        <w:pStyle w:val="Heading3"/>
        <w:spacing w:after="120" w:before="220"/>
      </w:pPr>
      <w:r>
        <w:t xml:space="preserve">7.2.1 Roles globales (extrema precaución)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Rol</w:t>
            </w:r>
          </w:p>
        </w:tc>
        <w:tc>
          <w:tcPr>
            <w:tcW w:type="dxa" w:w="63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Permisos y uso</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Global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Control total del tenant. Máximo 2-4 personas. Elevación vía PIM.</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Privileged Role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Puede asignar cualquier rol. Extrema precaución.</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Global Reader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Lectura de todo, sin modificación. Ideal para auditoría y consultoría.</w:t>
            </w:r>
          </w:p>
        </w:tc>
      </w:tr>
    </w:tbl>
    <w:p>
      <w:pPr>
        <w:spacing w:after="100"/>
      </w:pPr>
      <w:r>
        <w:t xml:space="preserve"/>
      </w:r>
    </w:p>
    <w:p>
      <w:pPr>
        <w:pStyle w:val="Heading3"/>
        <w:spacing w:after="120" w:before="220"/>
      </w:pPr>
      <w:r>
        <w:t xml:space="preserve">7.2.2 Roles por servicio (delegación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Rol</w:t>
            </w:r>
          </w:p>
        </w:tc>
        <w:tc>
          <w:tcPr>
            <w:tcW w:type="dxa" w:w="63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Uso típico</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User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 de usuarios y grupos. Área de RH y Mesa de ayuda.</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License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Solo asignación/quitado de licencias. Ideal para RH.</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Helpdesk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Restablecer contraseñas de usuarios no privilegiados.</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Exchange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 completa de Exchange Online.</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SharePoint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 completa de SharePoint y OneDrive.</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Teams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 completa de Teams.</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Intune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 de dispositivos y aplicaciones.</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Security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 de Defender, políticas de seguridad.</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Security Reader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Lectura de Defender. Ideal para SOC.</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Compliance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 de Purview: DLP, sensibilidad, retención.</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Application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Registro y gestión de aplicaciones empresariales.</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Authentication Administrator</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 de métodos MFA (no reset de admins de mayor jerarquía).</w:t>
            </w:r>
          </w:p>
        </w:tc>
      </w:tr>
    </w:tbl>
    <w:p>
      <w:pPr>
        <w:spacing w:after="100"/>
      </w:pPr>
      <w:r>
        <w:t xml:space="preserve"/>
      </w:r>
    </w:p>
    <w:p>
      <w:pPr>
        <w:pStyle w:val="Heading2"/>
        <w:spacing w:after="160" w:before="280"/>
      </w:pPr>
      <w:r>
        <w:t xml:space="preserve">7.3 Cuentas break-glass (emergencia)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BE5D6" w:val="clear"/>
            <w:tcMar>
              <w:top w:type="dxa" w:w="160"/>
              <w:left w:type="dxa" w:w="200"/>
              <w:bottom w:type="dxa" w:w="160"/>
              <w:right w:type="dxa" w:w="200"/>
            </w:tcMar>
          </w:tcPr>
          <w:p>
            <w:pPr>
              <w:spacing w:after="80"/>
            </w:pPr>
            <w:r>
              <w:rPr>
                <w:b/>
                <w:bCs/>
                <w:color w:val="1F4E79"/>
                <w:sz w:val="22"/>
                <w:szCs w:val="22"/>
              </w:rPr>
              <w:t xml:space="preserve">Sin cuentas break-glass, cualquier fallo de MFA o Conditional Access lockea al administrador de su propio tenant.</w:t>
            </w:r>
          </w:p>
          <w:p>
            <w:pPr>
              <w:spacing w:after="0" w:before="0" w:line="300"/>
            </w:pPr>
            <w:r>
              <w:t xml:space="preserve">Es un requisito absoluto de todo tenant productivo. Se configuran una vez y se prueban trimestralmente.</w:t>
            </w:r>
          </w:p>
        </w:tc>
      </w:tr>
    </w:tbl>
    <w:p>
      <w:pPr>
        <w:spacing w:after="100"/>
      </w:pPr>
      <w:r>
        <w:t xml:space="preserve"/>
      </w:r>
    </w:p>
    <w:p>
      <w:pPr>
        <w:spacing w:after="120" w:before="0" w:line="300"/>
      </w:pPr>
      <w:r>
        <w:t xml:space="preserve">Características de una cuenta break-glass correctamente implementada:</w:t>
      </w:r>
    </w:p>
    <w:p>
      <w:pPr>
        <w:pStyle w:val="ListParagraph"/>
        <w:numPr>
          <w:ilvl w:val="0"/>
          <w:numId w:val="2"/>
        </w:numPr>
        <w:spacing w:after="80" w:line="280"/>
      </w:pPr>
      <w:r>
        <w:t xml:space="preserve">Dos cuentas (nunca una sola), nombradas descriptivamente: breakglass01@contoso.onmicrosoft.com, breakglass02@contoso.onmicrosoft.com.</w:t>
      </w:r>
    </w:p>
    <w:p>
      <w:pPr>
        <w:pStyle w:val="ListParagraph"/>
        <w:numPr>
          <w:ilvl w:val="0"/>
          <w:numId w:val="2"/>
        </w:numPr>
        <w:spacing w:after="80" w:line="280"/>
      </w:pPr>
      <w:r>
        <w:t xml:space="preserve">UPN en el dominio .onmicrosoft.com (NO en dominio federado), para evitar dependencia de ADFS/sync.</w:t>
      </w:r>
    </w:p>
    <w:p>
      <w:pPr>
        <w:pStyle w:val="ListParagraph"/>
        <w:numPr>
          <w:ilvl w:val="0"/>
          <w:numId w:val="2"/>
        </w:numPr>
        <w:spacing w:after="80" w:line="280"/>
      </w:pPr>
      <w:r>
        <w:t xml:space="preserve">Rol Global Administrator permanente asignado (excepción al principio de PIM).</w:t>
      </w:r>
    </w:p>
    <w:p>
      <w:pPr>
        <w:pStyle w:val="ListParagraph"/>
        <w:numPr>
          <w:ilvl w:val="0"/>
          <w:numId w:val="2"/>
        </w:numPr>
        <w:spacing w:after="80" w:line="280"/>
      </w:pPr>
      <w:r>
        <w:t xml:space="preserve">Contraseñas de 32+ caracteres, complejas, generadas aleatoriamente.</w:t>
      </w:r>
    </w:p>
    <w:p>
      <w:pPr>
        <w:pStyle w:val="ListParagraph"/>
        <w:numPr>
          <w:ilvl w:val="0"/>
          <w:numId w:val="2"/>
        </w:numPr>
        <w:spacing w:after="80" w:line="280"/>
      </w:pPr>
      <w:r>
        <w:t xml:space="preserve">Excluidas de TODAS las políticas de Conditional Access.</w:t>
      </w:r>
    </w:p>
    <w:p>
      <w:pPr>
        <w:pStyle w:val="ListParagraph"/>
        <w:numPr>
          <w:ilvl w:val="0"/>
          <w:numId w:val="2"/>
        </w:numPr>
        <w:spacing w:after="80" w:line="280"/>
      </w:pPr>
      <w:r>
        <w:t xml:space="preserve">SIN MFA en la cuenta, o con FIDO2 key físico como único factor.</w:t>
      </w:r>
    </w:p>
    <w:p>
      <w:pPr>
        <w:pStyle w:val="ListParagraph"/>
        <w:numPr>
          <w:ilvl w:val="0"/>
          <w:numId w:val="2"/>
        </w:numPr>
        <w:spacing w:after="80" w:line="280"/>
      </w:pPr>
      <w:r>
        <w:t xml:space="preserve">Contraseñas custodiadas en sobre cerrado en caja fuerte física; el hash o método MFA en una segunda ubicación física distinta.</w:t>
      </w:r>
    </w:p>
    <w:p>
      <w:pPr>
        <w:pStyle w:val="ListParagraph"/>
        <w:numPr>
          <w:ilvl w:val="0"/>
          <w:numId w:val="2"/>
        </w:numPr>
        <w:spacing w:after="80" w:line="280"/>
      </w:pPr>
      <w:r>
        <w:t xml:space="preserve">Habilitar alertas en tiempo real cuando cualquiera de estas cuentas inicia sesión (Log Analytics + Alert Rule).</w:t>
      </w:r>
    </w:p>
    <w:p>
      <w:pPr>
        <w:pStyle w:val="ListParagraph"/>
        <w:numPr>
          <w:ilvl w:val="0"/>
          <w:numId w:val="2"/>
        </w:numPr>
        <w:spacing w:after="80" w:line="280"/>
      </w:pPr>
      <w:r>
        <w:t xml:space="preserve">Prueba de acceso trimestral (documentada) para asegurar que siguen funcionando.</w:t>
      </w:r>
    </w:p>
    <w:p>
      <w:pPr>
        <w:pStyle w:val="ListParagraph"/>
        <w:numPr>
          <w:ilvl w:val="0"/>
          <w:numId w:val="2"/>
        </w:numPr>
        <w:spacing w:after="80" w:line="280"/>
      </w:pPr>
      <w:r>
        <w:t xml:space="preserve">Rotación anual de contraseñas.</w:t>
      </w:r>
    </w:p>
    <w:p>
      <w:pPr>
        <w:spacing w:after="100"/>
      </w:pPr>
      <w:r>
        <w:t xml:space="preserve"/>
      </w:r>
    </w:p>
    <w:p>
      <w:pPr>
        <w:pStyle w:val="Heading2"/>
        <w:spacing w:after="160" w:before="280"/>
      </w:pPr>
      <w:r>
        <w:t xml:space="preserve">7.4 Privileged Identity Management (PIM)</w:t>
      </w:r>
    </w:p>
    <w:p>
      <w:pPr>
        <w:spacing w:after="120" w:before="0" w:line="300"/>
      </w:pPr>
      <w:r>
        <w:t xml:space="preserve">PIM (incluido en Entra ID P2 / M365 E5) es la herramienta de Microsoft para gestionar roles administrativos con just-in-time access.</w:t>
      </w:r>
    </w:p>
    <w:p>
      <w:pPr>
        <w:pStyle w:val="Heading3"/>
        <w:spacing w:after="120" w:before="220"/>
      </w:pPr>
      <w:r>
        <w:t xml:space="preserve">7.4.1 Concepto: Eligible vs Active</w:t>
      </w:r>
    </w:p>
    <w:p>
      <w:pPr>
        <w:pStyle w:val="ListParagraph"/>
        <w:numPr>
          <w:ilvl w:val="0"/>
          <w:numId w:val="2"/>
        </w:numPr>
        <w:spacing w:after="80" w:line="280"/>
      </w:pPr>
      <w:r>
        <w:rPr>
          <w:b/>
          <w:bCs/>
        </w:rPr>
        <w:t xml:space="preserve">Eligible: </w:t>
      </w:r>
      <w:r>
        <w:t xml:space="preserve">el usuario tiene el rol "asignable" pero no activo. Cuando lo necesita, lo activa por un tiempo definido.</w:t>
      </w:r>
    </w:p>
    <w:p>
      <w:pPr>
        <w:pStyle w:val="ListParagraph"/>
        <w:numPr>
          <w:ilvl w:val="0"/>
          <w:numId w:val="2"/>
        </w:numPr>
        <w:spacing w:after="80" w:line="280"/>
      </w:pPr>
      <w:r>
        <w:rPr>
          <w:b/>
          <w:bCs/>
        </w:rPr>
        <w:t xml:space="preserve">Active: </w:t>
      </w:r>
      <w:r>
        <w:t xml:space="preserve">el rol está activo. Se recomienda mantener esto solo para las cuentas break-glass; el resto debe ser Eligible.</w:t>
      </w:r>
    </w:p>
    <w:p>
      <w:pPr>
        <w:spacing w:after="100"/>
      </w:pPr>
      <w:r>
        <w:t xml:space="preserve"/>
      </w:r>
    </w:p>
    <w:p>
      <w:pPr>
        <w:pStyle w:val="Heading3"/>
        <w:spacing w:after="120" w:before="220"/>
      </w:pPr>
      <w:r>
        <w:t xml:space="preserve">7.4.2 Configuración de PIM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Rol</w:t>
            </w:r>
          </w:p>
        </w:tc>
        <w:tc>
          <w:tcPr>
            <w:tcW w:type="dxa" w:w="3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Duración máx. activación</w:t>
            </w:r>
          </w:p>
        </w:tc>
        <w:tc>
          <w:tcPr>
            <w:tcW w:type="dxa" w:w="33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Requisitos de activación</w:t>
            </w:r>
          </w:p>
        </w:tc>
      </w:tr>
      <w:tr>
        <w:tc>
          <w:tcPr>
            <w:tcW w:type="dxa" w:w="2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Global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1-2 horas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MFA + Aprobación + Justificación + Ticket</w:t>
            </w:r>
          </w:p>
        </w:tc>
      </w:tr>
      <w:tr>
        <w:tc>
          <w:tcPr>
            <w:tcW w:type="dxa" w:w="2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Privileged Role Admin</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 hora</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MFA + Aprobación + Justificación</w:t>
            </w:r>
          </w:p>
        </w:tc>
      </w:tr>
      <w:tr>
        <w:tc>
          <w:tcPr>
            <w:tcW w:type="dxa" w:w="2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Security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4 horas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MFA + Justificación</w:t>
            </w:r>
          </w:p>
        </w:tc>
      </w:tr>
      <w:tr>
        <w:tc>
          <w:tcPr>
            <w:tcW w:type="dxa" w:w="2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Exchange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8 horas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MFA + Justificación</w:t>
            </w:r>
          </w:p>
        </w:tc>
      </w:tr>
      <w:tr>
        <w:tc>
          <w:tcPr>
            <w:tcW w:type="dxa" w:w="2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SharePoint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8 horas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MFA + Justificación</w:t>
            </w:r>
          </w:p>
        </w:tc>
      </w:tr>
      <w:tr>
        <w:tc>
          <w:tcPr>
            <w:tcW w:type="dxa" w:w="2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User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8 horas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MFA</w:t>
            </w:r>
          </w:p>
        </w:tc>
      </w:tr>
      <w:tr>
        <w:tc>
          <w:tcPr>
            <w:tcW w:type="dxa" w:w="2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Helpdesk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8 horas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MFA</w:t>
            </w:r>
          </w:p>
        </w:tc>
      </w:tr>
    </w:tbl>
    <w:p>
      <w:pPr>
        <w:spacing w:after="100"/>
      </w:pPr>
      <w:r>
        <w:t xml:space="preserve"/>
      </w:r>
    </w:p>
    <w:p>
      <w:pPr>
        <w:pStyle w:val="Heading3"/>
        <w:spacing w:after="120" w:before="220"/>
      </w:pPr>
      <w:r>
        <w:t xml:space="preserve">7.4.3 Access Reviews (revisiones de acceso)</w:t>
      </w:r>
    </w:p>
    <w:p>
      <w:pPr>
        <w:pStyle w:val="ListParagraph"/>
        <w:numPr>
          <w:ilvl w:val="0"/>
          <w:numId w:val="2"/>
        </w:numPr>
        <w:spacing w:after="80" w:line="280"/>
      </w:pPr>
      <w:r>
        <w:t xml:space="preserve">Configurar Access Reviews trimestrales para roles privilegiados.</w:t>
      </w:r>
    </w:p>
    <w:p>
      <w:pPr>
        <w:pStyle w:val="ListParagraph"/>
        <w:numPr>
          <w:ilvl w:val="0"/>
          <w:numId w:val="2"/>
        </w:numPr>
        <w:spacing w:after="80" w:line="280"/>
      </w:pPr>
      <w:r>
        <w:t xml:space="preserve">El propio usuario (o su jefe) debe justificar por qué sigue necesitando el rol.</w:t>
      </w:r>
    </w:p>
    <w:p>
      <w:pPr>
        <w:pStyle w:val="ListParagraph"/>
        <w:numPr>
          <w:ilvl w:val="0"/>
          <w:numId w:val="2"/>
        </w:numPr>
        <w:spacing w:after="80" w:line="280"/>
      </w:pPr>
      <w:r>
        <w:t xml:space="preserve">Los que no justifican pierden el rol automáticamente.</w:t>
      </w:r>
    </w:p>
    <w:p>
      <w:pPr>
        <w:pStyle w:val="ListParagraph"/>
        <w:numPr>
          <w:ilvl w:val="0"/>
          <w:numId w:val="2"/>
        </w:numPr>
        <w:spacing w:after="80" w:line="280"/>
      </w:pPr>
      <w:r>
        <w:t xml:space="preserve">Auditoría trimestral de las cuentas break-glass (que no deberían haberse activado; si lo hicieron, investigar).</w:t>
      </w:r>
    </w:p>
    <w:p>
      <w:pPr>
        <w:spacing w:after="100"/>
      </w:pPr>
      <w:r>
        <w:t xml:space="preserve"/>
      </w:r>
    </w:p>
    <w:p>
      <w:pPr>
        <w:pStyle w:val="Heading2"/>
        <w:spacing w:after="160" w:before="280"/>
      </w:pPr>
      <w:r>
        <w:t xml:space="preserve">7.5 Administrative Units (unidades administrativas)</w:t>
      </w:r>
    </w:p>
    <w:p>
      <w:pPr>
        <w:spacing w:after="120" w:before="0" w:line="300"/>
      </w:pPr>
      <w:r>
        <w:t xml:space="preserve">Administrative Units permiten limitar el alcance de un rol a un subconjunto de usuarios. Ejemplo: el administrador de RH solo puede resetear contraseñas de empleados de RH, no de otras áreas.</w:t>
      </w:r>
    </w:p>
    <w:p>
      <w:pPr>
        <w:pStyle w:val="ListParagraph"/>
        <w:numPr>
          <w:ilvl w:val="0"/>
          <w:numId w:val="2"/>
        </w:numPr>
        <w:spacing w:after="80" w:line="280"/>
      </w:pPr>
      <w:r>
        <w:t xml:space="preserve">Útil en organizaciones grandes con equipos regionales o por departamento.</w:t>
      </w:r>
    </w:p>
    <w:p>
      <w:pPr>
        <w:pStyle w:val="ListParagraph"/>
        <w:numPr>
          <w:ilvl w:val="0"/>
          <w:numId w:val="2"/>
        </w:numPr>
        <w:spacing w:after="80" w:line="280"/>
      </w:pPr>
      <w:r>
        <w:t xml:space="preserve">Se crean como "unidades" que agrupan usuarios.</w:t>
      </w:r>
    </w:p>
    <w:p>
      <w:pPr>
        <w:pStyle w:val="ListParagraph"/>
        <w:numPr>
          <w:ilvl w:val="0"/>
          <w:numId w:val="2"/>
        </w:numPr>
        <w:spacing w:after="80" w:line="280"/>
      </w:pPr>
      <w:r>
        <w:t xml:space="preserve">Se asigna un rol dentro del alcance de esa unidad (ej: Helpdesk Admin solo para AU-Mexico).</w:t>
      </w:r>
    </w:p>
    <w:p>
      <w:pPr>
        <w:pStyle w:val="ListParagraph"/>
        <w:numPr>
          <w:ilvl w:val="0"/>
          <w:numId w:val="2"/>
        </w:numPr>
        <w:spacing w:after="80" w:line="280"/>
      </w:pPr>
      <w:r>
        <w:t xml:space="preserve">Requiere Entra ID P1 mínimo.</w:t>
      </w:r>
    </w:p>
    <w:p>
      <w:pPr>
        <w:spacing w:after="100"/>
      </w:pPr>
      <w:r>
        <w:t xml:space="preserve"/>
      </w:r>
    </w:p>
    <w:p>
      <w:pPr>
        <w:pStyle w:val="Heading2"/>
        <w:spacing w:after="160" w:before="280"/>
      </w:pPr>
      <w:r>
        <w:t xml:space="preserve">7.6 Roles personalizados (Custom Roles)</w:t>
      </w:r>
    </w:p>
    <w:p>
      <w:pPr>
        <w:pStyle w:val="ListParagraph"/>
        <w:numPr>
          <w:ilvl w:val="0"/>
          <w:numId w:val="2"/>
        </w:numPr>
        <w:spacing w:after="80" w:line="280"/>
      </w:pPr>
      <w:r>
        <w:t xml:space="preserve">Si ningún rol built-in encaja exactamente con las necesidades, se pueden crear roles personalizados con permisos granulares.</w:t>
      </w:r>
    </w:p>
    <w:p>
      <w:pPr>
        <w:pStyle w:val="ListParagraph"/>
        <w:numPr>
          <w:ilvl w:val="0"/>
          <w:numId w:val="2"/>
        </w:numPr>
        <w:spacing w:after="80" w:line="280"/>
      </w:pPr>
      <w:r>
        <w:t xml:space="preserve">Requiere Entra ID P1 o superior.</w:t>
      </w:r>
    </w:p>
    <w:p>
      <w:pPr>
        <w:pStyle w:val="ListParagraph"/>
        <w:numPr>
          <w:ilvl w:val="0"/>
          <w:numId w:val="2"/>
        </w:numPr>
        <w:spacing w:after="80" w:line="280"/>
      </w:pPr>
      <w:r>
        <w:t xml:space="preserve">Documentar bien el propósito y justificación de cada rol personalizado.</w:t>
      </w:r>
    </w:p>
    <w:p>
      <w:pPr>
        <w:pStyle w:val="ListParagraph"/>
        <w:numPr>
          <w:ilvl w:val="0"/>
          <w:numId w:val="2"/>
        </w:numPr>
        <w:spacing w:after="80" w:line="280"/>
      </w:pPr>
      <w:r>
        <w:t xml:space="preserve">Revisar semestralmente si siguen siendo necesarios.</w:t>
      </w:r>
    </w:p>
    <w:p>
      <w:r>
        <w:br w:type="page"/>
      </w:r>
    </w:p>
    <w:p>
      <w:pPr>
        <w:pStyle w:val="Heading1"/>
        <w:spacing w:after="200" w:before="360"/>
      </w:pPr>
      <w:r>
        <w:t xml:space="preserve">8. Fase 5 — Seguridad e identidad (MFA y Conditional Access)</w:t>
      </w:r>
    </w:p>
    <w:p>
      <w:pPr>
        <w:spacing w:after="120" w:before="0" w:line="300"/>
      </w:pPr>
      <w:r>
        <w:t xml:space="preserve">La seguridad de identidad es el punto de mayor apalancamiento del onboarding. Según Microsoft, MFA sola previene el 99.9% de los ataques automatizados sobre cuentas. Bien configurada, la capa de identidad detiene la gran mayoría de amenazas antes de que lleguen a los datos.</w:t>
      </w:r>
    </w:p>
    <w:p>
      <w:pPr>
        <w:pStyle w:val="Heading2"/>
        <w:spacing w:after="160" w:before="280"/>
      </w:pPr>
      <w:r>
        <w:t xml:space="preserve">8.1 Security Defaults vs Conditional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Aspecto</w:t>
            </w:r>
          </w:p>
        </w:tc>
        <w:tc>
          <w:tcPr>
            <w:tcW w:type="dxa" w:w="3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Security Defaults</w:t>
            </w:r>
          </w:p>
        </w:tc>
        <w:tc>
          <w:tcPr>
            <w:tcW w:type="dxa" w:w="33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Conditional Access</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Licenciamiento</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Gratis, todos los planes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Requiere Entra ID P1 (incluido en E3, BP)</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MFA</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Obligatoria para todos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Configurable por escenario</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Legacy auth</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Bloqueada</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Configurable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Exclusiones</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 permite</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Permite (break-glass, servicios)</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Recomendación</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SMBs sin licenciamiento P1</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Cualquier tenant productivo con P1+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FF2CC" w:val="clear"/>
            <w:tcMar>
              <w:top w:type="dxa" w:w="160"/>
              <w:left w:type="dxa" w:w="200"/>
              <w:bottom w:type="dxa" w:w="160"/>
              <w:right w:type="dxa" w:w="200"/>
            </w:tcMar>
          </w:tcPr>
          <w:p>
            <w:pPr>
              <w:spacing w:after="80"/>
            </w:pPr>
            <w:r>
              <w:rPr>
                <w:b/>
                <w:bCs/>
                <w:color w:val="1F4E79"/>
                <w:sz w:val="22"/>
                <w:szCs w:val="22"/>
              </w:rPr>
              <w:t xml:space="preserve">Migración de Security Defaults a Conditional Access</w:t>
            </w:r>
          </w:p>
          <w:p>
            <w:pPr>
              <w:spacing w:after="0" w:before="0" w:line="300"/>
            </w:pPr>
            <w:r>
              <w:t xml:space="preserve">No pueden coexistir. Al habilitar la primera política de Conditional Access, Microsoft deshabilita Security Defaults automáticamente. Antes de hacer esto, tener listo el baseline de políticas para evitar quedar sin protección durante la transición.</w:t>
            </w:r>
          </w:p>
        </w:tc>
      </w:tr>
    </w:tbl>
    <w:p>
      <w:pPr>
        <w:spacing w:after="100"/>
      </w:pPr>
      <w:r>
        <w:t xml:space="preserve"/>
      </w:r>
    </w:p>
    <w:p>
      <w:pPr>
        <w:pStyle w:val="Heading2"/>
        <w:spacing w:after="160" w:before="280"/>
      </w:pPr>
      <w:r>
        <w:t xml:space="preserve">8.2 Multi-Factor Authentication (MFA)</w:t>
      </w:r>
    </w:p>
    <w:p>
      <w:pPr>
        <w:pStyle w:val="Heading3"/>
        <w:spacing w:after="120" w:before="220"/>
      </w:pPr>
      <w:r>
        <w:t xml:space="preserve">8.2.1 Métodos de MFA por preferencia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Método</w:t>
            </w:r>
          </w:p>
        </w:tc>
        <w:tc>
          <w:tcPr>
            <w:tcW w:type="dxa" w:w="63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Nivel de seguridad y recomendación</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FIDO2 / Passkeys</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 más seguro. Resistente a phishing. Recomendado para administradores.</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Windows Hello for Business</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Muy seguro (biométrico + PIN). Ideal en equipos corporativos.</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Microsoft Authenticator + Number Matching</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Seguro para usuarios generales. Estándar recomendado.</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OATH Hardware Token</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Alternativa para escenarios sin celular corporativo.</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SMS / voz</w:t>
            </w:r>
          </w:p>
        </w:tc>
        <w:tc>
          <w:tcPr>
            <w:tcW w:type="dxa" w:w="6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DESACONSEJADO. Vulnerable a SIM swap. Solo como último recurso.</w:t>
            </w:r>
          </w:p>
        </w:tc>
      </w:tr>
    </w:tbl>
    <w:p>
      <w:pPr>
        <w:spacing w:after="100"/>
      </w:pPr>
      <w:r>
        <w:t xml:space="preserve"/>
      </w:r>
    </w:p>
    <w:p>
      <w:pPr>
        <w:pStyle w:val="Heading3"/>
        <w:spacing w:after="120" w:before="220"/>
      </w:pPr>
      <w:r>
        <w:t xml:space="preserve">8.2.2 Habilitación de MFA</w:t>
      </w:r>
    </w:p>
    <w:p>
      <w:pPr>
        <w:pStyle w:val="ListParagraph"/>
        <w:numPr>
          <w:ilvl w:val="0"/>
          <w:numId w:val="2"/>
        </w:numPr>
        <w:spacing w:after="80" w:line="280"/>
      </w:pPr>
      <w:r>
        <w:t xml:space="preserve">Habilitar Combined Registration (registro unificado de SSPR + MFA).</w:t>
      </w:r>
    </w:p>
    <w:p>
      <w:pPr>
        <w:pStyle w:val="ListParagraph"/>
        <w:numPr>
          <w:ilvl w:val="0"/>
          <w:numId w:val="2"/>
        </w:numPr>
        <w:spacing w:after="80" w:line="280"/>
      </w:pPr>
      <w:r>
        <w:t xml:space="preserve">Requerir a los usuarios registrar al menos 2 métodos MFA.</w:t>
      </w:r>
    </w:p>
    <w:p>
      <w:pPr>
        <w:pStyle w:val="ListParagraph"/>
        <w:numPr>
          <w:ilvl w:val="0"/>
          <w:numId w:val="2"/>
        </w:numPr>
        <w:spacing w:after="80" w:line="280"/>
      </w:pPr>
      <w:r>
        <w:t xml:space="preserve">Bloquear SMS/voz como métodos disponibles (o al menos evitarlos en administradores).</w:t>
      </w:r>
    </w:p>
    <w:p>
      <w:pPr>
        <w:pStyle w:val="ListParagraph"/>
        <w:numPr>
          <w:ilvl w:val="0"/>
          <w:numId w:val="2"/>
        </w:numPr>
        <w:spacing w:after="80" w:line="280"/>
      </w:pPr>
      <w:r>
        <w:t xml:space="preserve">Configurar la aplicación autenticadora con Number Matching + contexto adicional (aplicación, ubicación).</w:t>
      </w:r>
    </w:p>
    <w:p>
      <w:pPr>
        <w:spacing w:after="100"/>
      </w:pPr>
      <w:r>
        <w:t xml:space="preserve"/>
      </w:r>
    </w:p>
    <w:p>
      <w:pPr>
        <w:pStyle w:val="Heading2"/>
        <w:spacing w:after="160" w:before="280"/>
      </w:pPr>
      <w:r>
        <w:t xml:space="preserve">8.3 Baseline de Conditional Access (10 políticas)</w:t>
      </w:r>
    </w:p>
    <w:p>
      <w:pPr>
        <w:spacing w:after="120" w:before="0" w:line="300"/>
      </w:pPr>
      <w:r>
        <w:t xml:space="preserve">El baseline recomendado consta de 10 políticas que se implementan primero en modo Report-only para observar impacto, luego en modo On. El detalle completo con cada política está en el Apéndice C.</w:t>
      </w:r>
    </w:p>
    <w:p>
      <w:pPr>
        <w:spacing w:after="100"/>
      </w:pPr>
      <w:r>
        <w:t xml:space="preserve"/>
      </w:r>
    </w:p>
    <w:p>
      <w:pPr>
        <w:pStyle w:val="ListParagraph"/>
        <w:numPr>
          <w:ilvl w:val="0"/>
          <w:numId w:val="2"/>
        </w:numPr>
        <w:spacing w:after="80" w:line="280"/>
      </w:pPr>
      <w:r>
        <w:rPr>
          <w:b/>
          <w:bCs/>
        </w:rPr>
        <w:t xml:space="preserve">CA-01: </w:t>
      </w:r>
      <w:r>
        <w:t xml:space="preserve">MFA obligatoria para administradores (14 roles privilegiados).</w:t>
      </w:r>
    </w:p>
    <w:p>
      <w:pPr>
        <w:pStyle w:val="ListParagraph"/>
        <w:numPr>
          <w:ilvl w:val="0"/>
          <w:numId w:val="2"/>
        </w:numPr>
        <w:spacing w:after="80" w:line="280"/>
      </w:pPr>
      <w:r>
        <w:rPr>
          <w:b/>
          <w:bCs/>
        </w:rPr>
        <w:t xml:space="preserve">CA-02: </w:t>
      </w:r>
      <w:r>
        <w:t xml:space="preserve">MFA obligatoria para todos los usuarios.</w:t>
      </w:r>
    </w:p>
    <w:p>
      <w:pPr>
        <w:pStyle w:val="ListParagraph"/>
        <w:numPr>
          <w:ilvl w:val="0"/>
          <w:numId w:val="2"/>
        </w:numPr>
        <w:spacing w:after="80" w:line="280"/>
      </w:pPr>
      <w:r>
        <w:rPr>
          <w:b/>
          <w:bCs/>
        </w:rPr>
        <w:t xml:space="preserve">CA-03: </w:t>
      </w:r>
      <w:r>
        <w:t xml:space="preserve">Bloqueo de autenticación heredada (legacy auth).</w:t>
      </w:r>
    </w:p>
    <w:p>
      <w:pPr>
        <w:pStyle w:val="ListParagraph"/>
        <w:numPr>
          <w:ilvl w:val="0"/>
          <w:numId w:val="2"/>
        </w:numPr>
        <w:spacing w:after="80" w:line="280"/>
      </w:pPr>
      <w:r>
        <w:rPr>
          <w:b/>
          <w:bCs/>
        </w:rPr>
        <w:t xml:space="preserve">CA-04: </w:t>
      </w:r>
      <w:r>
        <w:t xml:space="preserve">Requerir dispositivo cumpliente o Hybrid Azure AD Joined.</w:t>
      </w:r>
    </w:p>
    <w:p>
      <w:pPr>
        <w:pStyle w:val="ListParagraph"/>
        <w:numPr>
          <w:ilvl w:val="0"/>
          <w:numId w:val="2"/>
        </w:numPr>
        <w:spacing w:after="80" w:line="280"/>
      </w:pPr>
      <w:r>
        <w:rPr>
          <w:b/>
          <w:bCs/>
        </w:rPr>
        <w:t xml:space="preserve">CA-05: </w:t>
      </w:r>
      <w:r>
        <w:t xml:space="preserve">MAM (Mobile Application Management) para dispositivos móviles no gestionados.</w:t>
      </w:r>
    </w:p>
    <w:p>
      <w:pPr>
        <w:pStyle w:val="ListParagraph"/>
        <w:numPr>
          <w:ilvl w:val="0"/>
          <w:numId w:val="2"/>
        </w:numPr>
        <w:spacing w:after="80" w:line="280"/>
      </w:pPr>
      <w:r>
        <w:rPr>
          <w:b/>
          <w:bCs/>
        </w:rPr>
        <w:t xml:space="preserve">CA-06: </w:t>
      </w:r>
      <w:r>
        <w:t xml:space="preserve">Bloqueo por ubicación (países no permitidos).</w:t>
      </w:r>
    </w:p>
    <w:p>
      <w:pPr>
        <w:pStyle w:val="ListParagraph"/>
        <w:numPr>
          <w:ilvl w:val="0"/>
          <w:numId w:val="2"/>
        </w:numPr>
        <w:spacing w:after="80" w:line="280"/>
      </w:pPr>
      <w:r>
        <w:rPr>
          <w:b/>
          <w:bCs/>
        </w:rPr>
        <w:t xml:space="preserve">CA-07: </w:t>
      </w:r>
      <w:r>
        <w:t xml:space="preserve">Sign-in frequency para sesiones sensibles.</w:t>
      </w:r>
    </w:p>
    <w:p>
      <w:pPr>
        <w:pStyle w:val="ListParagraph"/>
        <w:numPr>
          <w:ilvl w:val="0"/>
          <w:numId w:val="2"/>
        </w:numPr>
        <w:spacing w:after="80" w:line="280"/>
      </w:pPr>
      <w:r>
        <w:rPr>
          <w:b/>
          <w:bCs/>
        </w:rPr>
        <w:t xml:space="preserve">CA-08: </w:t>
      </w:r>
      <w:r>
        <w:t xml:space="preserve">Bloqueo de Device Code Flow (excepto casos justificados).</w:t>
      </w:r>
    </w:p>
    <w:p>
      <w:pPr>
        <w:pStyle w:val="ListParagraph"/>
        <w:numPr>
          <w:ilvl w:val="0"/>
          <w:numId w:val="2"/>
        </w:numPr>
        <w:spacing w:after="80" w:line="280"/>
      </w:pPr>
      <w:r>
        <w:rPr>
          <w:b/>
          <w:bCs/>
        </w:rPr>
        <w:t xml:space="preserve">CA-09: </w:t>
      </w:r>
      <w:r>
        <w:t xml:space="preserve">MFA + restricciones para usuarios invitados (guests).</w:t>
      </w:r>
    </w:p>
    <w:p>
      <w:pPr>
        <w:pStyle w:val="ListParagraph"/>
        <w:numPr>
          <w:ilvl w:val="0"/>
          <w:numId w:val="2"/>
        </w:numPr>
        <w:spacing w:after="80" w:line="280"/>
      </w:pPr>
      <w:r>
        <w:rPr>
          <w:b/>
          <w:bCs/>
        </w:rPr>
        <w:t xml:space="preserve">CA-10: </w:t>
      </w:r>
      <w:r>
        <w:t xml:space="preserve">Bloqueo de acceso a apps administrativas desde dispositivos no confiables.</w:t>
      </w:r>
    </w:p>
    <w:p>
      <w:pPr>
        <w:spacing w:after="100"/>
      </w:pPr>
      <w:r>
        <w:t xml:space="preserve"/>
      </w:r>
    </w:p>
    <w:p>
      <w:pPr>
        <w:pStyle w:val="Heading2"/>
        <w:spacing w:after="160" w:before="280"/>
      </w:pPr>
      <w:r>
        <w:t xml:space="preserve">8.4 Reglas de oro del despliegue de Conditional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BE5D6" w:val="clear"/>
            <w:tcMar>
              <w:top w:type="dxa" w:w="160"/>
              <w:left w:type="dxa" w:w="200"/>
              <w:bottom w:type="dxa" w:w="160"/>
              <w:right w:type="dxa" w:w="200"/>
            </w:tcMar>
          </w:tcPr>
          <w:p>
            <w:pPr>
              <w:spacing w:after="80"/>
            </w:pPr>
            <w:r>
              <w:rPr>
                <w:b/>
                <w:bCs/>
                <w:color w:val="1F4E79"/>
                <w:sz w:val="22"/>
                <w:szCs w:val="22"/>
              </w:rPr>
              <w:t xml:space="preserve">Errores que hacen que TI se lockee de su propio tenant</w:t>
            </w:r>
          </w:p>
          <w:p>
            <w:pPr>
              <w:pStyle w:val="ListParagraph"/>
              <w:numPr>
                <w:ilvl w:val="0"/>
                <w:numId w:val="2"/>
              </w:numPr>
              <w:spacing w:after="80" w:line="280"/>
            </w:pPr>
            <w:r>
              <w:t xml:space="preserve">Habilitar todas las políticas de golpe: hacerlo una por una en Report-only primero.</w:t>
            </w:r>
          </w:p>
          <w:p>
            <w:pPr>
              <w:pStyle w:val="ListParagraph"/>
              <w:numPr>
                <w:ilvl w:val="0"/>
                <w:numId w:val="2"/>
              </w:numPr>
              <w:spacing w:after="80" w:line="280"/>
            </w:pPr>
            <w:r>
              <w:t xml:space="preserve">Olvidar EXCLUIR las cuentas break-glass en todas las políticas.</w:t>
            </w:r>
          </w:p>
          <w:p>
            <w:pPr>
              <w:pStyle w:val="ListParagraph"/>
              <w:numPr>
                <w:ilvl w:val="0"/>
                <w:numId w:val="2"/>
              </w:numPr>
              <w:spacing w:after="80" w:line="280"/>
            </w:pPr>
            <w:r>
              <w:t xml:space="preserve">Aplicar MFA a cuentas de servicio con contraseña fija (fallarán todas).</w:t>
            </w:r>
          </w:p>
          <w:p>
            <w:pPr>
              <w:pStyle w:val="ListParagraph"/>
              <w:numPr>
                <w:ilvl w:val="0"/>
                <w:numId w:val="2"/>
              </w:numPr>
              <w:spacing w:after="80" w:line="280"/>
            </w:pPr>
            <w:r>
              <w:t xml:space="preserve">Aplicar Compliant Device antes de tener Intune configurado.</w:t>
            </w:r>
          </w:p>
          <w:p>
            <w:pPr>
              <w:pStyle w:val="ListParagraph"/>
              <w:numPr>
                <w:ilvl w:val="0"/>
                <w:numId w:val="2"/>
              </w:numPr>
              <w:spacing w:after="80" w:line="280"/>
            </w:pPr>
            <w:r>
              <w:t xml:space="preserve">Bloquear por ubicación olvidando que el propio admin puede estar viajando.</w:t>
            </w:r>
          </w:p>
        </w:tc>
      </w:tr>
    </w:tbl>
    <w:p>
      <w:pPr>
        <w:spacing w:after="100"/>
      </w:pPr>
      <w:r>
        <w:t xml:space="preserve"/>
      </w:r>
    </w:p>
    <w:p>
      <w:pPr>
        <w:pStyle w:val="Heading3"/>
        <w:spacing w:after="120" w:before="220"/>
      </w:pPr>
      <w:r>
        <w:t xml:space="preserve">8.4.1 Proceso recomendado de rollout</w:t>
      </w:r>
    </w:p>
    <w:p>
      <w:pPr>
        <w:pStyle w:val="ListParagraph"/>
        <w:numPr>
          <w:ilvl w:val="0"/>
          <w:numId w:val="3"/>
        </w:numPr>
        <w:spacing w:after="100" w:line="280"/>
      </w:pPr>
      <w:r>
        <w:t xml:space="preserve">Crear la política en modo Report-only.</w:t>
      </w:r>
    </w:p>
    <w:p>
      <w:pPr>
        <w:pStyle w:val="ListParagraph"/>
        <w:numPr>
          <w:ilvl w:val="0"/>
          <w:numId w:val="3"/>
        </w:numPr>
        <w:spacing w:after="100" w:line="280"/>
      </w:pPr>
      <w:r>
        <w:t xml:space="preserve">Excluir explícitamente cuentas break-glass y de servicio.</w:t>
      </w:r>
    </w:p>
    <w:p>
      <w:pPr>
        <w:pStyle w:val="ListParagraph"/>
        <w:numPr>
          <w:ilvl w:val="0"/>
          <w:numId w:val="3"/>
        </w:numPr>
        <w:spacing w:after="100" w:line="280"/>
      </w:pPr>
      <w:r>
        <w:t xml:space="preserve">Observar por 7 días los reportes de Sign-in logs → "Conditional Access status" para ver qué habría sido bloqueado.</w:t>
      </w:r>
    </w:p>
    <w:p>
      <w:pPr>
        <w:pStyle w:val="ListParagraph"/>
        <w:numPr>
          <w:ilvl w:val="0"/>
          <w:numId w:val="3"/>
        </w:numPr>
        <w:spacing w:after="100" w:line="280"/>
      </w:pPr>
      <w:r>
        <w:t xml:space="preserve">Ajustar exclusiones y grupos según hallazgos.</w:t>
      </w:r>
    </w:p>
    <w:p>
      <w:pPr>
        <w:pStyle w:val="ListParagraph"/>
        <w:numPr>
          <w:ilvl w:val="0"/>
          <w:numId w:val="3"/>
        </w:numPr>
        <w:spacing w:after="100" w:line="280"/>
      </w:pPr>
      <w:r>
        <w:t xml:space="preserve">Habilitar en modo On para un grupo piloto pequeño (~10 usuarios).</w:t>
      </w:r>
    </w:p>
    <w:p>
      <w:pPr>
        <w:pStyle w:val="ListParagraph"/>
        <w:numPr>
          <w:ilvl w:val="0"/>
          <w:numId w:val="3"/>
        </w:numPr>
        <w:spacing w:after="100" w:line="280"/>
      </w:pPr>
      <w:r>
        <w:t xml:space="preserve">Observar 3-5 días y capturar feedback.</w:t>
      </w:r>
    </w:p>
    <w:p>
      <w:pPr>
        <w:pStyle w:val="ListParagraph"/>
        <w:numPr>
          <w:ilvl w:val="0"/>
          <w:numId w:val="3"/>
        </w:numPr>
        <w:spacing w:after="100" w:line="280"/>
      </w:pPr>
      <w:r>
        <w:t xml:space="preserve">Ampliar a un grupo intermedio (~50 usuarios).</w:t>
      </w:r>
    </w:p>
    <w:p>
      <w:pPr>
        <w:pStyle w:val="ListParagraph"/>
        <w:numPr>
          <w:ilvl w:val="0"/>
          <w:numId w:val="3"/>
        </w:numPr>
        <w:spacing w:after="100" w:line="280"/>
      </w:pPr>
      <w:r>
        <w:t xml:space="preserve">Rollout general a toda la organización.</w:t>
      </w:r>
    </w:p>
    <w:p>
      <w:pPr>
        <w:pStyle w:val="ListParagraph"/>
        <w:numPr>
          <w:ilvl w:val="0"/>
          <w:numId w:val="3"/>
        </w:numPr>
        <w:spacing w:after="100" w:line="280"/>
      </w:pPr>
      <w:r>
        <w:t xml:space="preserve">Documentar la política final en el repositorio de gobierno.</w:t>
      </w:r>
    </w:p>
    <w:p>
      <w:pPr>
        <w:spacing w:after="100"/>
      </w:pPr>
      <w:r>
        <w:t xml:space="preserve"/>
      </w:r>
    </w:p>
    <w:p>
      <w:pPr>
        <w:pStyle w:val="Heading2"/>
        <w:spacing w:after="160" w:before="280"/>
      </w:pPr>
      <w:r>
        <w:t xml:space="preserve">8.5 Protección adicional de identidad</w:t>
      </w:r>
    </w:p>
    <w:p>
      <w:pPr>
        <w:pStyle w:val="ListParagraph"/>
        <w:numPr>
          <w:ilvl w:val="0"/>
          <w:numId w:val="2"/>
        </w:numPr>
        <w:spacing w:after="80" w:line="280"/>
      </w:pPr>
      <w:r>
        <w:t xml:space="preserve">Habilitar Identity Protection (requiere Entra ID P2 / M365 E5): detecta sign-in risks y user risks basados en machine learning.</w:t>
      </w:r>
    </w:p>
    <w:p>
      <w:pPr>
        <w:pStyle w:val="ListParagraph"/>
        <w:numPr>
          <w:ilvl w:val="0"/>
          <w:numId w:val="2"/>
        </w:numPr>
        <w:spacing w:after="80" w:line="280"/>
      </w:pPr>
      <w:r>
        <w:t xml:space="preserve">Configurar políticas de riesgo: usuarios de alto riesgo → forzar cambio de contraseña; sign-ins de alto riesgo → bloqueo o MFA adicional.</w:t>
      </w:r>
    </w:p>
    <w:p>
      <w:pPr>
        <w:pStyle w:val="ListParagraph"/>
        <w:numPr>
          <w:ilvl w:val="0"/>
          <w:numId w:val="2"/>
        </w:numPr>
        <w:spacing w:after="80" w:line="280"/>
      </w:pPr>
      <w:r>
        <w:t xml:space="preserve">Habilitar Continuous Access Evaluation (CAE): revoca sesiones en tiempo real ante eventos críticos (cambio de contraseña, deshabilitación).</w:t>
      </w:r>
    </w:p>
    <w:p>
      <w:pPr>
        <w:pStyle w:val="ListParagraph"/>
        <w:numPr>
          <w:ilvl w:val="0"/>
          <w:numId w:val="2"/>
        </w:numPr>
        <w:spacing w:after="80" w:line="280"/>
      </w:pPr>
      <w:r>
        <w:t xml:space="preserve">Configurar Named Locations: identificar rangos IP de la oficina, VPN corporativa y países operativos.</w:t>
      </w:r>
    </w:p>
    <w:p>
      <w:pPr>
        <w:pStyle w:val="ListParagraph"/>
        <w:numPr>
          <w:ilvl w:val="0"/>
          <w:numId w:val="2"/>
        </w:numPr>
        <w:spacing w:after="80" w:line="280"/>
      </w:pPr>
      <w:r>
        <w:t xml:space="preserve">Habilitar Sign-in Risk detection + Impossible Travel alerts.</w:t>
      </w:r>
    </w:p>
    <w:p>
      <w:r>
        <w:br w:type="page"/>
      </w:r>
    </w:p>
    <w:p>
      <w:pPr>
        <w:pStyle w:val="Heading1"/>
        <w:spacing w:after="200" w:before="360"/>
      </w:pPr>
      <w:r>
        <w:t xml:space="preserve">9. Fase 6 — Configuración de servicios principales</w:t>
      </w:r>
    </w:p>
    <w:p>
      <w:pPr>
        <w:spacing w:after="120" w:before="0" w:line="300"/>
      </w:pPr>
      <w:r>
        <w:t xml:space="preserve">Con la base de identidad y seguridad establecida, se configuran los servicios de productividad.</w:t>
      </w:r>
    </w:p>
    <w:p>
      <w:pPr>
        <w:pStyle w:val="Heading2"/>
        <w:spacing w:after="160" w:before="280"/>
      </w:pPr>
      <w:r>
        <w:t xml:space="preserve">9.1 Exchange Online</w:t>
      </w:r>
    </w:p>
    <w:p>
      <w:pPr>
        <w:pStyle w:val="ListParagraph"/>
        <w:numPr>
          <w:ilvl w:val="0"/>
          <w:numId w:val="2"/>
        </w:numPr>
        <w:spacing w:after="80" w:line="280"/>
      </w:pPr>
      <w:r>
        <w:t xml:space="preserve">Configurar dominios aceptados y política de dirección de correo.</w:t>
      </w:r>
    </w:p>
    <w:p>
      <w:pPr>
        <w:pStyle w:val="ListParagraph"/>
        <w:numPr>
          <w:ilvl w:val="0"/>
          <w:numId w:val="2"/>
        </w:numPr>
        <w:spacing w:after="80" w:line="280"/>
      </w:pPr>
      <w:r>
        <w:t xml:space="preserve">Definir política de retención de buzones y elementos eliminados.</w:t>
      </w:r>
    </w:p>
    <w:p>
      <w:pPr>
        <w:pStyle w:val="ListParagraph"/>
        <w:numPr>
          <w:ilvl w:val="0"/>
          <w:numId w:val="2"/>
        </w:numPr>
        <w:spacing w:after="80" w:line="280"/>
      </w:pPr>
      <w:r>
        <w:t xml:space="preserve">Configurar Litigation Hold para cuentas clave si aplica requerimiento legal.</w:t>
      </w:r>
    </w:p>
    <w:p>
      <w:pPr>
        <w:pStyle w:val="ListParagraph"/>
        <w:numPr>
          <w:ilvl w:val="0"/>
          <w:numId w:val="2"/>
        </w:numPr>
        <w:spacing w:after="80" w:line="280"/>
      </w:pPr>
      <w:r>
        <w:t xml:space="preserve">Habilitar Modern Authentication (por defecto activo, verificar).</w:t>
      </w:r>
    </w:p>
    <w:p>
      <w:pPr>
        <w:pStyle w:val="ListParagraph"/>
        <w:numPr>
          <w:ilvl w:val="0"/>
          <w:numId w:val="2"/>
        </w:numPr>
        <w:spacing w:after="80" w:line="280"/>
      </w:pPr>
      <w:r>
        <w:t xml:space="preserve">Deshabilitar POP3, IMAP, SMTP AUTH salvo justificación explícita.</w:t>
      </w:r>
    </w:p>
    <w:p>
      <w:pPr>
        <w:pStyle w:val="ListParagraph"/>
        <w:numPr>
          <w:ilvl w:val="0"/>
          <w:numId w:val="2"/>
        </w:numPr>
        <w:spacing w:after="80" w:line="280"/>
      </w:pPr>
      <w:r>
        <w:t xml:space="preserve">Configurar reglas de flujo de correo (Transport Rules) según necesidades: disclaimers legales, cifrado obligatorio, cuarentena.</w:t>
      </w:r>
    </w:p>
    <w:p>
      <w:pPr>
        <w:pStyle w:val="ListParagraph"/>
        <w:numPr>
          <w:ilvl w:val="0"/>
          <w:numId w:val="2"/>
        </w:numPr>
        <w:spacing w:after="80" w:line="280"/>
      </w:pPr>
      <w:r>
        <w:t xml:space="preserve">Configurar Anti-Spam y Anti-Malware policies en Defender for O365 (ver Fase 8).</w:t>
      </w:r>
    </w:p>
    <w:p>
      <w:pPr>
        <w:pStyle w:val="ListParagraph"/>
        <w:numPr>
          <w:ilvl w:val="0"/>
          <w:numId w:val="2"/>
        </w:numPr>
        <w:spacing w:after="80" w:line="280"/>
      </w:pPr>
      <w:r>
        <w:t xml:space="preserve">Configurar el buffer temporal contra elementos eliminados (Deleted Item Retention Period: 30 días por defecto).</w:t>
      </w:r>
    </w:p>
    <w:p>
      <w:pPr>
        <w:spacing w:after="100"/>
      </w:pPr>
      <w:r>
        <w:t xml:space="preserve"/>
      </w:r>
    </w:p>
    <w:p>
      <w:pPr>
        <w:pStyle w:val="Heading2"/>
        <w:spacing w:after="160" w:before="280"/>
      </w:pPr>
      <w:r>
        <w:t xml:space="preserve">9.2 SharePoint Online y OneDrive</w:t>
      </w:r>
    </w:p>
    <w:p>
      <w:pPr>
        <w:pStyle w:val="Heading3"/>
        <w:spacing w:after="120" w:before="220"/>
      </w:pPr>
      <w:r>
        <w:t xml:space="preserve">9.2.1 Configuración global de SharePoint</w:t>
      </w:r>
    </w:p>
    <w:p>
      <w:pPr>
        <w:pStyle w:val="ListParagraph"/>
        <w:numPr>
          <w:ilvl w:val="0"/>
          <w:numId w:val="2"/>
        </w:numPr>
        <w:spacing w:after="80" w:line="280"/>
      </w:pPr>
      <w:r>
        <w:t xml:space="preserve">Definir política de compartición externa a nivel de organización.</w:t>
      </w:r>
    </w:p>
    <w:p>
      <w:pPr>
        <w:pStyle w:val="ListParagraph"/>
        <w:numPr>
          <w:ilvl w:val="0"/>
          <w:numId w:val="2"/>
        </w:numPr>
        <w:spacing w:after="80" w:line="280"/>
      </w:pPr>
      <w:r>
        <w:t xml:space="preserve">Habilitar Sensitivity Labels para contenedores (sitios y grupos).</w:t>
      </w:r>
    </w:p>
    <w:p>
      <w:pPr>
        <w:pStyle w:val="ListParagraph"/>
        <w:numPr>
          <w:ilvl w:val="0"/>
          <w:numId w:val="2"/>
        </w:numPr>
        <w:spacing w:after="80" w:line="280"/>
      </w:pPr>
      <w:r>
        <w:t xml:space="preserve">Configurar la retención de la papelera de reciclaje (93 días por defecto en 2 niveles).</w:t>
      </w:r>
    </w:p>
    <w:p>
      <w:pPr>
        <w:pStyle w:val="ListParagraph"/>
        <w:numPr>
          <w:ilvl w:val="0"/>
          <w:numId w:val="2"/>
        </w:numPr>
        <w:spacing w:after="80" w:line="280"/>
      </w:pPr>
      <w:r>
        <w:t xml:space="preserve">Habilitar auditoría de acceso a archivos.</w:t>
      </w:r>
    </w:p>
    <w:p>
      <w:pPr>
        <w:pStyle w:val="ListParagraph"/>
        <w:numPr>
          <w:ilvl w:val="0"/>
          <w:numId w:val="2"/>
        </w:numPr>
        <w:spacing w:after="80" w:line="280"/>
      </w:pPr>
      <w:r>
        <w:t xml:space="preserve">Configurar la política de vínculos anónimos (deshabilitar por defecto, permitir por sitio si aplica).</w:t>
      </w:r>
    </w:p>
    <w:p>
      <w:pPr>
        <w:pStyle w:val="ListParagraph"/>
        <w:numPr>
          <w:ilvl w:val="0"/>
          <w:numId w:val="2"/>
        </w:numPr>
        <w:spacing w:after="80" w:line="280"/>
      </w:pPr>
      <w:r>
        <w:t xml:space="preserve">Establecer expiración por defecto para vínculos externos (ej: 30 días).</w:t>
      </w:r>
    </w:p>
    <w:p>
      <w:pPr>
        <w:spacing w:after="100"/>
      </w:pPr>
      <w:r>
        <w:t xml:space="preserve"/>
      </w:r>
    </w:p>
    <w:p>
      <w:pPr>
        <w:pStyle w:val="Heading3"/>
        <w:spacing w:after="120" w:before="220"/>
      </w:pPr>
      <w:r>
        <w:t xml:space="preserve">9.2.2 OneDrive</w:t>
      </w:r>
    </w:p>
    <w:p>
      <w:pPr>
        <w:pStyle w:val="ListParagraph"/>
        <w:numPr>
          <w:ilvl w:val="0"/>
          <w:numId w:val="2"/>
        </w:numPr>
        <w:spacing w:after="80" w:line="280"/>
      </w:pPr>
      <w:r>
        <w:t xml:space="preserve">Cuota por defecto: 1 TB (revisar y aumentar para usuarios específicos si aplica).</w:t>
      </w:r>
    </w:p>
    <w:p>
      <w:pPr>
        <w:pStyle w:val="ListParagraph"/>
        <w:numPr>
          <w:ilvl w:val="0"/>
          <w:numId w:val="2"/>
        </w:numPr>
        <w:spacing w:after="80" w:line="280"/>
      </w:pPr>
      <w:r>
        <w:t xml:space="preserve">Configurar Known Folder Move (KFM): sincronización automática de Desktop, Documents, Pictures del usuario a OneDrive.</w:t>
      </w:r>
    </w:p>
    <w:p>
      <w:pPr>
        <w:pStyle w:val="ListParagraph"/>
        <w:numPr>
          <w:ilvl w:val="0"/>
          <w:numId w:val="2"/>
        </w:numPr>
        <w:spacing w:after="80" w:line="280"/>
      </w:pPr>
      <w:r>
        <w:t xml:space="preserve">Retención de OneDrive tras deshabilitar la cuenta del usuario: 30-180 días configurable.</w:t>
      </w:r>
    </w:p>
    <w:p>
      <w:pPr>
        <w:pStyle w:val="ListParagraph"/>
        <w:numPr>
          <w:ilvl w:val="0"/>
          <w:numId w:val="2"/>
        </w:numPr>
        <w:spacing w:after="80" w:line="280"/>
      </w:pPr>
      <w:r>
        <w:t xml:space="preserve">Delegar el OneDrive del usuario a su jefe al momento de la baja (Manager Access).</w:t>
      </w:r>
    </w:p>
    <w:p>
      <w:pPr>
        <w:pStyle w:val="ListParagraph"/>
        <w:numPr>
          <w:ilvl w:val="0"/>
          <w:numId w:val="2"/>
        </w:numPr>
        <w:spacing w:after="80" w:line="280"/>
      </w:pPr>
      <w:r>
        <w:t xml:space="preserve">Configurar límite de tamaño de archivo (máx 250 GB).</w:t>
      </w:r>
    </w:p>
    <w:p>
      <w:pPr>
        <w:spacing w:after="100"/>
      </w:pPr>
      <w:r>
        <w:t xml:space="preserve"/>
      </w:r>
    </w:p>
    <w:p>
      <w:pPr>
        <w:pStyle w:val="Heading2"/>
        <w:spacing w:after="160" w:before="280"/>
      </w:pPr>
      <w:r>
        <w:t xml:space="preserve">9.3 Microsoft Teams</w:t>
      </w:r>
    </w:p>
    <w:p>
      <w:pPr>
        <w:pStyle w:val="ListParagraph"/>
        <w:numPr>
          <w:ilvl w:val="0"/>
          <w:numId w:val="2"/>
        </w:numPr>
        <w:spacing w:after="80" w:line="280"/>
      </w:pPr>
      <w:r>
        <w:t xml:space="preserve">Definir política de creación de equipos: ¿todos pueden crear, o solo un grupo específico?</w:t>
      </w:r>
    </w:p>
    <w:p>
      <w:pPr>
        <w:pStyle w:val="ListParagraph"/>
        <w:numPr>
          <w:ilvl w:val="0"/>
          <w:numId w:val="2"/>
        </w:numPr>
        <w:spacing w:after="80" w:line="280"/>
      </w:pPr>
      <w:r>
        <w:t xml:space="preserve">Establecer nomenclatura de equipos (ej: prefijo TEAM- para diferenciarlos).</w:t>
      </w:r>
    </w:p>
    <w:p>
      <w:pPr>
        <w:pStyle w:val="ListParagraph"/>
        <w:numPr>
          <w:ilvl w:val="0"/>
          <w:numId w:val="2"/>
        </w:numPr>
        <w:spacing w:after="80" w:line="280"/>
      </w:pPr>
      <w:r>
        <w:t xml:space="preserve">Configurar política de expiración de equipos inactivos (Group Expiration Policy: 180 días por defecto recomendado).</w:t>
      </w:r>
    </w:p>
    <w:p>
      <w:pPr>
        <w:pStyle w:val="ListParagraph"/>
        <w:numPr>
          <w:ilvl w:val="0"/>
          <w:numId w:val="2"/>
        </w:numPr>
        <w:spacing w:after="80" w:line="280"/>
      </w:pPr>
      <w:r>
        <w:t xml:space="preserve">Definir política de invitados en Teams (permitidos o no, y qué pueden hacer).</w:t>
      </w:r>
    </w:p>
    <w:p>
      <w:pPr>
        <w:pStyle w:val="ListParagraph"/>
        <w:numPr>
          <w:ilvl w:val="0"/>
          <w:numId w:val="2"/>
        </w:numPr>
        <w:spacing w:after="80" w:line="280"/>
      </w:pPr>
      <w:r>
        <w:t xml:space="preserve">Configurar política de mensajería: retención, edición, eliminación permitida o no.</w:t>
      </w:r>
    </w:p>
    <w:p>
      <w:pPr>
        <w:pStyle w:val="ListParagraph"/>
        <w:numPr>
          <w:ilvl w:val="0"/>
          <w:numId w:val="2"/>
        </w:numPr>
        <w:spacing w:after="80" w:line="280"/>
      </w:pPr>
      <w:r>
        <w:t xml:space="preserve">Configurar política de reuniones: quién puede grabar, quién puede compartir pantalla, lobby por defecto.</w:t>
      </w:r>
    </w:p>
    <w:p>
      <w:pPr>
        <w:pStyle w:val="ListParagraph"/>
        <w:numPr>
          <w:ilvl w:val="0"/>
          <w:numId w:val="2"/>
        </w:numPr>
        <w:spacing w:after="80" w:line="280"/>
      </w:pPr>
      <w:r>
        <w:t xml:space="preserve">Habilitar transcripción y grabación con almacenamiento en OneDrive del organizador.</w:t>
      </w:r>
    </w:p>
    <w:p>
      <w:pPr>
        <w:pStyle w:val="ListParagraph"/>
        <w:numPr>
          <w:ilvl w:val="0"/>
          <w:numId w:val="2"/>
        </w:numPr>
        <w:spacing w:after="80" w:line="280"/>
      </w:pPr>
      <w:r>
        <w:t xml:space="preserve">Configurar aplicaciones permitidas en Teams (bloquear las no aprobadas).</w:t>
      </w:r>
    </w:p>
    <w:p>
      <w:pPr>
        <w:spacing w:after="100"/>
      </w:pPr>
      <w:r>
        <w:t xml:space="preserve"/>
      </w:r>
    </w:p>
    <w:p>
      <w:pPr>
        <w:pStyle w:val="Heading2"/>
        <w:spacing w:after="160" w:before="280"/>
      </w:pPr>
      <w:r>
        <w:t xml:space="preserve">9.4 Microsoft Intune (gestión de dispositivos)</w:t>
      </w:r>
    </w:p>
    <w:p>
      <w:pPr>
        <w:pStyle w:val="Heading3"/>
        <w:spacing w:after="120" w:before="220"/>
      </w:pPr>
      <w:r>
        <w:t xml:space="preserve">9.4.1 Configuración inicial</w:t>
      </w:r>
    </w:p>
    <w:p>
      <w:pPr>
        <w:pStyle w:val="ListParagraph"/>
        <w:numPr>
          <w:ilvl w:val="0"/>
          <w:numId w:val="2"/>
        </w:numPr>
        <w:spacing w:after="80" w:line="280"/>
      </w:pPr>
      <w:r>
        <w:t xml:space="preserve">Definir estrategia: MDM (device compliance) vs MAM (app protection).</w:t>
      </w:r>
    </w:p>
    <w:p>
      <w:pPr>
        <w:pStyle w:val="ListParagraph"/>
        <w:numPr>
          <w:ilvl w:val="0"/>
          <w:numId w:val="2"/>
        </w:numPr>
        <w:spacing w:after="80" w:line="280"/>
      </w:pPr>
      <w:r>
        <w:t xml:space="preserve">Configurar Enrollment restrictions: qué plataformas se permiten (Windows, macOS, iOS, Android).</w:t>
      </w:r>
    </w:p>
    <w:p>
      <w:pPr>
        <w:pStyle w:val="ListParagraph"/>
        <w:numPr>
          <w:ilvl w:val="0"/>
          <w:numId w:val="2"/>
        </w:numPr>
        <w:spacing w:after="80" w:line="280"/>
      </w:pPr>
      <w:r>
        <w:t xml:space="preserve">Configurar Autopilot para provisión automatizada de Windows 10/11.</w:t>
      </w:r>
    </w:p>
    <w:p>
      <w:pPr>
        <w:pStyle w:val="ListParagraph"/>
        <w:numPr>
          <w:ilvl w:val="0"/>
          <w:numId w:val="2"/>
        </w:numPr>
        <w:spacing w:after="80" w:line="280"/>
      </w:pPr>
      <w:r>
        <w:t xml:space="preserve">Configurar Apple Business Manager y Google Zero-Touch para iOS/Android corporativos.</w:t>
      </w:r>
    </w:p>
    <w:p>
      <w:pPr>
        <w:spacing w:after="100"/>
      </w:pPr>
      <w:r>
        <w:t xml:space="preserve"/>
      </w:r>
    </w:p>
    <w:p>
      <w:pPr>
        <w:pStyle w:val="Heading3"/>
        <w:spacing w:after="120" w:before="220"/>
      </w:pPr>
      <w:r>
        <w:t xml:space="preserve">9.4.2 Políticas de cumplimiento (Compliance Policies)</w:t>
      </w:r>
    </w:p>
    <w:p>
      <w:pPr>
        <w:pStyle w:val="ListParagraph"/>
        <w:numPr>
          <w:ilvl w:val="0"/>
          <w:numId w:val="2"/>
        </w:numPr>
        <w:spacing w:after="80" w:line="280"/>
      </w:pPr>
      <w:r>
        <w:t xml:space="preserve">Requerir cifrado del disco (BitLocker/FileVault).</w:t>
      </w:r>
    </w:p>
    <w:p>
      <w:pPr>
        <w:pStyle w:val="ListParagraph"/>
        <w:numPr>
          <w:ilvl w:val="0"/>
          <w:numId w:val="2"/>
        </w:numPr>
        <w:spacing w:after="80" w:line="280"/>
      </w:pPr>
      <w:r>
        <w:t xml:space="preserve">Requerir contraseña compleja del dispositivo.</w:t>
      </w:r>
    </w:p>
    <w:p>
      <w:pPr>
        <w:pStyle w:val="ListParagraph"/>
        <w:numPr>
          <w:ilvl w:val="0"/>
          <w:numId w:val="2"/>
        </w:numPr>
        <w:spacing w:after="80" w:line="280"/>
      </w:pPr>
      <w:r>
        <w:t xml:space="preserve">Bloqueo automático tras inactividad.</w:t>
      </w:r>
    </w:p>
    <w:p>
      <w:pPr>
        <w:pStyle w:val="ListParagraph"/>
        <w:numPr>
          <w:ilvl w:val="0"/>
          <w:numId w:val="2"/>
        </w:numPr>
        <w:spacing w:after="80" w:line="280"/>
      </w:pPr>
      <w:r>
        <w:t xml:space="preserve">Requerir SO actualizado (última versión soportada).</w:t>
      </w:r>
    </w:p>
    <w:p>
      <w:pPr>
        <w:pStyle w:val="ListParagraph"/>
        <w:numPr>
          <w:ilvl w:val="0"/>
          <w:numId w:val="2"/>
        </w:numPr>
        <w:spacing w:after="80" w:line="280"/>
      </w:pPr>
      <w:r>
        <w:t xml:space="preserve">Bloquear dispositivos jailbroken/rooteados.</w:t>
      </w:r>
    </w:p>
    <w:p>
      <w:pPr>
        <w:pStyle w:val="ListParagraph"/>
        <w:numPr>
          <w:ilvl w:val="0"/>
          <w:numId w:val="2"/>
        </w:numPr>
        <w:spacing w:after="80" w:line="280"/>
      </w:pPr>
      <w:r>
        <w:t xml:space="preserve">Requerir antivirus activo (Defender).</w:t>
      </w:r>
    </w:p>
    <w:p>
      <w:pPr>
        <w:spacing w:after="100"/>
      </w:pPr>
      <w:r>
        <w:t xml:space="preserve"/>
      </w:r>
    </w:p>
    <w:p>
      <w:pPr>
        <w:pStyle w:val="Heading3"/>
        <w:spacing w:after="120" w:before="220"/>
      </w:pPr>
      <w:r>
        <w:t xml:space="preserve">9.4.3 Políticas de configuración</w:t>
      </w:r>
    </w:p>
    <w:p>
      <w:pPr>
        <w:pStyle w:val="ListParagraph"/>
        <w:numPr>
          <w:ilvl w:val="0"/>
          <w:numId w:val="2"/>
        </w:numPr>
        <w:spacing w:after="80" w:line="280"/>
      </w:pPr>
      <w:r>
        <w:t xml:space="preserve">Configurar Wi-Fi corporativo automático.</w:t>
      </w:r>
    </w:p>
    <w:p>
      <w:pPr>
        <w:pStyle w:val="ListParagraph"/>
        <w:numPr>
          <w:ilvl w:val="0"/>
          <w:numId w:val="2"/>
        </w:numPr>
        <w:spacing w:after="80" w:line="280"/>
      </w:pPr>
      <w:r>
        <w:t xml:space="preserve">Configurar VPN si aplica.</w:t>
      </w:r>
    </w:p>
    <w:p>
      <w:pPr>
        <w:pStyle w:val="ListParagraph"/>
        <w:numPr>
          <w:ilvl w:val="0"/>
          <w:numId w:val="2"/>
        </w:numPr>
        <w:spacing w:after="80" w:line="280"/>
      </w:pPr>
      <w:r>
        <w:t xml:space="preserve">Deshabilitar acceso USB en dispositivos sensibles.</w:t>
      </w:r>
    </w:p>
    <w:p>
      <w:pPr>
        <w:pStyle w:val="ListParagraph"/>
        <w:numPr>
          <w:ilvl w:val="0"/>
          <w:numId w:val="2"/>
        </w:numPr>
        <w:spacing w:after="80" w:line="280"/>
      </w:pPr>
      <w:r>
        <w:t xml:space="preserve">Configurar Microsoft Edge con perfiles corporativos.</w:t>
      </w:r>
    </w:p>
    <w:p>
      <w:pPr>
        <w:pStyle w:val="ListParagraph"/>
        <w:numPr>
          <w:ilvl w:val="0"/>
          <w:numId w:val="2"/>
        </w:numPr>
        <w:spacing w:after="80" w:line="280"/>
      </w:pPr>
      <w:r>
        <w:t xml:space="preserve">Distribuir aplicaciones corporativas automáticamente.</w:t>
      </w:r>
    </w:p>
    <w:p>
      <w:pPr>
        <w:spacing w:after="100"/>
      </w:pPr>
      <w:r>
        <w:t xml:space="preserve"/>
      </w:r>
    </w:p>
    <w:p>
      <w:pPr>
        <w:pStyle w:val="Heading3"/>
        <w:spacing w:after="120" w:before="220"/>
      </w:pPr>
      <w:r>
        <w:t xml:space="preserve">9.4.4 App Protection Policies (MAM)</w:t>
      </w:r>
    </w:p>
    <w:p>
      <w:pPr>
        <w:pStyle w:val="ListParagraph"/>
        <w:numPr>
          <w:ilvl w:val="0"/>
          <w:numId w:val="2"/>
        </w:numPr>
        <w:spacing w:after="80" w:line="280"/>
      </w:pPr>
      <w:r>
        <w:t xml:space="preserve">Cifrado de datos en apps corporativas.</w:t>
      </w:r>
    </w:p>
    <w:p>
      <w:pPr>
        <w:pStyle w:val="ListParagraph"/>
        <w:numPr>
          <w:ilvl w:val="0"/>
          <w:numId w:val="2"/>
        </w:numPr>
        <w:spacing w:after="80" w:line="280"/>
      </w:pPr>
      <w:r>
        <w:t xml:space="preserve">PIN o biometría para acceder a apps corporativas.</w:t>
      </w:r>
    </w:p>
    <w:p>
      <w:pPr>
        <w:pStyle w:val="ListParagraph"/>
        <w:numPr>
          <w:ilvl w:val="0"/>
          <w:numId w:val="2"/>
        </w:numPr>
        <w:spacing w:after="80" w:line="280"/>
      </w:pPr>
      <w:r>
        <w:t xml:space="preserve">Bloquear copiar/pegar entre apps corporativas y personales.</w:t>
      </w:r>
    </w:p>
    <w:p>
      <w:pPr>
        <w:pStyle w:val="ListParagraph"/>
        <w:numPr>
          <w:ilvl w:val="0"/>
          <w:numId w:val="2"/>
        </w:numPr>
        <w:spacing w:after="80" w:line="280"/>
      </w:pPr>
      <w:r>
        <w:t xml:space="preserve">Bloquear guardado en almacenamiento no corporativo.</w:t>
      </w:r>
    </w:p>
    <w:p>
      <w:pPr>
        <w:pStyle w:val="ListParagraph"/>
        <w:numPr>
          <w:ilvl w:val="0"/>
          <w:numId w:val="2"/>
        </w:numPr>
        <w:spacing w:after="80" w:line="280"/>
      </w:pPr>
      <w:r>
        <w:t xml:space="preserve">Wipe selectivo remoto (borra datos corporativos, deja personales).</w:t>
      </w:r>
    </w:p>
    <w:p>
      <w:r>
        <w:br w:type="page"/>
      </w:r>
    </w:p>
    <w:p>
      <w:pPr>
        <w:pStyle w:val="Heading1"/>
        <w:spacing w:after="200" w:before="360"/>
      </w:pPr>
      <w:r>
        <w:t xml:space="preserve">10. Fase 7 — Protección de datos y cumplimiento (Purview)</w:t>
      </w:r>
    </w:p>
    <w:p>
      <w:pPr>
        <w:spacing w:after="120" w:before="0" w:line="300"/>
      </w:pPr>
      <w:r>
        <w:t xml:space="preserve">Microsoft Purview consolida las capacidades de cumplimiento y protección de información del ecosistema M365. Se accede desde https://purview.microsoft.com</w:t>
      </w:r>
    </w:p>
    <w:p>
      <w:pPr>
        <w:pStyle w:val="Heading2"/>
        <w:spacing w:after="160" w:before="280"/>
      </w:pPr>
      <w:r>
        <w:t xml:space="preserve">10.1 Data Loss Prevention (DLP)</w:t>
      </w:r>
    </w:p>
    <w:p>
      <w:pPr>
        <w:spacing w:after="120" w:before="0" w:line="300"/>
      </w:pPr>
      <w:r>
        <w:t xml:space="preserve">DLP detecta y previene la divulgación no autorizada de información sensible en correo, SharePoint, OneDrive, Teams y endpoints.</w:t>
      </w:r>
    </w:p>
    <w:p>
      <w:pPr>
        <w:pStyle w:val="Heading3"/>
        <w:spacing w:after="120" w:before="220"/>
      </w:pPr>
      <w:r>
        <w:t xml:space="preserve">10.1.1 Políticas iniciales recomendadas</w:t>
      </w:r>
    </w:p>
    <w:p>
      <w:pPr>
        <w:pStyle w:val="ListParagraph"/>
        <w:numPr>
          <w:ilvl w:val="0"/>
          <w:numId w:val="2"/>
        </w:numPr>
        <w:spacing w:after="80" w:line="280"/>
      </w:pPr>
      <w:r>
        <w:t xml:space="preserve">DLP para tarjetas de crédito (evita envío externo de números PAN).</w:t>
      </w:r>
    </w:p>
    <w:p>
      <w:pPr>
        <w:pStyle w:val="ListParagraph"/>
        <w:numPr>
          <w:ilvl w:val="0"/>
          <w:numId w:val="2"/>
        </w:numPr>
        <w:spacing w:after="80" w:line="280"/>
      </w:pPr>
      <w:r>
        <w:t xml:space="preserve">DLP para datos personales (según regulación aplicable: LFPDPPP, GDPR).</w:t>
      </w:r>
    </w:p>
    <w:p>
      <w:pPr>
        <w:pStyle w:val="ListParagraph"/>
        <w:numPr>
          <w:ilvl w:val="0"/>
          <w:numId w:val="2"/>
        </w:numPr>
        <w:spacing w:after="80" w:line="280"/>
      </w:pPr>
      <w:r>
        <w:t xml:space="preserve">DLP para información financiera confidencial.</w:t>
      </w:r>
    </w:p>
    <w:p>
      <w:pPr>
        <w:pStyle w:val="ListParagraph"/>
        <w:numPr>
          <w:ilvl w:val="0"/>
          <w:numId w:val="2"/>
        </w:numPr>
        <w:spacing w:after="80" w:line="280"/>
      </w:pPr>
      <w:r>
        <w:t xml:space="preserve">DLP para propiedad intelectual (patrones y clasificadores personalizados).</w:t>
      </w:r>
    </w:p>
    <w:p>
      <w:pPr>
        <w:pStyle w:val="ListParagraph"/>
        <w:numPr>
          <w:ilvl w:val="0"/>
          <w:numId w:val="2"/>
        </w:numPr>
        <w:spacing w:after="80" w:line="280"/>
      </w:pPr>
      <w:r>
        <w:t xml:space="preserve">DLP para credenciales (bloqueo de compartir contraseñas por chat/correo).</w:t>
      </w:r>
    </w:p>
    <w:p>
      <w:pPr>
        <w:spacing w:after="100"/>
      </w:pPr>
      <w:r>
        <w:t xml:space="preserve"/>
      </w:r>
    </w:p>
    <w:p>
      <w:pPr>
        <w:pStyle w:val="Heading3"/>
        <w:spacing w:after="120" w:before="220"/>
      </w:pPr>
      <w:r>
        <w:t xml:space="preserve">10.1.2 Acciones por política</w:t>
      </w:r>
    </w:p>
    <w:p>
      <w:pPr>
        <w:pStyle w:val="ListParagraph"/>
        <w:numPr>
          <w:ilvl w:val="0"/>
          <w:numId w:val="2"/>
        </w:numPr>
        <w:spacing w:after="80" w:line="280"/>
      </w:pPr>
      <w:r>
        <w:t xml:space="preserve">Advertir al usuario (Policy Tip): educa sin bloquear.</w:t>
      </w:r>
    </w:p>
    <w:p>
      <w:pPr>
        <w:pStyle w:val="ListParagraph"/>
        <w:numPr>
          <w:ilvl w:val="0"/>
          <w:numId w:val="2"/>
        </w:numPr>
        <w:spacing w:after="80" w:line="280"/>
      </w:pPr>
      <w:r>
        <w:t xml:space="preserve">Requerir justificación de negocio si el usuario insiste.</w:t>
      </w:r>
    </w:p>
    <w:p>
      <w:pPr>
        <w:pStyle w:val="ListParagraph"/>
        <w:numPr>
          <w:ilvl w:val="0"/>
          <w:numId w:val="2"/>
        </w:numPr>
        <w:spacing w:after="80" w:line="280"/>
      </w:pPr>
      <w:r>
        <w:t xml:space="preserve">Bloquear la acción.</w:t>
      </w:r>
    </w:p>
    <w:p>
      <w:pPr>
        <w:pStyle w:val="ListParagraph"/>
        <w:numPr>
          <w:ilvl w:val="0"/>
          <w:numId w:val="2"/>
        </w:numPr>
        <w:spacing w:after="80" w:line="280"/>
      </w:pPr>
      <w:r>
        <w:t xml:space="preserve">Notificar al administrador y al oficial de cumplimiento.</w:t>
      </w:r>
    </w:p>
    <w:p>
      <w:pPr>
        <w:pStyle w:val="ListParagraph"/>
        <w:numPr>
          <w:ilvl w:val="0"/>
          <w:numId w:val="2"/>
        </w:numPr>
        <w:spacing w:after="80" w:line="280"/>
      </w:pPr>
      <w:r>
        <w:t xml:space="preserve">Registrar en auditoría para forensia.</w:t>
      </w:r>
    </w:p>
    <w:p>
      <w:pPr>
        <w:spacing w:after="100"/>
      </w:pPr>
      <w:r>
        <w:t xml:space="preserve"/>
      </w:r>
    </w:p>
    <w:p>
      <w:pPr>
        <w:pStyle w:val="Heading2"/>
        <w:spacing w:after="160" w:before="280"/>
      </w:pPr>
      <w:r>
        <w:t xml:space="preserve">10.2 Etiquetas de sensibilidad (Sensitivity Labels)</w:t>
      </w:r>
    </w:p>
    <w:p>
      <w:pPr>
        <w:spacing w:after="120" w:before="0" w:line="300"/>
      </w:pPr>
      <w:r>
        <w:t xml:space="preserve">Las etiquetas de sensibilidad clasifican y protegen contenido con cifrado y marcas visibles.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Etiqueta</w:t>
            </w:r>
          </w:p>
        </w:tc>
        <w:tc>
          <w:tcPr>
            <w:tcW w:type="dxa" w:w="3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Uso típico</w:t>
            </w:r>
          </w:p>
        </w:tc>
        <w:tc>
          <w:tcPr>
            <w:tcW w:type="dxa" w:w="37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Comportamiento sugerido</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Pública</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Material de marketing, boletines, información abierta.</w:t>
            </w:r>
          </w:p>
        </w:tc>
        <w:tc>
          <w:tcPr>
            <w:tcW w:type="dxa" w:w="3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 cifrado, sin restricción.</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Interna</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Comunicaciones diarias, documentos generales.</w:t>
            </w:r>
          </w:p>
        </w:tc>
        <w:tc>
          <w:tcPr>
            <w:tcW w:type="dxa" w:w="3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 cifrado, no compartir externamente por defecto.</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Confidencial</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Contratos, información financiera, RH.</w:t>
            </w:r>
          </w:p>
        </w:tc>
        <w:tc>
          <w:tcPr>
            <w:tcW w:type="dxa" w:w="3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Cifrado, marca de agua, restringido a grupo interno.</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Restringida</w:t>
            </w:r>
          </w:p>
        </w:tc>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Datos personales sensibles, PI crítica.</w:t>
            </w:r>
          </w:p>
        </w:tc>
        <w:tc>
          <w:tcPr>
            <w:tcW w:type="dxa" w:w="3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Cifrado + solo usuarios nombrados, sin descarga, sin reenvío.</w:t>
            </w:r>
          </w:p>
        </w:tc>
      </w:tr>
    </w:tbl>
    <w:p>
      <w:pPr>
        <w:spacing w:after="100"/>
      </w:pPr>
      <w:r>
        <w:t xml:space="preserve"/>
      </w:r>
    </w:p>
    <w:p>
      <w:pPr>
        <w:pStyle w:val="ListParagraph"/>
        <w:numPr>
          <w:ilvl w:val="0"/>
          <w:numId w:val="2"/>
        </w:numPr>
        <w:spacing w:after="80" w:line="280"/>
      </w:pPr>
      <w:r>
        <w:t xml:space="preserve">Publicar las etiquetas mediante Label Policies dirigidas a los usuarios.</w:t>
      </w:r>
    </w:p>
    <w:p>
      <w:pPr>
        <w:pStyle w:val="ListParagraph"/>
        <w:numPr>
          <w:ilvl w:val="0"/>
          <w:numId w:val="2"/>
        </w:numPr>
        <w:spacing w:after="80" w:line="280"/>
      </w:pPr>
      <w:r>
        <w:t xml:space="preserve">Configurar aplicación automática por reglas de contenido.</w:t>
      </w:r>
    </w:p>
    <w:p>
      <w:pPr>
        <w:pStyle w:val="ListParagraph"/>
        <w:numPr>
          <w:ilvl w:val="0"/>
          <w:numId w:val="2"/>
        </w:numPr>
        <w:spacing w:after="80" w:line="280"/>
      </w:pPr>
      <w:r>
        <w:t xml:space="preserve">Extender etiquetas a contenedores (sitios de SharePoint, grupos M365, equipos de Teams).</w:t>
      </w:r>
    </w:p>
    <w:p>
      <w:pPr>
        <w:pStyle w:val="ListParagraph"/>
        <w:numPr>
          <w:ilvl w:val="0"/>
          <w:numId w:val="2"/>
        </w:numPr>
        <w:spacing w:after="80" w:line="280"/>
      </w:pPr>
      <w:r>
        <w:t xml:space="preserve">Integrar con DLP: acciones DLP basadas en etiqueta aplicada.</w:t>
      </w:r>
    </w:p>
    <w:p>
      <w:pPr>
        <w:spacing w:after="100"/>
      </w:pPr>
      <w:r>
        <w:t xml:space="preserve"/>
      </w:r>
    </w:p>
    <w:p>
      <w:pPr>
        <w:pStyle w:val="Heading2"/>
        <w:spacing w:after="160" w:before="280"/>
      </w:pPr>
      <w:r>
        <w:t xml:space="preserve">10.3 Políticas de retención</w:t>
      </w:r>
    </w:p>
    <w:p>
      <w:pPr>
        <w:spacing w:after="120" w:before="0" w:line="300"/>
      </w:pPr>
      <w:r>
        <w:t xml:space="preserve">Las políticas de retención garantizan que el contenido se conserve el tiempo necesario y se elimine cuando corresponda.</w:t>
      </w:r>
    </w:p>
    <w:p>
      <w:pPr>
        <w:pStyle w:val="ListParagraph"/>
        <w:numPr>
          <w:ilvl w:val="0"/>
          <w:numId w:val="2"/>
        </w:numPr>
        <w:spacing w:after="80" w:line="280"/>
      </w:pPr>
      <w:r>
        <w:t xml:space="preserve">Definir etiquetas de retención por tipo de contenido: 3, 7, 10 años, permanente.</w:t>
      </w:r>
    </w:p>
    <w:p>
      <w:pPr>
        <w:pStyle w:val="ListParagraph"/>
        <w:numPr>
          <w:ilvl w:val="0"/>
          <w:numId w:val="2"/>
        </w:numPr>
        <w:spacing w:after="80" w:line="280"/>
      </w:pPr>
      <w:r>
        <w:t xml:space="preserve">Aplicar por ubicación (buzones, sitios de SharePoint, chats de Teams).</w:t>
      </w:r>
    </w:p>
    <w:p>
      <w:pPr>
        <w:pStyle w:val="ListParagraph"/>
        <w:numPr>
          <w:ilvl w:val="0"/>
          <w:numId w:val="2"/>
        </w:numPr>
        <w:spacing w:after="80" w:line="280"/>
      </w:pPr>
      <w:r>
        <w:t xml:space="preserve">Aplicar por condición (contenido con palabras clave, tipos de documento).</w:t>
      </w:r>
    </w:p>
    <w:p>
      <w:pPr>
        <w:pStyle w:val="ListParagraph"/>
        <w:numPr>
          <w:ilvl w:val="0"/>
          <w:numId w:val="2"/>
        </w:numPr>
        <w:spacing w:after="80" w:line="280"/>
      </w:pPr>
      <w:r>
        <w:t xml:space="preserve">Configurar disposition review para contenido que expira (revisión manual antes de eliminar).</w:t>
      </w:r>
    </w:p>
    <w:p>
      <w:pPr>
        <w:pStyle w:val="ListParagraph"/>
        <w:numPr>
          <w:ilvl w:val="0"/>
          <w:numId w:val="2"/>
        </w:numPr>
        <w:spacing w:after="80" w:line="280"/>
      </w:pPr>
      <w:r>
        <w:t xml:space="preserve">Documentar cada política con su fundamento legal/regulatorio.</w:t>
      </w:r>
    </w:p>
    <w:p>
      <w:pPr>
        <w:spacing w:after="100"/>
      </w:pPr>
      <w:r>
        <w:t xml:space="preserve"/>
      </w:r>
    </w:p>
    <w:p>
      <w:pPr>
        <w:pStyle w:val="Heading2"/>
        <w:spacing w:after="160" w:before="280"/>
      </w:pPr>
      <w:r>
        <w:t xml:space="preserve">10.4 eDiscovery y retención legal (Legal Hold)</w:t>
      </w:r>
    </w:p>
    <w:p>
      <w:pPr>
        <w:pStyle w:val="ListParagraph"/>
        <w:numPr>
          <w:ilvl w:val="0"/>
          <w:numId w:val="2"/>
        </w:numPr>
        <w:spacing w:after="80" w:line="280"/>
      </w:pPr>
      <w:r>
        <w:t xml:space="preserve">Habilitar eDiscovery para el equipo legal (asignar roles Compliance Administrator + eDiscovery Manager).</w:t>
      </w:r>
    </w:p>
    <w:p>
      <w:pPr>
        <w:pStyle w:val="ListParagraph"/>
        <w:numPr>
          <w:ilvl w:val="0"/>
          <w:numId w:val="2"/>
        </w:numPr>
        <w:spacing w:after="80" w:line="280"/>
      </w:pPr>
      <w:r>
        <w:t xml:space="preserve">Definir procedimiento de solicitud de eDiscovery.</w:t>
      </w:r>
    </w:p>
    <w:p>
      <w:pPr>
        <w:pStyle w:val="ListParagraph"/>
        <w:numPr>
          <w:ilvl w:val="0"/>
          <w:numId w:val="2"/>
        </w:numPr>
        <w:spacing w:after="80" w:line="280"/>
      </w:pPr>
      <w:r>
        <w:t xml:space="preserve">Configurar Legal Hold para preservar contenido de custodians específicos (juicios, investigaciones).</w:t>
      </w:r>
    </w:p>
    <w:p>
      <w:pPr>
        <w:pStyle w:val="ListParagraph"/>
        <w:numPr>
          <w:ilvl w:val="0"/>
          <w:numId w:val="2"/>
        </w:numPr>
        <w:spacing w:after="80" w:line="280"/>
      </w:pPr>
      <w:r>
        <w:t xml:space="preserve">Documentar cada Legal Hold con su caso legal y fecha de expiración.</w:t>
      </w:r>
    </w:p>
    <w:p>
      <w:pPr>
        <w:spacing w:after="100"/>
      </w:pPr>
      <w:r>
        <w:t xml:space="preserve"/>
      </w:r>
    </w:p>
    <w:p>
      <w:pPr>
        <w:pStyle w:val="Heading2"/>
        <w:spacing w:after="160" w:before="280"/>
      </w:pPr>
      <w:r>
        <w:t xml:space="preserve">10.5 Auditoría unificada</w:t>
      </w:r>
    </w:p>
    <w:p>
      <w:pPr>
        <w:pStyle w:val="ListParagraph"/>
        <w:numPr>
          <w:ilvl w:val="0"/>
          <w:numId w:val="2"/>
        </w:numPr>
        <w:spacing w:after="80" w:line="280"/>
      </w:pPr>
      <w:r>
        <w:t xml:space="preserve">Habilitar Audit Log Search desde el Portal de Purview.</w:t>
      </w:r>
    </w:p>
    <w:p>
      <w:pPr>
        <w:pStyle w:val="ListParagraph"/>
        <w:numPr>
          <w:ilvl w:val="0"/>
          <w:numId w:val="2"/>
        </w:numPr>
        <w:spacing w:after="80" w:line="280"/>
      </w:pPr>
      <w:r>
        <w:t xml:space="preserve">Retención de auditoría: 90 días (E3) o 1 año (E5).</w:t>
      </w:r>
    </w:p>
    <w:p>
      <w:pPr>
        <w:pStyle w:val="ListParagraph"/>
        <w:numPr>
          <w:ilvl w:val="0"/>
          <w:numId w:val="2"/>
        </w:numPr>
        <w:spacing w:after="80" w:line="280"/>
      </w:pPr>
      <w:r>
        <w:t xml:space="preserve">Configurar alertas para eventos críticos: cambios de rol, exportaciones masivas, accesos a buzones ajenos.</w:t>
      </w:r>
    </w:p>
    <w:p>
      <w:pPr>
        <w:pStyle w:val="ListParagraph"/>
        <w:numPr>
          <w:ilvl w:val="0"/>
          <w:numId w:val="2"/>
        </w:numPr>
        <w:spacing w:after="80" w:line="280"/>
      </w:pPr>
      <w:r>
        <w:t xml:space="preserve">Integrar audit log con SIEM (Sentinel, Splunk) para retención extendida y correlación.</w:t>
      </w:r>
    </w:p>
    <w:p>
      <w:pPr>
        <w:spacing w:after="100"/>
      </w:pPr>
      <w:r>
        <w:t xml:space="preserve"/>
      </w:r>
    </w:p>
    <w:p>
      <w:pPr>
        <w:pStyle w:val="Heading2"/>
        <w:spacing w:after="160" w:before="280"/>
      </w:pPr>
      <w:r>
        <w:t xml:space="preserve">10.6 Insider Risk Management (E5)</w:t>
      </w:r>
    </w:p>
    <w:p>
      <w:pPr>
        <w:pStyle w:val="ListParagraph"/>
        <w:numPr>
          <w:ilvl w:val="0"/>
          <w:numId w:val="2"/>
        </w:numPr>
        <w:spacing w:after="80" w:line="280"/>
      </w:pPr>
      <w:r>
        <w:t xml:space="preserve">Detección de comportamientos internos anómalos: descargas masivas, eliminaciones excesivas, compartición sospechosa.</w:t>
      </w:r>
    </w:p>
    <w:p>
      <w:pPr>
        <w:pStyle w:val="ListParagraph"/>
        <w:numPr>
          <w:ilvl w:val="0"/>
          <w:numId w:val="2"/>
        </w:numPr>
        <w:spacing w:after="80" w:line="280"/>
      </w:pPr>
      <w:r>
        <w:t xml:space="preserve">Detección de "leaver risk": empleados en salida ejecutando acciones sospechosas.</w:t>
      </w:r>
    </w:p>
    <w:p>
      <w:pPr>
        <w:pStyle w:val="ListParagraph"/>
        <w:numPr>
          <w:ilvl w:val="0"/>
          <w:numId w:val="2"/>
        </w:numPr>
        <w:spacing w:after="80" w:line="280"/>
      </w:pPr>
      <w:r>
        <w:t xml:space="preserve">Integración con RH para señales tempranas (renuncias, avisos disciplinarios).</w:t>
      </w:r>
    </w:p>
    <w:p>
      <w:pPr>
        <w:pStyle w:val="ListParagraph"/>
        <w:numPr>
          <w:ilvl w:val="0"/>
          <w:numId w:val="2"/>
        </w:numPr>
        <w:spacing w:after="80" w:line="280"/>
      </w:pPr>
      <w:r>
        <w:t xml:space="preserve">Investigaciones con evidencia consolidada.</w:t>
      </w:r>
    </w:p>
    <w:p>
      <w:r>
        <w:br w:type="page"/>
      </w:r>
    </w:p>
    <w:p>
      <w:pPr>
        <w:pStyle w:val="Heading1"/>
        <w:spacing w:after="200" w:before="360"/>
      </w:pPr>
      <w:r>
        <w:t xml:space="preserve">11. Fase 8 — Amenazas y seguridad avanzada (Defender)</w:t>
      </w:r>
    </w:p>
    <w:p>
      <w:pPr>
        <w:spacing w:after="120" w:before="0" w:line="300"/>
      </w:pPr>
      <w:r>
        <w:t xml:space="preserve">Microsoft Defender es la suite XDR que protege correo, endpoints, identidad y aplicaciones cloud. Se accede desde https://security.microsoft.com</w:t>
      </w:r>
    </w:p>
    <w:p>
      <w:pPr>
        <w:pStyle w:val="Heading2"/>
        <w:spacing w:after="160" w:before="280"/>
      </w:pPr>
      <w:r>
        <w:t xml:space="preserve">11.1 Defender for Office 365</w:t>
      </w:r>
    </w:p>
    <w:p>
      <w:pPr>
        <w:spacing w:after="120" w:before="0" w:line="300"/>
      </w:pPr>
      <w:r>
        <w:t xml:space="preserve">Protege el correo y colaboración contra phishing, malware y BEC. Incluido en E5; con licencia adicional para E3.</w:t>
      </w:r>
    </w:p>
    <w:p>
      <w:pPr>
        <w:pStyle w:val="Heading3"/>
        <w:spacing w:after="120" w:before="220"/>
      </w:pPr>
      <w:r>
        <w:t xml:space="preserve">11.1.1 Políticas Anti-Phishing</w:t>
      </w:r>
    </w:p>
    <w:p>
      <w:pPr>
        <w:pStyle w:val="ListParagraph"/>
        <w:numPr>
          <w:ilvl w:val="0"/>
          <w:numId w:val="2"/>
        </w:numPr>
        <w:spacing w:after="80" w:line="280"/>
      </w:pPr>
      <w:r>
        <w:t xml:space="preserve">Habilitar Standard y Strict preset security policies (recomendación directa de Microsoft).</w:t>
      </w:r>
    </w:p>
    <w:p>
      <w:pPr>
        <w:pStyle w:val="ListParagraph"/>
        <w:numPr>
          <w:ilvl w:val="0"/>
          <w:numId w:val="2"/>
        </w:numPr>
        <w:spacing w:after="80" w:line="280"/>
      </w:pPr>
      <w:r>
        <w:t xml:space="preserve">Configurar impersonation protection para usuarios VIP (ejecutivos).</w:t>
      </w:r>
    </w:p>
    <w:p>
      <w:pPr>
        <w:pStyle w:val="ListParagraph"/>
        <w:numPr>
          <w:ilvl w:val="0"/>
          <w:numId w:val="2"/>
        </w:numPr>
        <w:spacing w:after="80" w:line="280"/>
      </w:pPr>
      <w:r>
        <w:t xml:space="preserve">Configurar impersonation protection para dominios protegidos (contoso.com, dominios de socios estratégicos).</w:t>
      </w:r>
    </w:p>
    <w:p>
      <w:pPr>
        <w:pStyle w:val="ListParagraph"/>
        <w:numPr>
          <w:ilvl w:val="0"/>
          <w:numId w:val="2"/>
        </w:numPr>
        <w:spacing w:after="80" w:line="280"/>
      </w:pPr>
      <w:r>
        <w:t xml:space="preserve">Habilitar Mailbox Intelligence: aprendizaje de patrones normales de comunicación.</w:t>
      </w:r>
    </w:p>
    <w:p>
      <w:pPr>
        <w:pStyle w:val="ListParagraph"/>
        <w:numPr>
          <w:ilvl w:val="0"/>
          <w:numId w:val="2"/>
        </w:numPr>
        <w:spacing w:after="80" w:line="280"/>
      </w:pPr>
      <w:r>
        <w:t xml:space="preserve">Configurar acciones: cuarentena, alertar admin, mover a spam.</w:t>
      </w:r>
    </w:p>
    <w:p>
      <w:pPr>
        <w:spacing w:after="100"/>
      </w:pPr>
      <w:r>
        <w:t xml:space="preserve"/>
      </w:r>
    </w:p>
    <w:p>
      <w:pPr>
        <w:pStyle w:val="Heading3"/>
        <w:spacing w:after="120" w:before="220"/>
      </w:pPr>
      <w:r>
        <w:t xml:space="preserve">11.1.2 Safe Links</w:t>
      </w:r>
    </w:p>
    <w:p>
      <w:pPr>
        <w:pStyle w:val="ListParagraph"/>
        <w:numPr>
          <w:ilvl w:val="0"/>
          <w:numId w:val="2"/>
        </w:numPr>
        <w:spacing w:after="80" w:line="280"/>
      </w:pPr>
      <w:r>
        <w:t xml:space="preserve">Habilitar para toda la organización.</w:t>
      </w:r>
    </w:p>
    <w:p>
      <w:pPr>
        <w:pStyle w:val="ListParagraph"/>
        <w:numPr>
          <w:ilvl w:val="0"/>
          <w:numId w:val="2"/>
        </w:numPr>
        <w:spacing w:after="80" w:line="280"/>
      </w:pPr>
      <w:r>
        <w:t xml:space="preserve">Reescribir URLs en correo, Teams, Office apps.</w:t>
      </w:r>
    </w:p>
    <w:p>
      <w:pPr>
        <w:pStyle w:val="ListParagraph"/>
        <w:numPr>
          <w:ilvl w:val="0"/>
          <w:numId w:val="2"/>
        </w:numPr>
        <w:spacing w:after="80" w:line="280"/>
      </w:pPr>
      <w:r>
        <w:t xml:space="preserve">Detonar URLs sospechosas en sandbox al momento del click.</w:t>
      </w:r>
    </w:p>
    <w:p>
      <w:pPr>
        <w:pStyle w:val="ListParagraph"/>
        <w:numPr>
          <w:ilvl w:val="0"/>
          <w:numId w:val="2"/>
        </w:numPr>
        <w:spacing w:after="80" w:line="280"/>
      </w:pPr>
      <w:r>
        <w:t xml:space="preserve">Habilitar block on click para URLs verificadamente maliciosas.</w:t>
      </w:r>
    </w:p>
    <w:p>
      <w:pPr>
        <w:spacing w:after="100"/>
      </w:pPr>
      <w:r>
        <w:t xml:space="preserve"/>
      </w:r>
    </w:p>
    <w:p>
      <w:pPr>
        <w:pStyle w:val="Heading3"/>
        <w:spacing w:after="120" w:before="220"/>
      </w:pPr>
      <w:r>
        <w:t xml:space="preserve">11.1.3 Safe Attachments</w:t>
      </w:r>
    </w:p>
    <w:p>
      <w:pPr>
        <w:pStyle w:val="ListParagraph"/>
        <w:numPr>
          <w:ilvl w:val="0"/>
          <w:numId w:val="2"/>
        </w:numPr>
        <w:spacing w:after="80" w:line="280"/>
      </w:pPr>
      <w:r>
        <w:t xml:space="preserve">Detonar todos los adjuntos en sandbox antes de entregar.</w:t>
      </w:r>
    </w:p>
    <w:p>
      <w:pPr>
        <w:pStyle w:val="ListParagraph"/>
        <w:numPr>
          <w:ilvl w:val="0"/>
          <w:numId w:val="2"/>
        </w:numPr>
        <w:spacing w:after="80" w:line="280"/>
      </w:pPr>
      <w:r>
        <w:t xml:space="preserve">Configurar Dynamic Delivery: entrega el correo sin adjunto mientras se analiza, luego incorpora el adjunto seguro.</w:t>
      </w:r>
    </w:p>
    <w:p>
      <w:pPr>
        <w:pStyle w:val="ListParagraph"/>
        <w:numPr>
          <w:ilvl w:val="0"/>
          <w:numId w:val="2"/>
        </w:numPr>
        <w:spacing w:after="80" w:line="280"/>
      </w:pPr>
      <w:r>
        <w:t xml:space="preserve">Extender protección a SharePoint, OneDrive y Teams.</w:t>
      </w:r>
    </w:p>
    <w:p>
      <w:pPr>
        <w:spacing w:after="100"/>
      </w:pPr>
      <w:r>
        <w:t xml:space="preserve"/>
      </w:r>
    </w:p>
    <w:p>
      <w:pPr>
        <w:pStyle w:val="Heading3"/>
        <w:spacing w:after="120" w:before="220"/>
      </w:pPr>
      <w:r>
        <w:t xml:space="preserve">11.1.4 Attack Simulator</w:t>
      </w:r>
    </w:p>
    <w:p>
      <w:pPr>
        <w:pStyle w:val="ListParagraph"/>
        <w:numPr>
          <w:ilvl w:val="0"/>
          <w:numId w:val="2"/>
        </w:numPr>
        <w:spacing w:after="80" w:line="280"/>
      </w:pPr>
      <w:r>
        <w:t xml:space="preserve">Ejecutar simulaciones de phishing trimestrales.</w:t>
      </w:r>
    </w:p>
    <w:p>
      <w:pPr>
        <w:pStyle w:val="ListParagraph"/>
        <w:numPr>
          <w:ilvl w:val="0"/>
          <w:numId w:val="2"/>
        </w:numPr>
        <w:spacing w:after="80" w:line="280"/>
      </w:pPr>
      <w:r>
        <w:t xml:space="preserve">Capacitación automática para usuarios que "caen" en la simulación.</w:t>
      </w:r>
    </w:p>
    <w:p>
      <w:pPr>
        <w:pStyle w:val="ListParagraph"/>
        <w:numPr>
          <w:ilvl w:val="0"/>
          <w:numId w:val="2"/>
        </w:numPr>
        <w:spacing w:after="80" w:line="280"/>
      </w:pPr>
      <w:r>
        <w:t xml:space="preserve">Reportes de métricas: tasa de click, tasa de reporte, tiempo medio de detección.</w:t>
      </w:r>
    </w:p>
    <w:p>
      <w:pPr>
        <w:spacing w:after="100"/>
      </w:pPr>
      <w:r>
        <w:t xml:space="preserve"/>
      </w:r>
    </w:p>
    <w:p>
      <w:pPr>
        <w:pStyle w:val="Heading2"/>
        <w:spacing w:after="160" w:before="280"/>
      </w:pPr>
      <w:r>
        <w:t xml:space="preserve">11.2 Defender for Endpoint</w:t>
      </w:r>
    </w:p>
    <w:p>
      <w:pPr>
        <w:spacing w:after="120" w:before="0" w:line="300"/>
      </w:pPr>
      <w:r>
        <w:t xml:space="preserve">EDR para Windows, macOS, iOS, Android, Linux. Incluido en E5 y algunos planes Business.</w:t>
      </w:r>
    </w:p>
    <w:p>
      <w:pPr>
        <w:pStyle w:val="ListParagraph"/>
        <w:numPr>
          <w:ilvl w:val="0"/>
          <w:numId w:val="2"/>
        </w:numPr>
        <w:spacing w:after="80" w:line="280"/>
      </w:pPr>
      <w:r>
        <w:t xml:space="preserve">Onboarding automatizado vía Intune (para dispositivos gestionados).</w:t>
      </w:r>
    </w:p>
    <w:p>
      <w:pPr>
        <w:pStyle w:val="ListParagraph"/>
        <w:numPr>
          <w:ilvl w:val="0"/>
          <w:numId w:val="2"/>
        </w:numPr>
        <w:spacing w:after="80" w:line="280"/>
      </w:pPr>
      <w:r>
        <w:t xml:space="preserve">Habilitar Automatic Investigation and Response.</w:t>
      </w:r>
    </w:p>
    <w:p>
      <w:pPr>
        <w:pStyle w:val="ListParagraph"/>
        <w:numPr>
          <w:ilvl w:val="0"/>
          <w:numId w:val="2"/>
        </w:numPr>
        <w:spacing w:after="80" w:line="280"/>
      </w:pPr>
      <w:r>
        <w:t xml:space="preserve">Configurar Attack Surface Reduction (ASR) rules.</w:t>
      </w:r>
    </w:p>
    <w:p>
      <w:pPr>
        <w:pStyle w:val="ListParagraph"/>
        <w:numPr>
          <w:ilvl w:val="0"/>
          <w:numId w:val="2"/>
        </w:numPr>
        <w:spacing w:after="80" w:line="280"/>
      </w:pPr>
      <w:r>
        <w:t xml:space="preserve">Habilitar Tamper Protection para prevenir que el atacante desactive el antivirus.</w:t>
      </w:r>
    </w:p>
    <w:p>
      <w:pPr>
        <w:pStyle w:val="ListParagraph"/>
        <w:numPr>
          <w:ilvl w:val="0"/>
          <w:numId w:val="2"/>
        </w:numPr>
        <w:spacing w:after="80" w:line="280"/>
      </w:pPr>
      <w:r>
        <w:t xml:space="preserve">Configurar Device Groups para políticas diferenciadas (servidores, laptops, kioscos).</w:t>
      </w:r>
    </w:p>
    <w:p>
      <w:pPr>
        <w:spacing w:after="100"/>
      </w:pPr>
      <w:r>
        <w:t xml:space="preserve"/>
      </w:r>
    </w:p>
    <w:p>
      <w:pPr>
        <w:pStyle w:val="Heading2"/>
        <w:spacing w:after="160" w:before="280"/>
      </w:pPr>
      <w:r>
        <w:t xml:space="preserve">11.3 Defender for Identity</w:t>
      </w:r>
    </w:p>
    <w:p>
      <w:pPr>
        <w:pStyle w:val="ListParagraph"/>
        <w:numPr>
          <w:ilvl w:val="0"/>
          <w:numId w:val="2"/>
        </w:numPr>
        <w:spacing w:after="80" w:line="280"/>
      </w:pPr>
      <w:r>
        <w:t xml:space="preserve">Sensor instalado en Domain Controllers on-premises.</w:t>
      </w:r>
    </w:p>
    <w:p>
      <w:pPr>
        <w:pStyle w:val="ListParagraph"/>
        <w:numPr>
          <w:ilvl w:val="0"/>
          <w:numId w:val="2"/>
        </w:numPr>
        <w:spacing w:after="80" w:line="280"/>
      </w:pPr>
      <w:r>
        <w:t xml:space="preserve">Detecta ataques a AD: pass-the-hash, golden ticket, DCSync, enumeración.</w:t>
      </w:r>
    </w:p>
    <w:p>
      <w:pPr>
        <w:pStyle w:val="ListParagraph"/>
        <w:numPr>
          <w:ilvl w:val="0"/>
          <w:numId w:val="2"/>
        </w:numPr>
        <w:spacing w:after="80" w:line="280"/>
      </w:pPr>
      <w:r>
        <w:t xml:space="preserve">Complementa la protección cloud con visibilidad on-premises.</w:t>
      </w:r>
    </w:p>
    <w:p>
      <w:pPr>
        <w:spacing w:after="100"/>
      </w:pPr>
      <w:r>
        <w:t xml:space="preserve"/>
      </w:r>
    </w:p>
    <w:p>
      <w:pPr>
        <w:pStyle w:val="Heading2"/>
        <w:spacing w:after="160" w:before="280"/>
      </w:pPr>
      <w:r>
        <w:t xml:space="preserve">11.4 Defender for Cloud Apps (CASB)</w:t>
      </w:r>
    </w:p>
    <w:p>
      <w:pPr>
        <w:pStyle w:val="ListParagraph"/>
        <w:numPr>
          <w:ilvl w:val="0"/>
          <w:numId w:val="2"/>
        </w:numPr>
        <w:spacing w:after="80" w:line="280"/>
      </w:pPr>
      <w:r>
        <w:t xml:space="preserve">Descubre aplicaciones SaaS usadas por empleados (Shadow IT).</w:t>
      </w:r>
    </w:p>
    <w:p>
      <w:pPr>
        <w:pStyle w:val="ListParagraph"/>
        <w:numPr>
          <w:ilvl w:val="0"/>
          <w:numId w:val="2"/>
        </w:numPr>
        <w:spacing w:after="80" w:line="280"/>
      </w:pPr>
      <w:r>
        <w:t xml:space="preserve">Aplica políticas de gobierno a apps aprobadas.</w:t>
      </w:r>
    </w:p>
    <w:p>
      <w:pPr>
        <w:pStyle w:val="ListParagraph"/>
        <w:numPr>
          <w:ilvl w:val="0"/>
          <w:numId w:val="2"/>
        </w:numPr>
        <w:spacing w:after="80" w:line="280"/>
      </w:pPr>
      <w:r>
        <w:t xml:space="preserve">Detecta comportamiento anómalo (descargas masivas, ubicaciones inusuales).</w:t>
      </w:r>
    </w:p>
    <w:p>
      <w:pPr>
        <w:pStyle w:val="ListParagraph"/>
        <w:numPr>
          <w:ilvl w:val="0"/>
          <w:numId w:val="2"/>
        </w:numPr>
        <w:spacing w:after="80" w:line="280"/>
      </w:pPr>
      <w:r>
        <w:t xml:space="preserve">Integración con Conditional Access (Conditional Access App Control).</w:t>
      </w:r>
    </w:p>
    <w:p>
      <w:pPr>
        <w:spacing w:after="100"/>
      </w:pPr>
      <w:r>
        <w:t xml:space="preserve"/>
      </w:r>
    </w:p>
    <w:p>
      <w:pPr>
        <w:pStyle w:val="Heading2"/>
        <w:spacing w:after="160" w:before="280"/>
      </w:pPr>
      <w:r>
        <w:t xml:space="preserve">11.5 Configuración de alertas y respuesta</w:t>
      </w:r>
    </w:p>
    <w:p>
      <w:pPr>
        <w:pStyle w:val="ListParagraph"/>
        <w:numPr>
          <w:ilvl w:val="0"/>
          <w:numId w:val="2"/>
        </w:numPr>
        <w:spacing w:after="80" w:line="280"/>
      </w:pPr>
      <w:r>
        <w:t xml:space="preserve">Definir severidad y destinatarios para cada tipo de alerta.</w:t>
      </w:r>
    </w:p>
    <w:p>
      <w:pPr>
        <w:pStyle w:val="ListParagraph"/>
        <w:numPr>
          <w:ilvl w:val="0"/>
          <w:numId w:val="2"/>
        </w:numPr>
        <w:spacing w:after="80" w:line="280"/>
      </w:pPr>
      <w:r>
        <w:t xml:space="preserve">Integrar con SOC (Security Operations Center) si existe.</w:t>
      </w:r>
    </w:p>
    <w:p>
      <w:pPr>
        <w:pStyle w:val="ListParagraph"/>
        <w:numPr>
          <w:ilvl w:val="0"/>
          <w:numId w:val="2"/>
        </w:numPr>
        <w:spacing w:after="80" w:line="280"/>
      </w:pPr>
      <w:r>
        <w:t xml:space="preserve">Configurar playbooks automatizados en Sentinel para respuestas repetitivas.</w:t>
      </w:r>
    </w:p>
    <w:p>
      <w:pPr>
        <w:pStyle w:val="ListParagraph"/>
        <w:numPr>
          <w:ilvl w:val="0"/>
          <w:numId w:val="2"/>
        </w:numPr>
        <w:spacing w:after="80" w:line="280"/>
      </w:pPr>
      <w:r>
        <w:t xml:space="preserve">Definir SLA de respuesta por tipo de alerta.</w:t>
      </w:r>
    </w:p>
    <w:p>
      <w:r>
        <w:br w:type="page"/>
      </w:r>
    </w:p>
    <w:p>
      <w:pPr>
        <w:pStyle w:val="Heading1"/>
        <w:spacing w:after="200" w:before="360"/>
      </w:pPr>
      <w:r>
        <w:t xml:space="preserve">12. Fase 9 — Gobierno y monitoreo continuo</w:t>
      </w:r>
    </w:p>
    <w:p>
      <w:pPr>
        <w:spacing w:after="120" w:before="0" w:line="300"/>
      </w:pPr>
      <w:r>
        <w:t xml:space="preserve">La configuración inicial es solo el comienzo. Sin gobierno continuo, un tenant se deteriora rápidamente por drift de configuración, sprawl de sitios/grupos, y acumulación de permisos obsoletos.</w:t>
      </w:r>
    </w:p>
    <w:p>
      <w:pPr>
        <w:pStyle w:val="Heading2"/>
        <w:spacing w:after="160" w:before="280"/>
      </w:pPr>
      <w:r>
        <w:t xml:space="preserve">12.1 Microsoft Secure Score</w:t>
      </w:r>
    </w:p>
    <w:p>
      <w:pPr>
        <w:pStyle w:val="ListParagraph"/>
        <w:numPr>
          <w:ilvl w:val="0"/>
          <w:numId w:val="2"/>
        </w:numPr>
        <w:spacing w:after="80" w:line="280"/>
      </w:pPr>
      <w:r>
        <w:t xml:space="preserve">Disponible en Portal de Defender → Secure Score.</w:t>
      </w:r>
    </w:p>
    <w:p>
      <w:pPr>
        <w:pStyle w:val="ListParagraph"/>
        <w:numPr>
          <w:ilvl w:val="0"/>
          <w:numId w:val="2"/>
        </w:numPr>
        <w:spacing w:after="80" w:line="280"/>
      </w:pPr>
      <w:r>
        <w:t xml:space="preserve">Puntaje agregado (0-100%) de las configuraciones de seguridad recomendadas.</w:t>
      </w:r>
    </w:p>
    <w:p>
      <w:pPr>
        <w:pStyle w:val="ListParagraph"/>
        <w:numPr>
          <w:ilvl w:val="0"/>
          <w:numId w:val="2"/>
        </w:numPr>
        <w:spacing w:after="80" w:line="280"/>
      </w:pPr>
      <w:r>
        <w:t xml:space="preserve">Cada control tiene puntos, dificultad de implementación y descripción del impacto.</w:t>
      </w:r>
    </w:p>
    <w:p>
      <w:pPr>
        <w:pStyle w:val="ListParagraph"/>
        <w:numPr>
          <w:ilvl w:val="0"/>
          <w:numId w:val="2"/>
        </w:numPr>
        <w:spacing w:after="80" w:line="280"/>
      </w:pPr>
      <w:r>
        <w:t xml:space="preserve">Objetivo mínimo: 70% para tenants productivos. Meta: 85%+.</w:t>
      </w:r>
    </w:p>
    <w:p>
      <w:pPr>
        <w:pStyle w:val="ListParagraph"/>
        <w:numPr>
          <w:ilvl w:val="0"/>
          <w:numId w:val="2"/>
        </w:numPr>
        <w:spacing w:after="80" w:line="280"/>
      </w:pPr>
      <w:r>
        <w:t xml:space="preserve">Revisar mensualmente e implementar las recomendaciones de mayor impacto.</w:t>
      </w:r>
    </w:p>
    <w:p>
      <w:pPr>
        <w:pStyle w:val="ListParagraph"/>
        <w:numPr>
          <w:ilvl w:val="0"/>
          <w:numId w:val="2"/>
        </w:numPr>
        <w:spacing w:after="80" w:line="280"/>
      </w:pPr>
      <w:r>
        <w:t xml:space="preserve">Documentar recomendaciones NO aplicables con justificación (por ejemplo, si la organización no usa Skype for Business).</w:t>
      </w:r>
    </w:p>
    <w:p>
      <w:pPr>
        <w:spacing w:after="100"/>
      </w:pPr>
      <w:r>
        <w:t xml:space="preserve"/>
      </w:r>
    </w:p>
    <w:p>
      <w:pPr>
        <w:pStyle w:val="Heading2"/>
        <w:spacing w:after="160" w:before="280"/>
      </w:pPr>
      <w:r>
        <w:t xml:space="preserve">12.2 Compliance Manager</w:t>
      </w:r>
    </w:p>
    <w:p>
      <w:pPr>
        <w:pStyle w:val="ListParagraph"/>
        <w:numPr>
          <w:ilvl w:val="0"/>
          <w:numId w:val="2"/>
        </w:numPr>
        <w:spacing w:after="80" w:line="280"/>
      </w:pPr>
      <w:r>
        <w:t xml:space="preserve">Portal de Purview → Compliance Manager.</w:t>
      </w:r>
    </w:p>
    <w:p>
      <w:pPr>
        <w:pStyle w:val="ListParagraph"/>
        <w:numPr>
          <w:ilvl w:val="0"/>
          <w:numId w:val="2"/>
        </w:numPr>
        <w:spacing w:after="80" w:line="280"/>
      </w:pPr>
      <w:r>
        <w:t xml:space="preserve">Evaluación contra marcos de referencia: ISO 27001, NIST, GDPR, HIPAA.</w:t>
      </w:r>
    </w:p>
    <w:p>
      <w:pPr>
        <w:pStyle w:val="ListParagraph"/>
        <w:numPr>
          <w:ilvl w:val="0"/>
          <w:numId w:val="2"/>
        </w:numPr>
        <w:spacing w:after="80" w:line="280"/>
      </w:pPr>
      <w:r>
        <w:t xml:space="preserve">Recomendación de controles y evidencia de implementación.</w:t>
      </w:r>
    </w:p>
    <w:p>
      <w:pPr>
        <w:pStyle w:val="ListParagraph"/>
        <w:numPr>
          <w:ilvl w:val="0"/>
          <w:numId w:val="2"/>
        </w:numPr>
        <w:spacing w:after="80" w:line="280"/>
      </w:pPr>
      <w:r>
        <w:t xml:space="preserve">Reportes exportables para auditorías.</w:t>
      </w:r>
    </w:p>
    <w:p>
      <w:pPr>
        <w:spacing w:after="100"/>
      </w:pPr>
      <w:r>
        <w:t xml:space="preserve"/>
      </w:r>
    </w:p>
    <w:p>
      <w:pPr>
        <w:pStyle w:val="Heading2"/>
        <w:spacing w:after="160" w:before="280"/>
      </w:pPr>
      <w:r>
        <w:t xml:space="preserve">12.3 Auditoría continua</w:t>
      </w:r>
    </w:p>
    <w:p>
      <w:pPr>
        <w:pStyle w:val="ListParagraph"/>
        <w:numPr>
          <w:ilvl w:val="0"/>
          <w:numId w:val="2"/>
        </w:numPr>
        <w:spacing w:after="80" w:line="280"/>
      </w:pPr>
      <w:r>
        <w:t xml:space="preserve">Configurar alertas de auditoría en tiempo real para eventos críticos.</w:t>
      </w:r>
    </w:p>
    <w:p>
      <w:pPr>
        <w:pStyle w:val="ListParagraph"/>
        <w:numPr>
          <w:ilvl w:val="0"/>
          <w:numId w:val="2"/>
        </w:numPr>
        <w:spacing w:after="80" w:line="280"/>
      </w:pPr>
      <w:r>
        <w:t xml:space="preserve">Revisión semanal de sign-ins riesgosos (Entra ID → Reports).</w:t>
      </w:r>
    </w:p>
    <w:p>
      <w:pPr>
        <w:pStyle w:val="ListParagraph"/>
        <w:numPr>
          <w:ilvl w:val="0"/>
          <w:numId w:val="2"/>
        </w:numPr>
        <w:spacing w:after="80" w:line="280"/>
      </w:pPr>
      <w:r>
        <w:t xml:space="preserve">Revisión mensual de asignaciones de roles administrativos (PIM Audit).</w:t>
      </w:r>
    </w:p>
    <w:p>
      <w:pPr>
        <w:pStyle w:val="ListParagraph"/>
        <w:numPr>
          <w:ilvl w:val="0"/>
          <w:numId w:val="2"/>
        </w:numPr>
        <w:spacing w:after="80" w:line="280"/>
      </w:pPr>
      <w:r>
        <w:t xml:space="preserve">Revisión trimestral de compartición externa (guests, links).</w:t>
      </w:r>
    </w:p>
    <w:p>
      <w:pPr>
        <w:pStyle w:val="ListParagraph"/>
        <w:numPr>
          <w:ilvl w:val="0"/>
          <w:numId w:val="2"/>
        </w:numPr>
        <w:spacing w:after="80" w:line="280"/>
      </w:pPr>
      <w:r>
        <w:t xml:space="preserve">Revisión semestral de aplicaciones registradas (Enterprise Applications).</w:t>
      </w:r>
    </w:p>
    <w:p>
      <w:pPr>
        <w:spacing w:after="100"/>
      </w:pPr>
      <w:r>
        <w:t xml:space="preserve"/>
      </w:r>
    </w:p>
    <w:p>
      <w:pPr>
        <w:pStyle w:val="Heading2"/>
        <w:spacing w:after="160" w:before="280"/>
      </w:pPr>
      <w:r>
        <w:t xml:space="preserve">12.4 Access Reviews (Entra ID Governance)</w:t>
      </w:r>
    </w:p>
    <w:p>
      <w:pPr>
        <w:pStyle w:val="ListParagraph"/>
        <w:numPr>
          <w:ilvl w:val="0"/>
          <w:numId w:val="2"/>
        </w:numPr>
        <w:spacing w:after="80" w:line="280"/>
      </w:pPr>
      <w:r>
        <w:t xml:space="preserve">Revisiones periódicas automatizadas de accesos y roles.</w:t>
      </w:r>
    </w:p>
    <w:p>
      <w:pPr>
        <w:pStyle w:val="ListParagraph"/>
        <w:numPr>
          <w:ilvl w:val="0"/>
          <w:numId w:val="2"/>
        </w:numPr>
        <w:spacing w:after="80" w:line="280"/>
      </w:pPr>
      <w:r>
        <w:t xml:space="preserve">Para roles privilegiados: trimestral.</w:t>
      </w:r>
    </w:p>
    <w:p>
      <w:pPr>
        <w:pStyle w:val="ListParagraph"/>
        <w:numPr>
          <w:ilvl w:val="0"/>
          <w:numId w:val="2"/>
        </w:numPr>
        <w:spacing w:after="80" w:line="280"/>
      </w:pPr>
      <w:r>
        <w:t xml:space="preserve">Para membresía a grupos M365 y Teams: semestral.</w:t>
      </w:r>
    </w:p>
    <w:p>
      <w:pPr>
        <w:pStyle w:val="ListParagraph"/>
        <w:numPr>
          <w:ilvl w:val="0"/>
          <w:numId w:val="2"/>
        </w:numPr>
        <w:spacing w:after="80" w:line="280"/>
      </w:pPr>
      <w:r>
        <w:t xml:space="preserve">Para invitados externos: cada 90 días.</w:t>
      </w:r>
    </w:p>
    <w:p>
      <w:pPr>
        <w:pStyle w:val="ListParagraph"/>
        <w:numPr>
          <w:ilvl w:val="0"/>
          <w:numId w:val="2"/>
        </w:numPr>
        <w:spacing w:after="80" w:line="280"/>
      </w:pPr>
      <w:r>
        <w:t xml:space="preserve">Para aplicaciones asignadas: anual.</w:t>
      </w:r>
    </w:p>
    <w:p>
      <w:pPr>
        <w:spacing w:after="100"/>
      </w:pPr>
      <w:r>
        <w:t xml:space="preserve"/>
      </w:r>
    </w:p>
    <w:p>
      <w:pPr>
        <w:pStyle w:val="Heading2"/>
        <w:spacing w:after="160" w:before="280"/>
      </w:pPr>
      <w:r>
        <w:t xml:space="preserve">12.5 Message Center y Service Health</w:t>
      </w:r>
    </w:p>
    <w:p>
      <w:pPr>
        <w:pStyle w:val="ListParagraph"/>
        <w:numPr>
          <w:ilvl w:val="0"/>
          <w:numId w:val="2"/>
        </w:numPr>
        <w:spacing w:after="80" w:line="280"/>
      </w:pPr>
      <w:r>
        <w:t xml:space="preserve">Message Center: notificaciones de Microsoft sobre cambios en el servicio, nuevas features, deprecaciones.</w:t>
      </w:r>
    </w:p>
    <w:p>
      <w:pPr>
        <w:pStyle w:val="ListParagraph"/>
        <w:numPr>
          <w:ilvl w:val="0"/>
          <w:numId w:val="2"/>
        </w:numPr>
        <w:spacing w:after="80" w:line="280"/>
      </w:pPr>
      <w:r>
        <w:t xml:space="preserve">Configurar Message Center Reader para el equipo relevante.</w:t>
      </w:r>
    </w:p>
    <w:p>
      <w:pPr>
        <w:pStyle w:val="ListParagraph"/>
        <w:numPr>
          <w:ilvl w:val="0"/>
          <w:numId w:val="2"/>
        </w:numPr>
        <w:spacing w:after="80" w:line="280"/>
      </w:pPr>
      <w:r>
        <w:t xml:space="preserve">Service Health: incidentes activos, degradaciones, mantenimientos programados.</w:t>
      </w:r>
    </w:p>
    <w:p>
      <w:pPr>
        <w:pStyle w:val="ListParagraph"/>
        <w:numPr>
          <w:ilvl w:val="0"/>
          <w:numId w:val="2"/>
        </w:numPr>
        <w:spacing w:after="80" w:line="280"/>
      </w:pPr>
      <w:r>
        <w:t xml:space="preserve">Integrar con Teams para notificaciones automáticas al equipo TI.</w:t>
      </w:r>
    </w:p>
    <w:p>
      <w:pPr>
        <w:spacing w:after="100"/>
      </w:pPr>
      <w:r>
        <w:t xml:space="preserve"/>
      </w:r>
    </w:p>
    <w:p>
      <w:pPr>
        <w:pStyle w:val="Heading2"/>
        <w:spacing w:after="160" w:before="280"/>
      </w:pPr>
      <w:r>
        <w:t xml:space="preserve">12.6 Documentación viva del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El tenant necesita su propia documentación</w:t>
            </w:r>
          </w:p>
          <w:p>
            <w:pPr>
              <w:spacing w:after="0" w:before="0" w:line="300"/>
            </w:pPr>
            <w:r>
              <w:t xml:space="preserve">Un tenant sin documentación se convierte en una caja negra que solo entiende quien lo configuró. Cuando esa persona se va, el equipo queda ciego. Mantener documentación viva no es opcional: es requisito operativo.</w:t>
            </w:r>
          </w:p>
        </w:tc>
      </w:tr>
    </w:tbl>
    <w:p>
      <w:pPr>
        <w:spacing w:after="100"/>
      </w:pPr>
      <w:r>
        <w:t xml:space="preserve"/>
      </w:r>
    </w:p>
    <w:p>
      <w:pPr>
        <w:spacing w:after="120" w:before="0" w:line="300"/>
      </w:pPr>
      <w:r>
        <w:t xml:space="preserve">Documentar como mínimo:</w:t>
      </w:r>
    </w:p>
    <w:p>
      <w:pPr>
        <w:pStyle w:val="ListParagraph"/>
        <w:numPr>
          <w:ilvl w:val="0"/>
          <w:numId w:val="2"/>
        </w:numPr>
        <w:spacing w:after="80" w:line="280"/>
      </w:pPr>
      <w:r>
        <w:t xml:space="preserve">Arquitectura de identidad (dominios, modelo de sync, DCs sincronizados).</w:t>
      </w:r>
    </w:p>
    <w:p>
      <w:pPr>
        <w:pStyle w:val="ListParagraph"/>
        <w:numPr>
          <w:ilvl w:val="0"/>
          <w:numId w:val="2"/>
        </w:numPr>
        <w:spacing w:after="80" w:line="280"/>
      </w:pPr>
      <w:r>
        <w:t xml:space="preserve">Lista de administradores y sus roles PIM.</w:t>
      </w:r>
    </w:p>
    <w:p>
      <w:pPr>
        <w:pStyle w:val="ListParagraph"/>
        <w:numPr>
          <w:ilvl w:val="0"/>
          <w:numId w:val="2"/>
        </w:numPr>
        <w:spacing w:after="80" w:line="280"/>
      </w:pPr>
      <w:r>
        <w:t xml:space="preserve">Ubicación de las cuentas break-glass y procedimiento de uso.</w:t>
      </w:r>
    </w:p>
    <w:p>
      <w:pPr>
        <w:pStyle w:val="ListParagraph"/>
        <w:numPr>
          <w:ilvl w:val="0"/>
          <w:numId w:val="2"/>
        </w:numPr>
        <w:spacing w:after="80" w:line="280"/>
      </w:pPr>
      <w:r>
        <w:t xml:space="preserve">Políticas de Conditional Access con su propósito y excepciones.</w:t>
      </w:r>
    </w:p>
    <w:p>
      <w:pPr>
        <w:pStyle w:val="ListParagraph"/>
        <w:numPr>
          <w:ilvl w:val="0"/>
          <w:numId w:val="2"/>
        </w:numPr>
        <w:spacing w:after="80" w:line="280"/>
      </w:pPr>
      <w:r>
        <w:t xml:space="preserve">Etiquetas de sensibilidad, retención y DLP publicadas.</w:t>
      </w:r>
    </w:p>
    <w:p>
      <w:pPr>
        <w:pStyle w:val="ListParagraph"/>
        <w:numPr>
          <w:ilvl w:val="0"/>
          <w:numId w:val="2"/>
        </w:numPr>
        <w:spacing w:after="80" w:line="280"/>
      </w:pPr>
      <w:r>
        <w:t xml:space="preserve">Sitios de SharePoint principales y sus dueños.</w:t>
      </w:r>
    </w:p>
    <w:p>
      <w:pPr>
        <w:pStyle w:val="ListParagraph"/>
        <w:numPr>
          <w:ilvl w:val="0"/>
          <w:numId w:val="2"/>
        </w:numPr>
        <w:spacing w:after="80" w:line="280"/>
      </w:pPr>
      <w:r>
        <w:t xml:space="preserve">Aplicaciones registradas y sus permisos.</w:t>
      </w:r>
    </w:p>
    <w:p>
      <w:pPr>
        <w:pStyle w:val="ListParagraph"/>
        <w:numPr>
          <w:ilvl w:val="0"/>
          <w:numId w:val="2"/>
        </w:numPr>
        <w:spacing w:after="80" w:line="280"/>
      </w:pPr>
      <w:r>
        <w:t xml:space="preserve">Configuración de Intune y políticas de compliance.</w:t>
      </w:r>
    </w:p>
    <w:p>
      <w:pPr>
        <w:pStyle w:val="ListParagraph"/>
        <w:numPr>
          <w:ilvl w:val="0"/>
          <w:numId w:val="2"/>
        </w:numPr>
        <w:spacing w:after="80" w:line="280"/>
      </w:pPr>
      <w:r>
        <w:t xml:space="preserve">Contactos de escalación (Microsoft Premier, partner, MSP).</w:t>
      </w:r>
    </w:p>
    <w:p>
      <w:r>
        <w:br w:type="page"/>
      </w:r>
    </w:p>
    <w:p>
      <w:pPr>
        <w:pStyle w:val="Heading1"/>
        <w:spacing w:after="200" w:before="360"/>
      </w:pPr>
      <w:r>
        <w:t xml:space="preserve">13. Fase 10 — Adopción y capacitación</w:t>
      </w:r>
    </w:p>
    <w:p>
      <w:pPr>
        <w:spacing w:after="120" w:before="0" w:line="300"/>
      </w:pPr>
      <w:r>
        <w:t xml:space="preserve">La tecnología por sí sola no genera valor. Si los usuarios no adoptan las herramientas de forma efectiva y segura, la inversión en M365 no rinde frutos. La adopción debe planearse como un proyecto paralelo al despliegue técnico.</w:t>
      </w:r>
    </w:p>
    <w:p>
      <w:pPr>
        <w:pStyle w:val="Heading2"/>
        <w:spacing w:after="160" w:before="280"/>
      </w:pPr>
      <w:r>
        <w:t xml:space="preserve">13.1 Plan de adopción</w:t>
      </w:r>
    </w:p>
    <w:p>
      <w:pPr>
        <w:pStyle w:val="ListParagraph"/>
        <w:numPr>
          <w:ilvl w:val="0"/>
          <w:numId w:val="2"/>
        </w:numPr>
        <w:spacing w:after="80" w:line="280"/>
      </w:pPr>
      <w:r>
        <w:t xml:space="preserve">Comunicación inicial del proyecto por parte del patrocinador ejecutivo.</w:t>
      </w:r>
    </w:p>
    <w:p>
      <w:pPr>
        <w:pStyle w:val="ListParagraph"/>
        <w:numPr>
          <w:ilvl w:val="0"/>
          <w:numId w:val="2"/>
        </w:numPr>
        <w:spacing w:after="80" w:line="280"/>
      </w:pPr>
      <w:r>
        <w:t xml:space="preserve">Identificación de "champions" o campeones: 1-2 usuarios por área (usualmente los tecnológicamente inquietos).</w:t>
      </w:r>
    </w:p>
    <w:p>
      <w:pPr>
        <w:pStyle w:val="ListParagraph"/>
        <w:numPr>
          <w:ilvl w:val="0"/>
          <w:numId w:val="2"/>
        </w:numPr>
        <w:spacing w:after="80" w:line="280"/>
      </w:pPr>
      <w:r>
        <w:t xml:space="preserve">Capacitación en cascada: TI capacita a champions, champions capacitan a sus áreas.</w:t>
      </w:r>
    </w:p>
    <w:p>
      <w:pPr>
        <w:pStyle w:val="ListParagraph"/>
        <w:numPr>
          <w:ilvl w:val="0"/>
          <w:numId w:val="2"/>
        </w:numPr>
        <w:spacing w:after="80" w:line="280"/>
      </w:pPr>
      <w:r>
        <w:t xml:space="preserve">Materiales de capacitación diferenciados por audiencia (usuarios finales, líderes, TI).</w:t>
      </w:r>
    </w:p>
    <w:p>
      <w:pPr>
        <w:pStyle w:val="ListParagraph"/>
        <w:numPr>
          <w:ilvl w:val="0"/>
          <w:numId w:val="2"/>
        </w:numPr>
        <w:spacing w:after="80" w:line="280"/>
      </w:pPr>
      <w:r>
        <w:t xml:space="preserve">Métricas de adopción: acceso, uso de features, satisfacción.</w:t>
      </w:r>
    </w:p>
    <w:p>
      <w:pPr>
        <w:spacing w:after="100"/>
      </w:pPr>
      <w:r>
        <w:t xml:space="preserve"/>
      </w:r>
    </w:p>
    <w:p>
      <w:pPr>
        <w:pStyle w:val="Heading2"/>
        <w:spacing w:after="160" w:before="280"/>
      </w:pPr>
      <w:r>
        <w:t xml:space="preserve">13.2 Contenido de capacitación recomendado</w:t>
      </w:r>
    </w:p>
    <w:p>
      <w:pPr>
        <w:pStyle w:val="Heading3"/>
        <w:spacing w:after="120" w:before="220"/>
      </w:pPr>
      <w:r>
        <w:t xml:space="preserve">13.2.1 Sesión básica para usuarios finales (60 min)</w:t>
      </w:r>
    </w:p>
    <w:p>
      <w:pPr>
        <w:pStyle w:val="ListParagraph"/>
        <w:numPr>
          <w:ilvl w:val="0"/>
          <w:numId w:val="2"/>
        </w:numPr>
        <w:spacing w:after="80" w:line="280"/>
      </w:pPr>
      <w:r>
        <w:t xml:space="preserve">Inicio de sesión y MFA.</w:t>
      </w:r>
    </w:p>
    <w:p>
      <w:pPr>
        <w:pStyle w:val="ListParagraph"/>
        <w:numPr>
          <w:ilvl w:val="0"/>
          <w:numId w:val="2"/>
        </w:numPr>
        <w:spacing w:after="80" w:line="280"/>
      </w:pPr>
      <w:r>
        <w:t xml:space="preserve">Uso de Outlook web y de escritorio.</w:t>
      </w:r>
    </w:p>
    <w:p>
      <w:pPr>
        <w:pStyle w:val="ListParagraph"/>
        <w:numPr>
          <w:ilvl w:val="0"/>
          <w:numId w:val="2"/>
        </w:numPr>
        <w:spacing w:after="80" w:line="280"/>
      </w:pPr>
      <w:r>
        <w:t xml:space="preserve">Uso de Teams: chat, canales, reuniones.</w:t>
      </w:r>
    </w:p>
    <w:p>
      <w:pPr>
        <w:pStyle w:val="ListParagraph"/>
        <w:numPr>
          <w:ilvl w:val="0"/>
          <w:numId w:val="2"/>
        </w:numPr>
        <w:spacing w:after="80" w:line="280"/>
      </w:pPr>
      <w:r>
        <w:t xml:space="preserve">OneDrive: subir, sincronizar, compartir.</w:t>
      </w:r>
    </w:p>
    <w:p>
      <w:pPr>
        <w:pStyle w:val="ListParagraph"/>
        <w:numPr>
          <w:ilvl w:val="0"/>
          <w:numId w:val="2"/>
        </w:numPr>
        <w:spacing w:after="80" w:line="280"/>
      </w:pPr>
      <w:r>
        <w:t xml:space="preserve">SharePoint: navegación y búsqueda en sitios.</w:t>
      </w:r>
    </w:p>
    <w:p>
      <w:pPr>
        <w:pStyle w:val="ListParagraph"/>
        <w:numPr>
          <w:ilvl w:val="0"/>
          <w:numId w:val="2"/>
        </w:numPr>
        <w:spacing w:after="80" w:line="280"/>
      </w:pPr>
      <w:r>
        <w:t xml:space="preserve">Reportar phishing (botón Report Message).</w:t>
      </w:r>
    </w:p>
    <w:p>
      <w:pPr>
        <w:spacing w:after="100"/>
      </w:pPr>
      <w:r>
        <w:t xml:space="preserve"/>
      </w:r>
    </w:p>
    <w:p>
      <w:pPr>
        <w:pStyle w:val="Heading3"/>
        <w:spacing w:after="120" w:before="220"/>
      </w:pPr>
      <w:r>
        <w:t xml:space="preserve">13.2.2 Sesión intermedia (90 min)</w:t>
      </w:r>
    </w:p>
    <w:p>
      <w:pPr>
        <w:pStyle w:val="ListParagraph"/>
        <w:numPr>
          <w:ilvl w:val="0"/>
          <w:numId w:val="2"/>
        </w:numPr>
        <w:spacing w:after="80" w:line="280"/>
      </w:pPr>
      <w:r>
        <w:t xml:space="preserve">Colaboración en documentos: coautoría, comentarios, versiones.</w:t>
      </w:r>
    </w:p>
    <w:p>
      <w:pPr>
        <w:pStyle w:val="ListParagraph"/>
        <w:numPr>
          <w:ilvl w:val="0"/>
          <w:numId w:val="2"/>
        </w:numPr>
        <w:spacing w:after="80" w:line="280"/>
      </w:pPr>
      <w:r>
        <w:t xml:space="preserve">Uso avanzado de Teams: canales privados, tabs, apps.</w:t>
      </w:r>
    </w:p>
    <w:p>
      <w:pPr>
        <w:pStyle w:val="ListParagraph"/>
        <w:numPr>
          <w:ilvl w:val="0"/>
          <w:numId w:val="2"/>
        </w:numPr>
        <w:spacing w:after="80" w:line="280"/>
      </w:pPr>
      <w:r>
        <w:t xml:space="preserve">Bookings y calendarios compartidos.</w:t>
      </w:r>
    </w:p>
    <w:p>
      <w:pPr>
        <w:pStyle w:val="ListParagraph"/>
        <w:numPr>
          <w:ilvl w:val="0"/>
          <w:numId w:val="2"/>
        </w:numPr>
        <w:spacing w:after="80" w:line="280"/>
      </w:pPr>
      <w:r>
        <w:t xml:space="preserve">OneNote y Loop para notas colaborativas.</w:t>
      </w:r>
    </w:p>
    <w:p>
      <w:pPr>
        <w:pStyle w:val="ListParagraph"/>
        <w:numPr>
          <w:ilvl w:val="0"/>
          <w:numId w:val="2"/>
        </w:numPr>
        <w:spacing w:after="80" w:line="280"/>
      </w:pPr>
      <w:r>
        <w:t xml:space="preserve">Búsqueda avanzada en M365.</w:t>
      </w:r>
    </w:p>
    <w:p>
      <w:pPr>
        <w:spacing w:after="100"/>
      </w:pPr>
      <w:r>
        <w:t xml:space="preserve"/>
      </w:r>
    </w:p>
    <w:p>
      <w:pPr>
        <w:pStyle w:val="Heading3"/>
        <w:spacing w:after="120" w:before="220"/>
      </w:pPr>
      <w:r>
        <w:t xml:space="preserve">13.2.3 Sesión de champions (2 h)</w:t>
      </w:r>
    </w:p>
    <w:p>
      <w:pPr>
        <w:pStyle w:val="ListParagraph"/>
        <w:numPr>
          <w:ilvl w:val="0"/>
          <w:numId w:val="2"/>
        </w:numPr>
        <w:spacing w:after="80" w:line="280"/>
      </w:pPr>
      <w:r>
        <w:t xml:space="preserve">Todo lo anterior con más profundidad.</w:t>
      </w:r>
    </w:p>
    <w:p>
      <w:pPr>
        <w:pStyle w:val="ListParagraph"/>
        <w:numPr>
          <w:ilvl w:val="0"/>
          <w:numId w:val="2"/>
        </w:numPr>
        <w:spacing w:after="80" w:line="280"/>
      </w:pPr>
      <w:r>
        <w:t xml:space="preserve">Gobierno básico: cómo pedir accesos, cómo reportar problemas.</w:t>
      </w:r>
    </w:p>
    <w:p>
      <w:pPr>
        <w:pStyle w:val="ListParagraph"/>
        <w:numPr>
          <w:ilvl w:val="0"/>
          <w:numId w:val="2"/>
        </w:numPr>
        <w:spacing w:after="80" w:line="280"/>
      </w:pPr>
      <w:r>
        <w:t xml:space="preserve">Política de compartición externa.</w:t>
      </w:r>
    </w:p>
    <w:p>
      <w:pPr>
        <w:pStyle w:val="ListParagraph"/>
        <w:numPr>
          <w:ilvl w:val="0"/>
          <w:numId w:val="2"/>
        </w:numPr>
        <w:spacing w:after="80" w:line="280"/>
      </w:pPr>
      <w:r>
        <w:t xml:space="preserve">Sensibilidad de la información.</w:t>
      </w:r>
    </w:p>
    <w:p>
      <w:pPr>
        <w:pStyle w:val="ListParagraph"/>
        <w:numPr>
          <w:ilvl w:val="0"/>
          <w:numId w:val="2"/>
        </w:numPr>
        <w:spacing w:after="80" w:line="280"/>
      </w:pPr>
      <w:r>
        <w:t xml:space="preserve">Rol del champion en su área.</w:t>
      </w:r>
    </w:p>
    <w:p>
      <w:pPr>
        <w:spacing w:after="100"/>
      </w:pPr>
      <w:r>
        <w:t xml:space="preserve"/>
      </w:r>
    </w:p>
    <w:p>
      <w:pPr>
        <w:pStyle w:val="Heading2"/>
        <w:spacing w:after="160" w:before="280"/>
      </w:pPr>
      <w:r>
        <w:t xml:space="preserve">13.3 Comunicación y sostenimiento</w:t>
      </w:r>
    </w:p>
    <w:p>
      <w:pPr>
        <w:pStyle w:val="ListParagraph"/>
        <w:numPr>
          <w:ilvl w:val="0"/>
          <w:numId w:val="2"/>
        </w:numPr>
        <w:spacing w:after="80" w:line="280"/>
      </w:pPr>
      <w:r>
        <w:t xml:space="preserve">Boletín mensual con tips de M365.</w:t>
      </w:r>
    </w:p>
    <w:p>
      <w:pPr>
        <w:pStyle w:val="ListParagraph"/>
        <w:numPr>
          <w:ilvl w:val="0"/>
          <w:numId w:val="2"/>
        </w:numPr>
        <w:spacing w:after="80" w:line="280"/>
      </w:pPr>
      <w:r>
        <w:t xml:space="preserve">Canal de Teams dedicado a preguntas de adopción.</w:t>
      </w:r>
    </w:p>
    <w:p>
      <w:pPr>
        <w:pStyle w:val="ListParagraph"/>
        <w:numPr>
          <w:ilvl w:val="0"/>
          <w:numId w:val="2"/>
        </w:numPr>
        <w:spacing w:after="80" w:line="280"/>
      </w:pPr>
      <w:r>
        <w:t xml:space="preserve">Sesiones "Office Hours" semanales de TI para dudas abiertas.</w:t>
      </w:r>
    </w:p>
    <w:p>
      <w:pPr>
        <w:pStyle w:val="ListParagraph"/>
        <w:numPr>
          <w:ilvl w:val="0"/>
          <w:numId w:val="2"/>
        </w:numPr>
        <w:spacing w:after="80" w:line="280"/>
      </w:pPr>
      <w:r>
        <w:t xml:space="preserve">Repositorio SharePoint con documentación viva (guías, videos, FAQs).</w:t>
      </w:r>
    </w:p>
    <w:p>
      <w:pPr>
        <w:pStyle w:val="ListParagraph"/>
        <w:numPr>
          <w:ilvl w:val="0"/>
          <w:numId w:val="2"/>
        </w:numPr>
        <w:spacing w:after="80" w:line="280"/>
      </w:pPr>
      <w:r>
        <w:t xml:space="preserve">Reconocimiento a champions destacados.</w:t>
      </w:r>
    </w:p>
    <w:p>
      <w:pPr>
        <w:spacing w:after="100"/>
      </w:pPr>
      <w:r>
        <w:t xml:space="preserve"/>
      </w:r>
    </w:p>
    <w:p>
      <w:pPr>
        <w:pStyle w:val="Heading2"/>
        <w:spacing w:after="160" w:before="280"/>
      </w:pPr>
      <w:r>
        <w:t xml:space="preserve">13.4 Métricas de adopción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Métrica</w:t>
            </w:r>
          </w:p>
        </w:tc>
        <w:tc>
          <w:tcPr>
            <w:tcW w:type="dxa" w:w="2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Fuente</w:t>
            </w:r>
          </w:p>
        </w:tc>
        <w:tc>
          <w:tcPr>
            <w:tcW w:type="dxa" w:w="33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Meta</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usuarios activos mensuales</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Reports de M365</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&gt;85% a los 60 días</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con MFA registrado</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Entra ID Reports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100% en 30 días</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Sitios de SharePoint activos</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SharePoint Reports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Crecimiento sostenido</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Uso de Teams (mensajes/reuniones)</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Teams Analytics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Curva ascendente los primeros 90 días</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Uso de OneDrive (documentos)</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OneDrive Reports</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&gt;10 GB/usuario promedio</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Tickets abiertos por dudas</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Mesa de ayuda</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Decrecientes tras la ola de capacitación</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Encuesta de satisfacción</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Forms trimestral</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&gt;4/5</w:t>
            </w:r>
          </w:p>
        </w:tc>
      </w:tr>
      <w:tr>
        <w:tc>
          <w:tcPr>
            <w:tcW w:type="dxa" w:w="34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Secure Score</w:t>
            </w:r>
          </w:p>
        </w:tc>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Defender</w:t>
            </w:r>
          </w:p>
        </w:tc>
        <w:tc>
          <w:tcPr>
            <w:tcW w:type="dxa" w:w="33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&gt;70%, meta 85%</w:t>
            </w:r>
          </w:p>
        </w:tc>
      </w:tr>
    </w:tbl>
    <w:p>
      <w:r>
        <w:br w:type="page"/>
      </w:r>
    </w:p>
    <w:p>
      <w:pPr>
        <w:pStyle w:val="Heading1"/>
        <w:spacing w:after="200" w:before="360"/>
      </w:pPr>
      <w:r>
        <w:t xml:space="preserve">14. Apéndice A — Comparativo de planes M365</w:t>
      </w:r>
    </w:p>
    <w:p>
      <w:pPr>
        <w:spacing w:after="120" w:before="0" w:line="300"/>
      </w:pPr>
      <w:r>
        <w:t xml:space="preserve">Comparativo de las características más relevantes para el onboarding entre los planes Enterprise y Business.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Característica</w:t>
            </w:r>
          </w:p>
        </w:tc>
        <w:tc>
          <w:tcPr>
            <w:tcW w:type="dxa" w:w="155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Business Premium</w:t>
            </w:r>
          </w:p>
        </w:tc>
        <w:tc>
          <w:tcPr>
            <w:tcW w:type="dxa" w:w="155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E3</w:t>
            </w:r>
          </w:p>
        </w:tc>
        <w:tc>
          <w:tcPr>
            <w:tcW w:type="dxa" w:w="155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E5</w:t>
            </w:r>
          </w:p>
        </w:tc>
        <w:tc>
          <w:tcPr>
            <w:tcW w:type="dxa" w:w="155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F3</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Apps de escritorio Office</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Web/mobile</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Buzón Exchange</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50 GB</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100 GB</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100 GB</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 GB</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OneDrive</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 TB</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 TB+</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 TB+</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 GB</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Teams</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SharePoint Online</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Entra ID</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P1</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P1</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P2</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P1</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Conditional Access</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PIM (Just-in-Time)</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Identity Protection</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Intune</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 (limitado)</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Defender for Business</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Defender for O365</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P1</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P2</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Defender for Endpoint</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P1</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P2</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Purview eDiscovery</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Std</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Std</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Premium</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Std</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Purview DLP</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Advanced</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Limitado</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Sensibilidad labels</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Auto-labeling</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Insider Risk Mgmt</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Sí</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w:t>
            </w:r>
          </w:p>
        </w:tc>
      </w:tr>
      <w:tr>
        <w:tc>
          <w:tcPr>
            <w:tcW w:type="dxa" w:w="3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Máx. usuarios</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300</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Ilimitado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Ilimitado</w:t>
            </w:r>
          </w:p>
        </w:tc>
        <w:tc>
          <w:tcPr>
            <w:tcW w:type="dxa" w:w="155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Ilimitado</w:t>
            </w:r>
          </w:p>
        </w:tc>
      </w:tr>
    </w:tbl>
    <w:p>
      <w:pPr>
        <w:spacing w:after="100"/>
      </w:pPr>
      <w:r>
        <w:t xml:space="preserve"/>
      </w:r>
    </w:p>
    <w:p>
      <w:pPr>
        <w:spacing w:after="120" w:before="0" w:line="300"/>
      </w:pPr>
      <w:r>
        <w:t xml:space="preserve">* Puede adquirirse como add-on.</w:t>
      </w:r>
    </w:p>
    <w:p>
      <w:r>
        <w:br w:type="page"/>
      </w:r>
    </w:p>
    <w:p>
      <w:pPr>
        <w:pStyle w:val="Heading1"/>
        <w:spacing w:after="200" w:before="360"/>
      </w:pPr>
      <w:r>
        <w:t xml:space="preserve">15. Apéndice B — Matriz de roles administrativos comunes</w:t>
      </w:r>
    </w:p>
    <w:p>
      <w:pPr>
        <w:spacing w:after="120" w:before="0" w:line="300"/>
      </w:pPr>
      <w:r>
        <w:t xml:space="preserve">Los roles más frecuentes en el onboarding, con recomendación de asignación y PIM.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800"/>
        <w:gridCol w:w="1760"/>
      </w:tblGrid>
      <w:tr>
        <w:trPr>
          <w:tblHeader/>
        </w:trPr>
        <w:tc>
          <w:tcPr>
            <w:tcW w:type="dxa" w:w="2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Rol</w:t>
            </w:r>
          </w:p>
        </w:tc>
        <w:tc>
          <w:tcPr>
            <w:tcW w:type="dxa" w:w="3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Uso típico</w:t>
            </w:r>
          </w:p>
        </w:tc>
        <w:tc>
          <w:tcPr>
            <w:tcW w:type="dxa" w:w="18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Cantidad ideal</w:t>
            </w:r>
          </w:p>
        </w:tc>
        <w:tc>
          <w:tcPr>
            <w:tcW w:type="dxa" w:w="17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Modo PIM</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Global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Configuración crítica del tenant</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2-4</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Eligible + Aprobación</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Privileged Role Admin</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 de roles</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1-2</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Eligible + Aprobación</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Global Reader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Auditoría, consultores externos</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Según necesidad</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Eligible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Security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SOC, especialistas de seguridad</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2-3</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Eligible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Security Reader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Analistas SOC junior</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Según equipo</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Active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Compliance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Oficial de cumplimiento</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1-2</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Eligible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Exchange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Especialista de correo</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2-3</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Eligible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SharePoint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Especialista SP/OneDrive</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2-3</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Eligible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Teams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Especialista Teams</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2-3</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Eligible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Intune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Especialista de endpoints</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2-3</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Eligible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User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Mesa de ayuda senior</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5-10</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Active o Eligible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Helpdesk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Mesa de ayuda de primer nivel</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Según equipo</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Active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License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RH / Administración</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2-3</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Active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Authentication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Mesa de ayuda para MFA</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3-5</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Active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Application Administrator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Gestión de apps</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2-3</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Eligible</w:t>
            </w:r>
          </w:p>
        </w:tc>
      </w:tr>
      <w:tr>
        <w:tc>
          <w:tcPr>
            <w:tcW w:type="dxa" w:w="2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Reports Reader</w:t>
            </w:r>
          </w:p>
        </w:tc>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Consulta de reportes</w:t>
            </w:r>
          </w:p>
        </w:tc>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Según necesidad</w:t>
            </w:r>
          </w:p>
        </w:tc>
        <w:tc>
          <w:tcPr>
            <w:tcW w:type="dxa" w:w="17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Active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FF2CC" w:val="clear"/>
            <w:tcMar>
              <w:top w:type="dxa" w:w="160"/>
              <w:left w:type="dxa" w:w="200"/>
              <w:bottom w:type="dxa" w:w="160"/>
              <w:right w:type="dxa" w:w="200"/>
            </w:tcMar>
          </w:tcPr>
          <w:p>
            <w:pPr>
              <w:spacing w:after="80"/>
            </w:pPr>
            <w:r>
              <w:rPr>
                <w:b/>
                <w:bCs/>
                <w:color w:val="1F4E79"/>
                <w:sz w:val="22"/>
                <w:szCs w:val="22"/>
              </w:rPr>
              <w:t xml:space="preserve">Cuentas administrativas separadas</w:t>
            </w:r>
          </w:p>
          <w:p>
            <w:pPr>
              <w:spacing w:after="0" w:before="0" w:line="300"/>
            </w:pPr>
            <w:r>
              <w:t xml:space="preserve">Ningún administrador debe usar su cuenta de trabajo diaria (usada para correo, Teams, etc.) para tareas administrativas. Debe tener una segunda cuenta con prefijo adm- (ej: adm-jperez@contoso.com) que se usa exclusivamente para elevación PIM y tareas administrativas. Esta segunda cuenta NO tiene correo ni licencia de productividad; solo se usa para portales admin.</w:t>
            </w:r>
          </w:p>
        </w:tc>
      </w:tr>
    </w:tbl>
    <w:p>
      <w:r>
        <w:br w:type="page"/>
      </w:r>
    </w:p>
    <w:p>
      <w:pPr>
        <w:pStyle w:val="Heading1"/>
        <w:spacing w:after="200" w:before="360"/>
      </w:pPr>
      <w:r>
        <w:t xml:space="preserve">16. Apéndice C — Baseline de Conditional Access (10 políticas)</w:t>
      </w:r>
    </w:p>
    <w:p>
      <w:pPr>
        <w:spacing w:after="120" w:before="0" w:line="300"/>
      </w:pPr>
      <w:r>
        <w:t xml:space="preserve">Este es el conjunto base recomendado. Cada política debe primero desplegarse en modo Report-only, validarse, y luego habilitarse.</w:t>
      </w:r>
    </w:p>
    <w:p>
      <w:pPr>
        <w:spacing w:after="100"/>
      </w:pPr>
      <w:r>
        <w:t xml:space="preserve"/>
      </w:r>
    </w:p>
    <w:p>
      <w:pPr>
        <w:pStyle w:val="Heading3"/>
        <w:spacing w:after="120" w:before="220"/>
      </w:pPr>
      <w:r>
        <w:t xml:space="preserve">CA-01: MFA obligatoria para administradores</w:t>
      </w:r>
    </w:p>
    <w:p>
      <w:pPr>
        <w:pStyle w:val="ListParagraph"/>
        <w:numPr>
          <w:ilvl w:val="0"/>
          <w:numId w:val="2"/>
        </w:numPr>
        <w:spacing w:after="80" w:line="280"/>
      </w:pPr>
      <w:r>
        <w:t xml:space="preserve">Aplica a: usuarios con roles administrativos (14 roles built-in de Microsoft).</w:t>
      </w:r>
    </w:p>
    <w:p>
      <w:pPr>
        <w:pStyle w:val="ListParagraph"/>
        <w:numPr>
          <w:ilvl w:val="0"/>
          <w:numId w:val="2"/>
        </w:numPr>
        <w:spacing w:after="80" w:line="280"/>
      </w:pPr>
      <w:r>
        <w:t xml:space="preserve">Condición: cualquier acceso a apps cloud.</w:t>
      </w:r>
    </w:p>
    <w:p>
      <w:pPr>
        <w:pStyle w:val="ListParagraph"/>
        <w:numPr>
          <w:ilvl w:val="0"/>
          <w:numId w:val="2"/>
        </w:numPr>
        <w:spacing w:after="80" w:line="280"/>
      </w:pPr>
      <w:r>
        <w:t xml:space="preserve">Control: requerir MFA + phishing-resistant MFA (FIDO2 preferido).</w:t>
      </w:r>
    </w:p>
    <w:p>
      <w:pPr>
        <w:pStyle w:val="ListParagraph"/>
        <w:numPr>
          <w:ilvl w:val="0"/>
          <w:numId w:val="2"/>
        </w:numPr>
        <w:spacing w:after="80" w:line="280"/>
      </w:pPr>
      <w:r>
        <w:t xml:space="preserve">Exclusiones: cuentas break-glass.</w:t>
      </w:r>
    </w:p>
    <w:p>
      <w:pPr>
        <w:spacing w:after="100"/>
      </w:pPr>
      <w:r>
        <w:t xml:space="preserve"/>
      </w:r>
    </w:p>
    <w:p>
      <w:pPr>
        <w:pStyle w:val="Heading3"/>
        <w:spacing w:after="120" w:before="220"/>
      </w:pPr>
      <w:r>
        <w:t xml:space="preserve">CA-02: MFA obligatoria para todos los usuarios</w:t>
      </w:r>
    </w:p>
    <w:p>
      <w:pPr>
        <w:pStyle w:val="ListParagraph"/>
        <w:numPr>
          <w:ilvl w:val="0"/>
          <w:numId w:val="2"/>
        </w:numPr>
        <w:spacing w:after="80" w:line="280"/>
      </w:pPr>
      <w:r>
        <w:t xml:space="preserve">Aplica a: todos los usuarios.</w:t>
      </w:r>
    </w:p>
    <w:p>
      <w:pPr>
        <w:pStyle w:val="ListParagraph"/>
        <w:numPr>
          <w:ilvl w:val="0"/>
          <w:numId w:val="2"/>
        </w:numPr>
        <w:spacing w:after="80" w:line="280"/>
      </w:pPr>
      <w:r>
        <w:t xml:space="preserve">Condición: cualquier app cloud.</w:t>
      </w:r>
    </w:p>
    <w:p>
      <w:pPr>
        <w:pStyle w:val="ListParagraph"/>
        <w:numPr>
          <w:ilvl w:val="0"/>
          <w:numId w:val="2"/>
        </w:numPr>
        <w:spacing w:after="80" w:line="280"/>
      </w:pPr>
      <w:r>
        <w:t xml:space="preserve">Control: requerir MFA.</w:t>
      </w:r>
    </w:p>
    <w:p>
      <w:pPr>
        <w:pStyle w:val="ListParagraph"/>
        <w:numPr>
          <w:ilvl w:val="0"/>
          <w:numId w:val="2"/>
        </w:numPr>
        <w:spacing w:after="80" w:line="280"/>
      </w:pPr>
      <w:r>
        <w:t xml:space="preserve">Exclusiones: cuentas break-glass, cuentas de servicio (que usan certificados o managed identities).</w:t>
      </w:r>
    </w:p>
    <w:p>
      <w:pPr>
        <w:spacing w:after="100"/>
      </w:pPr>
      <w:r>
        <w:t xml:space="preserve"/>
      </w:r>
    </w:p>
    <w:p>
      <w:pPr>
        <w:pStyle w:val="Heading3"/>
        <w:spacing w:after="120" w:before="220"/>
      </w:pPr>
      <w:r>
        <w:t xml:space="preserve">CA-03: Bloqueo de autenticación heredada</w:t>
      </w:r>
    </w:p>
    <w:p>
      <w:pPr>
        <w:pStyle w:val="ListParagraph"/>
        <w:numPr>
          <w:ilvl w:val="0"/>
          <w:numId w:val="2"/>
        </w:numPr>
        <w:spacing w:after="80" w:line="280"/>
      </w:pPr>
      <w:r>
        <w:t xml:space="preserve">Aplica a: todos los usuarios.</w:t>
      </w:r>
    </w:p>
    <w:p>
      <w:pPr>
        <w:pStyle w:val="ListParagraph"/>
        <w:numPr>
          <w:ilvl w:val="0"/>
          <w:numId w:val="2"/>
        </w:numPr>
        <w:spacing w:after="80" w:line="280"/>
      </w:pPr>
      <w:r>
        <w:t xml:space="preserve">Condición: client apps = legacy authentication clients (EAS, IMAP, POP, SMTP AUTH, otros).</w:t>
      </w:r>
    </w:p>
    <w:p>
      <w:pPr>
        <w:pStyle w:val="ListParagraph"/>
        <w:numPr>
          <w:ilvl w:val="0"/>
          <w:numId w:val="2"/>
        </w:numPr>
        <w:spacing w:after="80" w:line="280"/>
      </w:pPr>
      <w:r>
        <w:t xml:space="preserve">Control: bloquear acceso.</w:t>
      </w:r>
    </w:p>
    <w:p>
      <w:pPr>
        <w:pStyle w:val="ListParagraph"/>
        <w:numPr>
          <w:ilvl w:val="0"/>
          <w:numId w:val="2"/>
        </w:numPr>
        <w:spacing w:after="80" w:line="280"/>
      </w:pPr>
      <w:r>
        <w:t xml:space="preserve">Exclusiones: revisar y documentar cualquier sistema legado que lo requiera antes de excluirlo.</w:t>
      </w:r>
    </w:p>
    <w:p>
      <w:pPr>
        <w:spacing w:after="100"/>
      </w:pPr>
      <w:r>
        <w:t xml:space="preserve"/>
      </w:r>
    </w:p>
    <w:p>
      <w:pPr>
        <w:pStyle w:val="Heading3"/>
        <w:spacing w:after="120" w:before="220"/>
      </w:pPr>
      <w:r>
        <w:t xml:space="preserve">CA-04: Dispositivo cumpliente o Hybrid Joined</w:t>
      </w:r>
    </w:p>
    <w:p>
      <w:pPr>
        <w:pStyle w:val="ListParagraph"/>
        <w:numPr>
          <w:ilvl w:val="0"/>
          <w:numId w:val="2"/>
        </w:numPr>
        <w:spacing w:after="80" w:line="280"/>
      </w:pPr>
      <w:r>
        <w:t xml:space="preserve">Aplica a: todos los usuarios (o inicialmente solo administradores).</w:t>
      </w:r>
    </w:p>
    <w:p>
      <w:pPr>
        <w:pStyle w:val="ListParagraph"/>
        <w:numPr>
          <w:ilvl w:val="0"/>
          <w:numId w:val="2"/>
        </w:numPr>
        <w:spacing w:after="80" w:line="280"/>
      </w:pPr>
      <w:r>
        <w:t xml:space="preserve">Condición: acceso a apps críticas (Exchange, SharePoint, Teams).</w:t>
      </w:r>
    </w:p>
    <w:p>
      <w:pPr>
        <w:pStyle w:val="ListParagraph"/>
        <w:numPr>
          <w:ilvl w:val="0"/>
          <w:numId w:val="2"/>
        </w:numPr>
        <w:spacing w:after="80" w:line="280"/>
      </w:pPr>
      <w:r>
        <w:t xml:space="preserve">Control: requerir dispositivo compliant en Intune o Hybrid Azure AD Joined.</w:t>
      </w:r>
    </w:p>
    <w:p>
      <w:pPr>
        <w:pStyle w:val="ListParagraph"/>
        <w:numPr>
          <w:ilvl w:val="0"/>
          <w:numId w:val="2"/>
        </w:numPr>
        <w:spacing w:after="80" w:line="280"/>
      </w:pPr>
      <w:r>
        <w:t xml:space="preserve">Requisito previo: tener Intune configurado con políticas de compliance.</w:t>
      </w:r>
    </w:p>
    <w:p>
      <w:pPr>
        <w:spacing w:after="100"/>
      </w:pPr>
      <w:r>
        <w:t xml:space="preserve"/>
      </w:r>
    </w:p>
    <w:p>
      <w:pPr>
        <w:pStyle w:val="Heading3"/>
        <w:spacing w:after="120" w:before="220"/>
      </w:pPr>
      <w:r>
        <w:t xml:space="preserve">CA-05: App Protection Policy (MAM) en móviles no gestionados</w:t>
      </w:r>
    </w:p>
    <w:p>
      <w:pPr>
        <w:pStyle w:val="ListParagraph"/>
        <w:numPr>
          <w:ilvl w:val="0"/>
          <w:numId w:val="2"/>
        </w:numPr>
        <w:spacing w:after="80" w:line="280"/>
      </w:pPr>
      <w:r>
        <w:t xml:space="preserve">Aplica a: todos los usuarios.</w:t>
      </w:r>
    </w:p>
    <w:p>
      <w:pPr>
        <w:pStyle w:val="ListParagraph"/>
        <w:numPr>
          <w:ilvl w:val="0"/>
          <w:numId w:val="2"/>
        </w:numPr>
        <w:spacing w:after="80" w:line="280"/>
      </w:pPr>
      <w:r>
        <w:t xml:space="preserve">Condición: platforms = iOS + Android; client apps = mobile apps.</w:t>
      </w:r>
    </w:p>
    <w:p>
      <w:pPr>
        <w:pStyle w:val="ListParagraph"/>
        <w:numPr>
          <w:ilvl w:val="0"/>
          <w:numId w:val="2"/>
        </w:numPr>
        <w:spacing w:after="80" w:line="280"/>
      </w:pPr>
      <w:r>
        <w:t xml:space="preserve">Control: requerir approved client app + app protection policy.</w:t>
      </w:r>
    </w:p>
    <w:p>
      <w:pPr>
        <w:spacing w:after="100"/>
      </w:pPr>
      <w:r>
        <w:t xml:space="preserve"/>
      </w:r>
    </w:p>
    <w:p>
      <w:pPr>
        <w:pStyle w:val="Heading3"/>
        <w:spacing w:after="120" w:before="220"/>
      </w:pPr>
      <w:r>
        <w:t xml:space="preserve">CA-06: Bloqueo por ubicación geográfica</w:t>
      </w:r>
    </w:p>
    <w:p>
      <w:pPr>
        <w:pStyle w:val="ListParagraph"/>
        <w:numPr>
          <w:ilvl w:val="0"/>
          <w:numId w:val="2"/>
        </w:numPr>
        <w:spacing w:after="80" w:line="280"/>
      </w:pPr>
      <w:r>
        <w:t xml:space="preserve">Aplica a: todos los usuarios.</w:t>
      </w:r>
    </w:p>
    <w:p>
      <w:pPr>
        <w:pStyle w:val="ListParagraph"/>
        <w:numPr>
          <w:ilvl w:val="0"/>
          <w:numId w:val="2"/>
        </w:numPr>
        <w:spacing w:after="80" w:line="280"/>
      </w:pPr>
      <w:r>
        <w:t xml:space="preserve">Condición: locations = países no permitidos (definir lista según operación).</w:t>
      </w:r>
    </w:p>
    <w:p>
      <w:pPr>
        <w:pStyle w:val="ListParagraph"/>
        <w:numPr>
          <w:ilvl w:val="0"/>
          <w:numId w:val="2"/>
        </w:numPr>
        <w:spacing w:after="80" w:line="280"/>
      </w:pPr>
      <w:r>
        <w:t xml:space="preserve">Control: bloquear acceso.</w:t>
      </w:r>
    </w:p>
    <w:p>
      <w:pPr>
        <w:pStyle w:val="ListParagraph"/>
        <w:numPr>
          <w:ilvl w:val="0"/>
          <w:numId w:val="2"/>
        </w:numPr>
        <w:spacing w:after="80" w:line="280"/>
      </w:pPr>
      <w:r>
        <w:t xml:space="preserve">Consideraciones: viajes, VPNs corporativas, empleados internacionales.</w:t>
      </w:r>
    </w:p>
    <w:p>
      <w:pPr>
        <w:spacing w:after="100"/>
      </w:pPr>
      <w:r>
        <w:t xml:space="preserve"/>
      </w:r>
    </w:p>
    <w:p>
      <w:pPr>
        <w:pStyle w:val="Heading3"/>
        <w:spacing w:after="120" w:before="220"/>
      </w:pPr>
      <w:r>
        <w:t xml:space="preserve">CA-07: Sign-in frequency para sesiones sensibles</w:t>
      </w:r>
    </w:p>
    <w:p>
      <w:pPr>
        <w:pStyle w:val="ListParagraph"/>
        <w:numPr>
          <w:ilvl w:val="0"/>
          <w:numId w:val="2"/>
        </w:numPr>
        <w:spacing w:after="80" w:line="280"/>
      </w:pPr>
      <w:r>
        <w:t xml:space="preserve">Aplica a: administradores y accesos a apps críticas.</w:t>
      </w:r>
    </w:p>
    <w:p>
      <w:pPr>
        <w:pStyle w:val="ListParagraph"/>
        <w:numPr>
          <w:ilvl w:val="0"/>
          <w:numId w:val="2"/>
        </w:numPr>
        <w:spacing w:after="80" w:line="280"/>
      </w:pPr>
      <w:r>
        <w:t xml:space="preserve">Control: forzar re-autenticación cada 4-8 horas.</w:t>
      </w:r>
    </w:p>
    <w:p>
      <w:pPr>
        <w:spacing w:after="100"/>
      </w:pPr>
      <w:r>
        <w:t xml:space="preserve"/>
      </w:r>
    </w:p>
    <w:p>
      <w:pPr>
        <w:pStyle w:val="Heading3"/>
        <w:spacing w:after="120" w:before="220"/>
      </w:pPr>
      <w:r>
        <w:t xml:space="preserve">CA-08: Bloqueo de Device Code Flow</w:t>
      </w:r>
    </w:p>
    <w:p>
      <w:pPr>
        <w:pStyle w:val="ListParagraph"/>
        <w:numPr>
          <w:ilvl w:val="0"/>
          <w:numId w:val="2"/>
        </w:numPr>
        <w:spacing w:after="80" w:line="280"/>
      </w:pPr>
      <w:r>
        <w:t xml:space="preserve">Aplica a: todos los usuarios.</w:t>
      </w:r>
    </w:p>
    <w:p>
      <w:pPr>
        <w:pStyle w:val="ListParagraph"/>
        <w:numPr>
          <w:ilvl w:val="0"/>
          <w:numId w:val="2"/>
        </w:numPr>
        <w:spacing w:after="80" w:line="280"/>
      </w:pPr>
      <w:r>
        <w:t xml:space="preserve">Condición: authentication flows = device code flow.</w:t>
      </w:r>
    </w:p>
    <w:p>
      <w:pPr>
        <w:pStyle w:val="ListParagraph"/>
        <w:numPr>
          <w:ilvl w:val="0"/>
          <w:numId w:val="2"/>
        </w:numPr>
        <w:spacing w:after="80" w:line="280"/>
      </w:pPr>
      <w:r>
        <w:t xml:space="preserve">Control: bloquear (salvo excepciones documentadas para dispositivos IoT o headless).</w:t>
      </w:r>
    </w:p>
    <w:p>
      <w:pPr>
        <w:spacing w:after="100"/>
      </w:pPr>
      <w:r>
        <w:t xml:space="preserve"/>
      </w:r>
    </w:p>
    <w:p>
      <w:pPr>
        <w:pStyle w:val="Heading3"/>
        <w:spacing w:after="120" w:before="220"/>
      </w:pPr>
      <w:r>
        <w:t xml:space="preserve">CA-09: MFA + restricciones para invitados</w:t>
      </w:r>
    </w:p>
    <w:p>
      <w:pPr>
        <w:pStyle w:val="ListParagraph"/>
        <w:numPr>
          <w:ilvl w:val="0"/>
          <w:numId w:val="2"/>
        </w:numPr>
        <w:spacing w:after="80" w:line="280"/>
      </w:pPr>
      <w:r>
        <w:t xml:space="preserve">Aplica a: All guest and external users.</w:t>
      </w:r>
    </w:p>
    <w:p>
      <w:pPr>
        <w:pStyle w:val="ListParagraph"/>
        <w:numPr>
          <w:ilvl w:val="0"/>
          <w:numId w:val="2"/>
        </w:numPr>
        <w:spacing w:after="80" w:line="280"/>
      </w:pPr>
      <w:r>
        <w:t xml:space="preserve">Control: requerir MFA + revisiones de acceso trimestrales.</w:t>
      </w:r>
    </w:p>
    <w:p>
      <w:pPr>
        <w:pStyle w:val="ListParagraph"/>
        <w:numPr>
          <w:ilvl w:val="0"/>
          <w:numId w:val="2"/>
        </w:numPr>
        <w:spacing w:after="80" w:line="280"/>
      </w:pPr>
      <w:r>
        <w:t xml:space="preserve">Configurar expiración por defecto en invitaciones (90 días).</w:t>
      </w:r>
    </w:p>
    <w:p>
      <w:pPr>
        <w:spacing w:after="100"/>
      </w:pPr>
      <w:r>
        <w:t xml:space="preserve"/>
      </w:r>
    </w:p>
    <w:p>
      <w:pPr>
        <w:pStyle w:val="Heading3"/>
        <w:spacing w:after="120" w:before="220"/>
      </w:pPr>
      <w:r>
        <w:t xml:space="preserve">CA-10: Bloqueo de portales admin desde dispositivos no confiables</w:t>
      </w:r>
    </w:p>
    <w:p>
      <w:pPr>
        <w:pStyle w:val="ListParagraph"/>
        <w:numPr>
          <w:ilvl w:val="0"/>
          <w:numId w:val="2"/>
        </w:numPr>
        <w:spacing w:after="80" w:line="280"/>
      </w:pPr>
      <w:r>
        <w:t xml:space="preserve">Aplica a: usuarios con roles administrativos.</w:t>
      </w:r>
    </w:p>
    <w:p>
      <w:pPr>
        <w:pStyle w:val="ListParagraph"/>
        <w:numPr>
          <w:ilvl w:val="0"/>
          <w:numId w:val="2"/>
        </w:numPr>
        <w:spacing w:after="80" w:line="280"/>
      </w:pPr>
      <w:r>
        <w:t xml:space="preserve">Condición: acceso a Microsoft Admin Portals.</w:t>
      </w:r>
    </w:p>
    <w:p>
      <w:pPr>
        <w:pStyle w:val="ListParagraph"/>
        <w:numPr>
          <w:ilvl w:val="0"/>
          <w:numId w:val="2"/>
        </w:numPr>
        <w:spacing w:after="80" w:line="280"/>
      </w:pPr>
      <w:r>
        <w:t xml:space="preserve">Control: requerir Compliant device O Hybrid Joined + MFA.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Cuentas de servicio y Conditional Access</w:t>
            </w:r>
          </w:p>
          <w:p>
            <w:pPr>
              <w:spacing w:after="0" w:before="0" w:line="300"/>
            </w:pPr>
            <w:r>
              <w:t xml:space="preserve">Las cuentas de servicio (aplicaciones, integraciones, scripts) tradicionalmente no pueden hacer MFA. La solución correcta es migrarlas a Managed Identities o Service Principals con Certificate Authentication. Si esto no es posible en el corto plazo, crear un grupo específico para cuentas de servicio, excluirlo de las políticas de MFA, y aplicar Conditional Access for Workload Identities (feature de E5).</w:t>
            </w:r>
          </w:p>
        </w:tc>
      </w:tr>
    </w:tbl>
    <w:p>
      <w:r>
        <w:br w:type="page"/>
      </w:r>
    </w:p>
    <w:p>
      <w:pPr>
        <w:pStyle w:val="Heading1"/>
        <w:spacing w:after="200" w:before="360"/>
      </w:pPr>
      <w:r>
        <w:t xml:space="preserve">17. Apéndice D — Checklist de onboarding</w:t>
      </w:r>
    </w:p>
    <w:p>
      <w:pPr>
        <w:pStyle w:val="Heading2"/>
        <w:spacing w:after="160" w:before="280"/>
      </w:pPr>
      <w:r>
        <w:t xml:space="preserve">Fase 1 — Preparación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Patrocinador ejecutivo identificado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Equipo técnico asignado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Número final de usuarios confirmado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Licencias adquiridas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Dominios a agregar identificados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Modelo de identidad decidido (cloud, hybrid)</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Nombre del tenant onmicrosoft aprobado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2 — Configuración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Datos de organización configurados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Notificaciones de admin configuradas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Auditoría unificada habilitada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Servicios innecesarios deshabilitados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Consent de apps de terceros deshabilitado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3 — Identidad y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Dominios agregados y verificados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Entra Connect/Cloud Sync configurado (si aplica)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Usuarios creados con nomenclatura estándar</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Licencias asignadas por grupos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SSPR habilitado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Password Protection habilitada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Procesos Joiner/Mover/Leaver documentados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4 —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Cuentas break-glass creadas y custodiadas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Alertas de sign-in break-glass configuradas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Global Admins reducidos a &lt; 5</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Cuentas administrativas separadas (adm-*) creadas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PIM configurado con duraciones adecuadas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Access Reviews trimestrales programados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5 —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MFA registrada por 100% de usuarios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10 políticas de CA en Report-only</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10 políticas de CA en producción</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Legacy auth bloqueada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Identity Protection habilitada (E5)</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Named Locations configuradas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Break-glass verificado tras cada política CA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6 —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Exchange Online configurado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SharePoint / OneDrive configurados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Teams configurado con políticas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Intune configurado con políticas de compliance</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7 —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Políticas DLP iniciales publicadas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Etiquetas de sensibilidad publicadas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Políticas de retención publicadas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eDiscovery configurado con roles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8 — Defender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Defender for O365 Standard/Strict aplicado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Safe Links / Safe Attachments habilitados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Defender for Endpoint desplegado en flota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Attack Simulator primera campaña ejecutada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9 — Gobierno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Secure Score baseline registrado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Access Reviews en ejecución</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Alertas de auditoría configuradas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Documentación viva del tenant creada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10 — Adopción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Champions identificados por área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Capacitación básica ejecutada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Materiales publicados en SharePoint</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Métricas de adopción monitoreadas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Encuesta de satisfacción a 30/60/90 días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r>
        <w:br w:type="page"/>
      </w:r>
    </w:p>
    <w:p>
      <w:pPr>
        <w:pStyle w:val="Heading1"/>
        <w:spacing w:after="200" w:before="360"/>
      </w:pPr>
      <w:r>
        <w:t xml:space="preserve">18. Apéndice E — Nomenclatura estándar</w:t>
      </w:r>
    </w:p>
    <w:p>
      <w:pPr>
        <w:spacing w:after="120" w:before="0" w:line="300"/>
      </w:pPr>
      <w:r>
        <w:t xml:space="preserve">La consistencia de nombres facilita la administración, la auditoría y la comprensión del entorno. Se sugiere adoptar estas convenciones desde el día uno.</w:t>
      </w:r>
    </w:p>
    <w:p>
      <w:pPr>
        <w:spacing w:after="100"/>
      </w:pPr>
      <w:r>
        <w:t xml:space="preserve"/>
      </w:r>
    </w:p>
    <w:p>
      <w:pPr>
        <w:pStyle w:val="Heading2"/>
        <w:spacing w:after="160" w:before="280"/>
      </w:pPr>
      <w:r>
        <w:t xml:space="preserve">E.1 Cuentas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Formato UPN:            nombre.apellido@dominio.com</w:t>
            </w:r>
          </w:p>
          <w:p>
            <w:pPr>
              <w:spacing w:after="40" w:line="260"/>
            </w:pPr>
            <w:r>
              <w:rPr>
                <w:rFonts w:ascii="Consolas" w:cs="Consolas" w:eastAsia="Consolas" w:hAnsi="Consolas"/>
                <w:color w:val="262626"/>
                <w:sz w:val="20"/>
                <w:szCs w:val="20"/>
              </w:rPr>
              <w:t xml:space="preserve">Cuenta administrativa:  adm-usuario@dominio.com</w:t>
            </w:r>
          </w:p>
          <w:p>
            <w:pPr>
              <w:spacing w:after="40" w:line="260"/>
            </w:pPr>
            <w:r>
              <w:rPr>
                <w:rFonts w:ascii="Consolas" w:cs="Consolas" w:eastAsia="Consolas" w:hAnsi="Consolas"/>
                <w:color w:val="262626"/>
                <w:sz w:val="20"/>
                <w:szCs w:val="20"/>
              </w:rPr>
              <w:t xml:space="preserve">Cuenta de servicio:     svc-nombreservicio@dominio.com</w:t>
            </w:r>
          </w:p>
          <w:p>
            <w:pPr>
              <w:spacing w:after="40" w:line="260"/>
            </w:pPr>
            <w:r>
              <w:rPr>
                <w:rFonts w:ascii="Consolas" w:cs="Consolas" w:eastAsia="Consolas" w:hAnsi="Consolas"/>
                <w:color w:val="262626"/>
                <w:sz w:val="20"/>
                <w:szCs w:val="20"/>
              </w:rPr>
              <w:t xml:space="preserve">Break-glass:            breakglass01@tenant.onmicrosoft.com</w:t>
            </w:r>
          </w:p>
          <w:p>
            <w:pPr>
              <w:spacing w:after="40" w:line="260"/>
            </w:pPr>
            <w:r>
              <w:rPr>
                <w:rFonts w:ascii="Consolas" w:cs="Consolas" w:eastAsia="Consolas" w:hAnsi="Consolas"/>
                <w:color w:val="262626"/>
                <w:sz w:val="20"/>
                <w:szCs w:val="20"/>
              </w:rPr>
              <w:t xml:space="preserve">                        breakglass02@tenant.onmicrosoft.com</w:t>
            </w:r>
          </w:p>
          <w:p>
            <w:pPr>
              <w:spacing w:after="40" w:line="260"/>
            </w:pPr>
            <w:r>
              <w:rPr>
                <w:rFonts w:ascii="Consolas" w:cs="Consolas" w:eastAsia="Consolas" w:hAnsi="Consolas"/>
                <w:color w:val="262626"/>
                <w:sz w:val="20"/>
                <w:szCs w:val="20"/>
              </w:rPr>
              <w:t xml:space="preserve">Buzón compartido:       equipo.area@dominio.com</w:t>
            </w:r>
          </w:p>
          <w:p>
            <w:pPr>
              <w:spacing w:after="40" w:line="260"/>
            </w:pPr>
            <w:r>
              <w:rPr>
                <w:rFonts w:ascii="Consolas" w:cs="Consolas" w:eastAsia="Consolas" w:hAnsi="Consolas"/>
                <w:color w:val="262626"/>
                <w:sz w:val="20"/>
                <w:szCs w:val="20"/>
              </w:rPr>
              <w:t xml:space="preserve">Sala / recurso:         sala.piso.numero@dominio.com</w:t>
            </w:r>
          </w:p>
        </w:tc>
      </w:tr>
    </w:tbl>
    <w:p>
      <w:pPr>
        <w:spacing w:after="100"/>
      </w:pPr>
      <w:r>
        <w:t xml:space="preserve"/>
      </w:r>
    </w:p>
    <w:p>
      <w:pPr>
        <w:pStyle w:val="Heading2"/>
        <w:spacing w:after="160" w:before="280"/>
      </w:pPr>
      <w:r>
        <w:t xml:space="preserve">E.2 Grupos de seguridad y M365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SEC-&lt;Función&gt;            Grupo de seguridad de propósito específico</w:t>
            </w:r>
          </w:p>
          <w:p>
            <w:pPr>
              <w:spacing w:after="40" w:line="260"/>
            </w:pPr>
            <w:r>
              <w:rPr>
                <w:rFonts w:ascii="Consolas" w:cs="Consolas" w:eastAsia="Consolas" w:hAnsi="Consolas"/>
                <w:color w:val="262626"/>
                <w:sz w:val="20"/>
                <w:szCs w:val="20"/>
              </w:rPr>
              <w:t xml:space="preserve">  SEC-VPN-Access</w:t>
            </w:r>
          </w:p>
          <w:p>
            <w:pPr>
              <w:spacing w:after="40" w:line="260"/>
            </w:pPr>
            <w:r>
              <w:rPr>
                <w:rFonts w:ascii="Consolas" w:cs="Consolas" w:eastAsia="Consolas" w:hAnsi="Consolas"/>
                <w:color w:val="262626"/>
                <w:sz w:val="20"/>
                <w:szCs w:val="20"/>
              </w:rPr>
              <w:t xml:space="preserve">  SEC-Wifi-Corporate</w:t>
            </w:r>
          </w:p>
          <w:p>
            <w:pPr>
              <w:spacing w:after="40" w:line="260"/>
            </w:pPr>
            <w:r>
              <w:rPr>
                <w:rFonts w:ascii="Consolas" w:cs="Consolas" w:eastAsia="Consolas" w:hAnsi="Consolas"/>
                <w:color w:val="262626"/>
                <w:sz w:val="20"/>
                <w:szCs w:val="20"/>
              </w:rPr>
              <w:t xml:space="preserve">  SEC-CA-Excluded-BreakGlass</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M365-&lt;Departamento&gt;      Grupo M365 con Teams asociado</w:t>
            </w:r>
          </w:p>
          <w:p>
            <w:pPr>
              <w:spacing w:after="40" w:line="260"/>
            </w:pPr>
            <w:r>
              <w:rPr>
                <w:rFonts w:ascii="Consolas" w:cs="Consolas" w:eastAsia="Consolas" w:hAnsi="Consolas"/>
                <w:color w:val="262626"/>
                <w:sz w:val="20"/>
                <w:szCs w:val="20"/>
              </w:rPr>
              <w:t xml:space="preserve">  M365-Finanzas</w:t>
            </w:r>
          </w:p>
          <w:p>
            <w:pPr>
              <w:spacing w:after="40" w:line="260"/>
            </w:pPr>
            <w:r>
              <w:rPr>
                <w:rFonts w:ascii="Consolas" w:cs="Consolas" w:eastAsia="Consolas" w:hAnsi="Consolas"/>
                <w:color w:val="262626"/>
                <w:sz w:val="20"/>
                <w:szCs w:val="20"/>
              </w:rPr>
              <w:t xml:space="preserve">  M365-Ventas-LATAM</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SP-&lt;Sitio&gt;-&lt;Rol&gt;         Grupos de acceso a SharePoint</w:t>
            </w:r>
          </w:p>
          <w:p>
            <w:pPr>
              <w:spacing w:after="40" w:line="260"/>
            </w:pPr>
            <w:r>
              <w:rPr>
                <w:rFonts w:ascii="Consolas" w:cs="Consolas" w:eastAsia="Consolas" w:hAnsi="Consolas"/>
                <w:color w:val="262626"/>
                <w:sz w:val="20"/>
                <w:szCs w:val="20"/>
              </w:rPr>
              <w:t xml:space="preserve">  SP-RH-Owners</w:t>
            </w:r>
          </w:p>
          <w:p>
            <w:pPr>
              <w:spacing w:after="40" w:line="260"/>
            </w:pPr>
            <w:r>
              <w:rPr>
                <w:rFonts w:ascii="Consolas" w:cs="Consolas" w:eastAsia="Consolas" w:hAnsi="Consolas"/>
                <w:color w:val="262626"/>
                <w:sz w:val="20"/>
                <w:szCs w:val="20"/>
              </w:rPr>
              <w:t xml:space="preserve">  SP-RH-Members</w:t>
            </w:r>
          </w:p>
          <w:p>
            <w:pPr>
              <w:spacing w:after="40" w:line="260"/>
            </w:pPr>
            <w:r>
              <w:rPr>
                <w:rFonts w:ascii="Consolas" w:cs="Consolas" w:eastAsia="Consolas" w:hAnsi="Consolas"/>
                <w:color w:val="262626"/>
                <w:sz w:val="20"/>
                <w:szCs w:val="20"/>
              </w:rPr>
              <w:t xml:space="preserve">  SP-RH-Visitors</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LIC-&lt;Plan&gt;               Grupos para asignación de licencias</w:t>
            </w:r>
          </w:p>
          <w:p>
            <w:pPr>
              <w:spacing w:after="40" w:line="260"/>
            </w:pPr>
            <w:r>
              <w:rPr>
                <w:rFonts w:ascii="Consolas" w:cs="Consolas" w:eastAsia="Consolas" w:hAnsi="Consolas"/>
                <w:color w:val="262626"/>
                <w:sz w:val="20"/>
                <w:szCs w:val="20"/>
              </w:rPr>
              <w:t xml:space="preserve">  LIC-M365-E3</w:t>
            </w:r>
          </w:p>
          <w:p>
            <w:pPr>
              <w:spacing w:after="40" w:line="260"/>
            </w:pPr>
            <w:r>
              <w:rPr>
                <w:rFonts w:ascii="Consolas" w:cs="Consolas" w:eastAsia="Consolas" w:hAnsi="Consolas"/>
                <w:color w:val="262626"/>
                <w:sz w:val="20"/>
                <w:szCs w:val="20"/>
              </w:rPr>
              <w:t xml:space="preserve">  LIC-M365-E5</w:t>
            </w:r>
          </w:p>
          <w:p>
            <w:pPr>
              <w:spacing w:after="40" w:line="260"/>
            </w:pPr>
            <w:r>
              <w:rPr>
                <w:rFonts w:ascii="Consolas" w:cs="Consolas" w:eastAsia="Consolas" w:hAnsi="Consolas"/>
                <w:color w:val="262626"/>
                <w:sz w:val="20"/>
                <w:szCs w:val="20"/>
              </w:rPr>
              <w:t xml:space="preserve">  LIC-Teams-Premium</w:t>
            </w:r>
          </w:p>
        </w:tc>
      </w:tr>
    </w:tbl>
    <w:p>
      <w:pPr>
        <w:spacing w:after="100"/>
      </w:pPr>
      <w:r>
        <w:t xml:space="preserve"/>
      </w:r>
    </w:p>
    <w:p>
      <w:pPr>
        <w:pStyle w:val="Heading2"/>
        <w:spacing w:after="160" w:before="280"/>
      </w:pPr>
      <w:r>
        <w:t xml:space="preserve">E.3 Sitios de SharePoint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URL del sitio:  https://&lt;tenant&gt;.sharepoint.com/sites/&lt;area&gt;</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Ejemplos:</w:t>
            </w:r>
          </w:p>
          <w:p>
            <w:pPr>
              <w:spacing w:after="40" w:line="260"/>
            </w:pPr>
            <w:r>
              <w:rPr>
                <w:rFonts w:ascii="Consolas" w:cs="Consolas" w:eastAsia="Consolas" w:hAnsi="Consolas"/>
                <w:color w:val="262626"/>
                <w:sz w:val="20"/>
                <w:szCs w:val="20"/>
              </w:rPr>
              <w:t xml:space="preserve">  /sites/RH</w:t>
            </w:r>
          </w:p>
          <w:p>
            <w:pPr>
              <w:spacing w:after="40" w:line="260"/>
            </w:pPr>
            <w:r>
              <w:rPr>
                <w:rFonts w:ascii="Consolas" w:cs="Consolas" w:eastAsia="Consolas" w:hAnsi="Consolas"/>
                <w:color w:val="262626"/>
                <w:sz w:val="20"/>
                <w:szCs w:val="20"/>
              </w:rPr>
              <w:t xml:space="preserve">  /sites/Finanzas</w:t>
            </w:r>
          </w:p>
          <w:p>
            <w:pPr>
              <w:spacing w:after="40" w:line="260"/>
            </w:pPr>
            <w:r>
              <w:rPr>
                <w:rFonts w:ascii="Consolas" w:cs="Consolas" w:eastAsia="Consolas" w:hAnsi="Consolas"/>
                <w:color w:val="262626"/>
                <w:sz w:val="20"/>
                <w:szCs w:val="20"/>
              </w:rPr>
              <w:t xml:space="preserve">  /sites/Proyecto-M365</w:t>
            </w:r>
          </w:p>
          <w:p>
            <w:pPr>
              <w:spacing w:after="40" w:line="260"/>
            </w:pPr>
            <w:r>
              <w:rPr>
                <w:rFonts w:ascii="Consolas" w:cs="Consolas" w:eastAsia="Consolas" w:hAnsi="Consolas"/>
                <w:color w:val="262626"/>
                <w:sz w:val="20"/>
                <w:szCs w:val="20"/>
              </w:rPr>
              <w:t xml:space="preserve">  /sites/Intranet</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Hub site:  /sites/Intranet (prefijo Hub- si son varios)</w:t>
            </w:r>
          </w:p>
        </w:tc>
      </w:tr>
    </w:tbl>
    <w:p>
      <w:pPr>
        <w:spacing w:after="100"/>
      </w:pPr>
      <w:r>
        <w:t xml:space="preserve"/>
      </w:r>
    </w:p>
    <w:p>
      <w:pPr>
        <w:pStyle w:val="Heading2"/>
        <w:spacing w:after="160" w:before="280"/>
      </w:pPr>
      <w:r>
        <w:t xml:space="preserve">E.4 Equipos de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TEAM-&lt;Área o Proyecto&gt;</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Ejemplos:</w:t>
            </w:r>
          </w:p>
          <w:p>
            <w:pPr>
              <w:spacing w:after="40" w:line="260"/>
            </w:pPr>
            <w:r>
              <w:rPr>
                <w:rFonts w:ascii="Consolas" w:cs="Consolas" w:eastAsia="Consolas" w:hAnsi="Consolas"/>
                <w:color w:val="262626"/>
                <w:sz w:val="20"/>
                <w:szCs w:val="20"/>
              </w:rPr>
              <w:t xml:space="preserve">  TEAM-Ventas</w:t>
            </w:r>
          </w:p>
          <w:p>
            <w:pPr>
              <w:spacing w:after="40" w:line="260"/>
            </w:pPr>
            <w:r>
              <w:rPr>
                <w:rFonts w:ascii="Consolas" w:cs="Consolas" w:eastAsia="Consolas" w:hAnsi="Consolas"/>
                <w:color w:val="262626"/>
                <w:sz w:val="20"/>
                <w:szCs w:val="20"/>
              </w:rPr>
              <w:t xml:space="preserve">  TEAM-Proyecto-ERP2026</w:t>
            </w:r>
          </w:p>
          <w:p>
            <w:pPr>
              <w:spacing w:after="40" w:line="260"/>
            </w:pPr>
            <w:r>
              <w:rPr>
                <w:rFonts w:ascii="Consolas" w:cs="Consolas" w:eastAsia="Consolas" w:hAnsi="Consolas"/>
                <w:color w:val="262626"/>
                <w:sz w:val="20"/>
                <w:szCs w:val="20"/>
              </w:rPr>
              <w:t xml:space="preserve">  TEAM-Direccion-General</w:t>
            </w:r>
          </w:p>
          <w:p>
            <w:pPr>
              <w:spacing w:after="40" w:line="260"/>
            </w:pPr>
            <w:r>
              <w:rPr>
                <w:rFonts w:ascii="Consolas" w:cs="Consolas" w:eastAsia="Consolas" w:hAnsi="Consolas"/>
                <w:color w:val="262626"/>
                <w:sz w:val="20"/>
                <w:szCs w:val="20"/>
              </w:rPr>
              <w:t xml:space="preserve">  TEAM-Comite-Seguridad</w:t>
            </w:r>
          </w:p>
        </w:tc>
      </w:tr>
    </w:tbl>
    <w:p>
      <w:pPr>
        <w:spacing w:after="100"/>
      </w:pPr>
      <w:r>
        <w:t xml:space="preserve"/>
      </w:r>
    </w:p>
    <w:p>
      <w:pPr>
        <w:pStyle w:val="Heading2"/>
        <w:spacing w:after="160" w:before="280"/>
      </w:pPr>
      <w:r>
        <w:t xml:space="preserve">E.5 Políticas y objetos administrativos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Conditional Access:  CA-&lt;NN&gt;-&lt;Descripcion&gt;</w:t>
            </w:r>
          </w:p>
          <w:p>
            <w:pPr>
              <w:spacing w:after="40" w:line="260"/>
            </w:pPr>
            <w:r>
              <w:rPr>
                <w:rFonts w:ascii="Consolas" w:cs="Consolas" w:eastAsia="Consolas" w:hAnsi="Consolas"/>
                <w:color w:val="262626"/>
                <w:sz w:val="20"/>
                <w:szCs w:val="20"/>
              </w:rPr>
              <w:t xml:space="preserve">  CA-01-MFA-Admins</w:t>
            </w:r>
          </w:p>
          <w:p>
            <w:pPr>
              <w:spacing w:after="40" w:line="260"/>
            </w:pPr>
            <w:r>
              <w:rPr>
                <w:rFonts w:ascii="Consolas" w:cs="Consolas" w:eastAsia="Consolas" w:hAnsi="Consolas"/>
                <w:color w:val="262626"/>
                <w:sz w:val="20"/>
                <w:szCs w:val="20"/>
              </w:rPr>
              <w:t xml:space="preserve">  CA-02-MFA-AllUsers</w:t>
            </w:r>
          </w:p>
          <w:p>
            <w:pPr>
              <w:spacing w:after="40" w:line="260"/>
            </w:pPr>
            <w:r>
              <w:rPr>
                <w:rFonts w:ascii="Consolas" w:cs="Consolas" w:eastAsia="Consolas" w:hAnsi="Consolas"/>
                <w:color w:val="262626"/>
                <w:sz w:val="20"/>
                <w:szCs w:val="20"/>
              </w:rPr>
              <w:t xml:space="preserve">  CA-03-Block-LegacyAuth</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DLP:                 DLP-&lt;Categoria&gt;-&lt;Descripcion&gt;</w:t>
            </w:r>
          </w:p>
          <w:p>
            <w:pPr>
              <w:spacing w:after="40" w:line="260"/>
            </w:pPr>
            <w:r>
              <w:rPr>
                <w:rFonts w:ascii="Consolas" w:cs="Consolas" w:eastAsia="Consolas" w:hAnsi="Consolas"/>
                <w:color w:val="262626"/>
                <w:sz w:val="20"/>
                <w:szCs w:val="20"/>
              </w:rPr>
              <w:t xml:space="preserve">  DLP-Financiero-Bloqueo-Externo</w:t>
            </w:r>
          </w:p>
          <w:p>
            <w:pPr>
              <w:spacing w:after="40" w:line="260"/>
            </w:pPr>
            <w:r>
              <w:rPr>
                <w:rFonts w:ascii="Consolas" w:cs="Consolas" w:eastAsia="Consolas" w:hAnsi="Consolas"/>
                <w:color w:val="262626"/>
                <w:sz w:val="20"/>
                <w:szCs w:val="20"/>
              </w:rPr>
              <w:t xml:space="preserve">  DLP-PII-Advertencia</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Retención:           RET-&lt;Categoria&gt;-&lt;Años&gt;</w:t>
            </w:r>
          </w:p>
          <w:p>
            <w:pPr>
              <w:spacing w:after="40" w:line="260"/>
            </w:pPr>
            <w:r>
              <w:rPr>
                <w:rFonts w:ascii="Consolas" w:cs="Consolas" w:eastAsia="Consolas" w:hAnsi="Consolas"/>
                <w:color w:val="262626"/>
                <w:sz w:val="20"/>
                <w:szCs w:val="20"/>
              </w:rPr>
              <w:t xml:space="preserve">  RET-Financiero-10a</w:t>
            </w:r>
          </w:p>
          <w:p>
            <w:pPr>
              <w:spacing w:after="40" w:line="260"/>
            </w:pPr>
            <w:r>
              <w:rPr>
                <w:rFonts w:ascii="Consolas" w:cs="Consolas" w:eastAsia="Consolas" w:hAnsi="Consolas"/>
                <w:color w:val="262626"/>
                <w:sz w:val="20"/>
                <w:szCs w:val="20"/>
              </w:rPr>
              <w:t xml:space="preserve">  RET-Correo-3a</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Sensibilidad:        SEN-&lt;Nivel&gt;</w:t>
            </w:r>
          </w:p>
          <w:p>
            <w:pPr>
              <w:spacing w:after="40" w:line="260"/>
            </w:pPr>
            <w:r>
              <w:rPr>
                <w:rFonts w:ascii="Consolas" w:cs="Consolas" w:eastAsia="Consolas" w:hAnsi="Consolas"/>
                <w:color w:val="262626"/>
                <w:sz w:val="20"/>
                <w:szCs w:val="20"/>
              </w:rPr>
              <w:t xml:space="preserve">  SEN-Publica, SEN-Interna, SEN-Confidencial, SEN-Restringida</w:t>
            </w:r>
          </w:p>
        </w:tc>
      </w:tr>
    </w:tbl>
    <w:p>
      <w:r>
        <w:br w:type="page"/>
      </w:r>
    </w:p>
    <w:p>
      <w:pPr>
        <w:pStyle w:val="Heading1"/>
        <w:spacing w:after="200" w:before="360"/>
      </w:pPr>
      <w:r>
        <w:t xml:space="preserve">19. Apéndice F — Recursos oficiales y referencias</w:t>
      </w:r>
    </w:p>
    <w:p>
      <w:pPr>
        <w:pStyle w:val="Heading2"/>
        <w:spacing w:after="160" w:before="280"/>
      </w:pPr>
      <w:r>
        <w:t xml:space="preserve">F.1 Portales de administración</w:t>
      </w:r>
    </w:p>
    <w:p>
      <w:pPr>
        <w:pStyle w:val="ListParagraph"/>
        <w:numPr>
          <w:ilvl w:val="0"/>
          <w:numId w:val="2"/>
        </w:numPr>
        <w:spacing w:after="80" w:line="280"/>
      </w:pPr>
      <w:r>
        <w:t xml:space="preserve">Centro de administración de Microsoft 365: admin.microsoft.com</w:t>
      </w:r>
    </w:p>
    <w:p>
      <w:pPr>
        <w:pStyle w:val="ListParagraph"/>
        <w:numPr>
          <w:ilvl w:val="0"/>
          <w:numId w:val="2"/>
        </w:numPr>
        <w:spacing w:after="80" w:line="280"/>
      </w:pPr>
      <w:r>
        <w:t xml:space="preserve">Centro de administración de Exchange: admin.exchange.microsoft.com</w:t>
      </w:r>
    </w:p>
    <w:p>
      <w:pPr>
        <w:pStyle w:val="ListParagraph"/>
        <w:numPr>
          <w:ilvl w:val="0"/>
          <w:numId w:val="2"/>
        </w:numPr>
        <w:spacing w:after="80" w:line="280"/>
      </w:pPr>
      <w:r>
        <w:t xml:space="preserve">Centro de administración de SharePoint: &lt;tenant&gt;-admin.sharepoint.com</w:t>
      </w:r>
    </w:p>
    <w:p>
      <w:pPr>
        <w:pStyle w:val="ListParagraph"/>
        <w:numPr>
          <w:ilvl w:val="0"/>
          <w:numId w:val="2"/>
        </w:numPr>
        <w:spacing w:after="80" w:line="280"/>
      </w:pPr>
      <w:r>
        <w:t xml:space="preserve">Centro de administración de Teams: admin.teams.microsoft.com</w:t>
      </w:r>
    </w:p>
    <w:p>
      <w:pPr>
        <w:pStyle w:val="ListParagraph"/>
        <w:numPr>
          <w:ilvl w:val="0"/>
          <w:numId w:val="2"/>
        </w:numPr>
        <w:spacing w:after="80" w:line="280"/>
      </w:pPr>
      <w:r>
        <w:t xml:space="preserve">Portal de Intune: intune.microsoft.com</w:t>
      </w:r>
    </w:p>
    <w:p>
      <w:pPr>
        <w:pStyle w:val="ListParagraph"/>
        <w:numPr>
          <w:ilvl w:val="0"/>
          <w:numId w:val="2"/>
        </w:numPr>
        <w:spacing w:after="80" w:line="280"/>
      </w:pPr>
      <w:r>
        <w:t xml:space="preserve">Portal de Entra ID: entra.microsoft.com</w:t>
      </w:r>
    </w:p>
    <w:p>
      <w:pPr>
        <w:pStyle w:val="ListParagraph"/>
        <w:numPr>
          <w:ilvl w:val="0"/>
          <w:numId w:val="2"/>
        </w:numPr>
        <w:spacing w:after="80" w:line="280"/>
      </w:pPr>
      <w:r>
        <w:t xml:space="preserve">Portal de Defender: security.microsoft.com</w:t>
      </w:r>
    </w:p>
    <w:p>
      <w:pPr>
        <w:pStyle w:val="ListParagraph"/>
        <w:numPr>
          <w:ilvl w:val="0"/>
          <w:numId w:val="2"/>
        </w:numPr>
        <w:spacing w:after="80" w:line="280"/>
      </w:pPr>
      <w:r>
        <w:t xml:space="preserve">Portal de Purview: purview.microsoft.com</w:t>
      </w:r>
    </w:p>
    <w:p>
      <w:pPr>
        <w:pStyle w:val="ListParagraph"/>
        <w:numPr>
          <w:ilvl w:val="0"/>
          <w:numId w:val="2"/>
        </w:numPr>
        <w:spacing w:after="80" w:line="280"/>
      </w:pPr>
      <w:r>
        <w:t xml:space="preserve">Portal de Compliance: compliance.microsoft.com</w:t>
      </w:r>
    </w:p>
    <w:p>
      <w:pPr>
        <w:spacing w:after="100"/>
      </w:pPr>
      <w:r>
        <w:t xml:space="preserve"/>
      </w:r>
    </w:p>
    <w:p>
      <w:pPr>
        <w:pStyle w:val="Heading2"/>
        <w:spacing w:after="160" w:before="280"/>
      </w:pPr>
      <w:r>
        <w:t xml:space="preserve">F.2 Documentación oficial de Microsoft</w:t>
      </w:r>
    </w:p>
    <w:p>
      <w:pPr>
        <w:pStyle w:val="ListParagraph"/>
        <w:numPr>
          <w:ilvl w:val="0"/>
          <w:numId w:val="2"/>
        </w:numPr>
        <w:spacing w:after="80" w:line="280"/>
      </w:pPr>
      <w:r>
        <w:t xml:space="preserve">Microsoft 365 Best Practices: learn.microsoft.com/microsoft-365</w:t>
      </w:r>
    </w:p>
    <w:p>
      <w:pPr>
        <w:pStyle w:val="ListParagraph"/>
        <w:numPr>
          <w:ilvl w:val="0"/>
          <w:numId w:val="2"/>
        </w:numPr>
        <w:spacing w:after="80" w:line="280"/>
      </w:pPr>
      <w:r>
        <w:t xml:space="preserve">Entra ID Best Practices: learn.microsoft.com/entra/identity</w:t>
      </w:r>
    </w:p>
    <w:p>
      <w:pPr>
        <w:pStyle w:val="ListParagraph"/>
        <w:numPr>
          <w:ilvl w:val="0"/>
          <w:numId w:val="2"/>
        </w:numPr>
        <w:spacing w:after="80" w:line="280"/>
      </w:pPr>
      <w:r>
        <w:t xml:space="preserve">Conditional Access Templates: learn.microsoft.com/entra/identity/conditional-access/concept-conditional-access-policy-common</w:t>
      </w:r>
    </w:p>
    <w:p>
      <w:pPr>
        <w:pStyle w:val="ListParagraph"/>
        <w:numPr>
          <w:ilvl w:val="0"/>
          <w:numId w:val="2"/>
        </w:numPr>
        <w:spacing w:after="80" w:line="280"/>
      </w:pPr>
      <w:r>
        <w:t xml:space="preserve">PIM Deployment: learn.microsoft.com/entra/id-governance/privileged-identity-management/pim-deployment-plan</w:t>
      </w:r>
    </w:p>
    <w:p>
      <w:pPr>
        <w:pStyle w:val="ListParagraph"/>
        <w:numPr>
          <w:ilvl w:val="0"/>
          <w:numId w:val="2"/>
        </w:numPr>
        <w:spacing w:after="80" w:line="280"/>
      </w:pPr>
      <w:r>
        <w:t xml:space="preserve">Defender for O365: learn.microsoft.com/defender-office-365</w:t>
      </w:r>
    </w:p>
    <w:p>
      <w:pPr>
        <w:pStyle w:val="ListParagraph"/>
        <w:numPr>
          <w:ilvl w:val="0"/>
          <w:numId w:val="2"/>
        </w:numPr>
        <w:spacing w:after="80" w:line="280"/>
      </w:pPr>
      <w:r>
        <w:t xml:space="preserve">Intune: learn.microsoft.com/mem/intune</w:t>
      </w:r>
    </w:p>
    <w:p>
      <w:pPr>
        <w:pStyle w:val="ListParagraph"/>
        <w:numPr>
          <w:ilvl w:val="0"/>
          <w:numId w:val="2"/>
        </w:numPr>
        <w:spacing w:after="80" w:line="280"/>
      </w:pPr>
      <w:r>
        <w:t xml:space="preserve">Purview: learn.microsoft.com/purview</w:t>
      </w:r>
    </w:p>
    <w:p>
      <w:pPr>
        <w:spacing w:after="100"/>
      </w:pPr>
      <w:r>
        <w:t xml:space="preserve"/>
      </w:r>
    </w:p>
    <w:p>
      <w:pPr>
        <w:pStyle w:val="Heading2"/>
        <w:spacing w:after="160" w:before="280"/>
      </w:pPr>
      <w:r>
        <w:t xml:space="preserve">F.3 Frameworks y benchmarks</w:t>
      </w:r>
    </w:p>
    <w:p>
      <w:pPr>
        <w:pStyle w:val="ListParagraph"/>
        <w:numPr>
          <w:ilvl w:val="0"/>
          <w:numId w:val="2"/>
        </w:numPr>
        <w:spacing w:after="80" w:line="280"/>
      </w:pPr>
      <w:r>
        <w:t xml:space="preserve">CIS Microsoft 365 Foundations Benchmark (auditable): cisecurity.org</w:t>
      </w:r>
    </w:p>
    <w:p>
      <w:pPr>
        <w:pStyle w:val="ListParagraph"/>
        <w:numPr>
          <w:ilvl w:val="0"/>
          <w:numId w:val="2"/>
        </w:numPr>
        <w:spacing w:after="80" w:line="280"/>
      </w:pPr>
      <w:r>
        <w:t xml:space="preserve">Microsoft Zero Trust Deployment Guide: microsoft.com/zero-trust</w:t>
      </w:r>
    </w:p>
    <w:p>
      <w:pPr>
        <w:pStyle w:val="ListParagraph"/>
        <w:numPr>
          <w:ilvl w:val="0"/>
          <w:numId w:val="2"/>
        </w:numPr>
        <w:spacing w:after="80" w:line="280"/>
      </w:pPr>
      <w:r>
        <w:t xml:space="preserve">NIST Cybersecurity Framework: nist.gov/cyberframework</w:t>
      </w:r>
    </w:p>
    <w:p>
      <w:pPr>
        <w:pStyle w:val="ListParagraph"/>
        <w:numPr>
          <w:ilvl w:val="0"/>
          <w:numId w:val="2"/>
        </w:numPr>
        <w:spacing w:after="80" w:line="280"/>
      </w:pPr>
      <w:r>
        <w:t xml:space="preserve">Microsoft Cloud Adoption Framework: aka.ms/caf</w:t>
      </w:r>
    </w:p>
    <w:p>
      <w:pPr>
        <w:spacing w:after="100"/>
      </w:pPr>
      <w:r>
        <w:t xml:space="preserve"/>
      </w:r>
    </w:p>
    <w:p>
      <w:pPr>
        <w:pStyle w:val="Heading2"/>
        <w:spacing w:after="160" w:before="280"/>
      </w:pPr>
      <w:r>
        <w:t xml:space="preserve">F.4 Herramientas útiles</w:t>
      </w:r>
    </w:p>
    <w:p>
      <w:pPr>
        <w:pStyle w:val="ListParagraph"/>
        <w:numPr>
          <w:ilvl w:val="0"/>
          <w:numId w:val="2"/>
        </w:numPr>
        <w:spacing w:after="80" w:line="280"/>
      </w:pPr>
      <w:r>
        <w:t xml:space="preserve">Microsoft 365 Roadmap: microsoft.com/microsoft-365/roadmap</w:t>
      </w:r>
    </w:p>
    <w:p>
      <w:pPr>
        <w:pStyle w:val="ListParagraph"/>
        <w:numPr>
          <w:ilvl w:val="0"/>
          <w:numId w:val="2"/>
        </w:numPr>
        <w:spacing w:after="80" w:line="280"/>
      </w:pPr>
      <w:r>
        <w:t xml:space="preserve">Message Center Reader (rol): para monitoreo continuo de cambios</w:t>
      </w:r>
    </w:p>
    <w:p>
      <w:pPr>
        <w:pStyle w:val="ListParagraph"/>
        <w:numPr>
          <w:ilvl w:val="0"/>
          <w:numId w:val="2"/>
        </w:numPr>
        <w:spacing w:after="80" w:line="280"/>
      </w:pPr>
      <w:r>
        <w:t xml:space="preserve">Maester (evaluación automatizada del tenant): maester.dev</w:t>
      </w:r>
    </w:p>
    <w:p>
      <w:pPr>
        <w:pStyle w:val="ListParagraph"/>
        <w:numPr>
          <w:ilvl w:val="0"/>
          <w:numId w:val="2"/>
        </w:numPr>
        <w:spacing w:after="80" w:line="280"/>
      </w:pPr>
      <w:r>
        <w:t xml:space="preserve">Microsoft 365 DSC (Desired State Configuration): microsoft365dsc.com</w:t>
      </w:r>
    </w:p>
    <w:p>
      <w:pPr>
        <w:pStyle w:val="ListParagraph"/>
        <w:numPr>
          <w:ilvl w:val="0"/>
          <w:numId w:val="2"/>
        </w:numPr>
        <w:spacing w:after="80" w:line="280"/>
      </w:pPr>
      <w:r>
        <w:t xml:space="preserve">PnP PowerShell: pnp.github.io/powershell</w:t>
      </w:r>
    </w:p>
    <w:p>
      <w:pPr>
        <w:pStyle w:val="ListParagraph"/>
        <w:numPr>
          <w:ilvl w:val="0"/>
          <w:numId w:val="2"/>
        </w:numPr>
        <w:spacing w:after="80" w:line="280"/>
      </w:pPr>
      <w:r>
        <w:t xml:space="preserve">Graph Explorer: developer.microsoft.com/graph/graph-explorer</w:t>
      </w:r>
    </w:p>
    <w:p>
      <w:pPr>
        <w:spacing w:after="100"/>
      </w:pPr>
      <w:r>
        <w:t xml:space="preserve"/>
      </w:r>
    </w:p>
    <w:p>
      <w:pPr>
        <w:pStyle w:val="Heading2"/>
        <w:spacing w:after="160" w:before="280"/>
      </w:pPr>
      <w:r>
        <w:t xml:space="preserve">F.5 Comunidades</w:t>
      </w:r>
    </w:p>
    <w:p>
      <w:pPr>
        <w:pStyle w:val="ListParagraph"/>
        <w:numPr>
          <w:ilvl w:val="0"/>
          <w:numId w:val="2"/>
        </w:numPr>
        <w:spacing w:after="80" w:line="280"/>
      </w:pPr>
      <w:r>
        <w:t xml:space="preserve">Microsoft Tech Community: techcommunity.microsoft.com</w:t>
      </w:r>
    </w:p>
    <w:p>
      <w:pPr>
        <w:pStyle w:val="ListParagraph"/>
        <w:numPr>
          <w:ilvl w:val="0"/>
          <w:numId w:val="2"/>
        </w:numPr>
        <w:spacing w:after="80" w:line="280"/>
      </w:pPr>
      <w:r>
        <w:t xml:space="preserve">Microsoft Q&amp;A: learn.microsoft.com/answers</w:t>
      </w:r>
    </w:p>
    <w:p>
      <w:pPr>
        <w:pStyle w:val="ListParagraph"/>
        <w:numPr>
          <w:ilvl w:val="0"/>
          <w:numId w:val="2"/>
        </w:numPr>
        <w:spacing w:after="80" w:line="280"/>
      </w:pPr>
      <w:r>
        <w:t xml:space="preserve">Reddit /r/Office365, /r/MicrosoftTeams, /r/AzureAD</w:t>
      </w:r>
    </w:p>
    <w:p>
      <w:pPr>
        <w:pStyle w:val="ListParagraph"/>
        <w:numPr>
          <w:ilvl w:val="0"/>
          <w:numId w:val="2"/>
        </w:numPr>
        <w:spacing w:after="80" w:line="280"/>
      </w:pPr>
      <w:r>
        <w:t xml:space="preserve">Entra ID / Microsoft Ignite Sessions en YouTube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E2EFDA" w:val="clear"/>
            <w:tcMar>
              <w:top w:type="dxa" w:w="160"/>
              <w:left w:type="dxa" w:w="200"/>
              <w:bottom w:type="dxa" w:w="160"/>
              <w:right w:type="dxa" w:w="200"/>
            </w:tcMar>
          </w:tcPr>
          <w:p>
            <w:pPr>
              <w:spacing w:after="80"/>
            </w:pPr>
            <w:r>
              <w:rPr>
                <w:b/>
                <w:bCs/>
                <w:color w:val="1F4E79"/>
                <w:sz w:val="22"/>
                <w:szCs w:val="22"/>
              </w:rPr>
              <w:t xml:space="preserve">Cierre</w:t>
            </w:r>
          </w:p>
          <w:p>
            <w:pPr>
              <w:spacing w:after="60" w:before="0" w:line="300"/>
            </w:pPr>
            <w:r>
              <w:t xml:space="preserve">El onboarding de Microsoft 365 no termina el día que se completa el checklist. Es el inicio de una operación continua donde el tenant evoluciona con la organización.</w:t>
            </w:r>
          </w:p>
          <w:p>
            <w:pPr>
              <w:spacing w:after="60" w:before="0" w:line="300"/>
            </w:pPr>
            <w:r>
              <w:t xml:space="preserve">Los cuatro hábitos que sostienen un tenant saludable son:</w:t>
            </w:r>
          </w:p>
          <w:p>
            <w:pPr>
              <w:pStyle w:val="ListParagraph"/>
              <w:numPr>
                <w:ilvl w:val="0"/>
                <w:numId w:val="2"/>
              </w:numPr>
              <w:spacing w:after="80" w:line="280"/>
            </w:pPr>
            <w:r>
              <w:t xml:space="preserve">Revisión mensual del Secure Score.</w:t>
            </w:r>
          </w:p>
          <w:p>
            <w:pPr>
              <w:pStyle w:val="ListParagraph"/>
              <w:numPr>
                <w:ilvl w:val="0"/>
                <w:numId w:val="2"/>
              </w:numPr>
              <w:spacing w:after="80" w:line="280"/>
            </w:pPr>
            <w:r>
              <w:t xml:space="preserve">Revisión trimestral de accesos y roles.</w:t>
            </w:r>
          </w:p>
          <w:p>
            <w:pPr>
              <w:pStyle w:val="ListParagraph"/>
              <w:numPr>
                <w:ilvl w:val="0"/>
                <w:numId w:val="2"/>
              </w:numPr>
              <w:spacing w:after="80" w:line="280"/>
            </w:pPr>
            <w:r>
              <w:t xml:space="preserve">Revisión semestral de políticas y arquitectura.</w:t>
            </w:r>
          </w:p>
          <w:p>
            <w:pPr>
              <w:pStyle w:val="ListParagraph"/>
              <w:numPr>
                <w:ilvl w:val="0"/>
                <w:numId w:val="2"/>
              </w:numPr>
              <w:spacing w:after="80" w:line="280"/>
            </w:pPr>
            <w:r>
              <w:t xml:space="preserve">Adaptación continua a las novedades del Message Center.</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Guía de onboarding M365  |  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Microsoft 365 — Onboarding y Mejores Prácticas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Onboarding y Mejores Prácticas Microsoft 365</dc:title>
  <dc:creator>Equipo TI</dc:creator>
  <dc:description>Guía completa para el despliegue y operación segura de un tenant M365.</dc:description>
  <cp:lastModifiedBy>Un-named</cp:lastModifiedBy>
  <cp:revision>1</cp:revision>
  <dcterms:created xsi:type="dcterms:W3CDTF">2026-07-14T05:37:41.458Z</dcterms:created>
  <dcterms:modified xsi:type="dcterms:W3CDTF">2026-07-14T05:37:41.470Z</dcterms:modified>
</cp:coreProperties>
</file>

<file path=docProps/custom.xml><?xml version="1.0" encoding="utf-8"?>
<Properties xmlns="http://schemas.openxmlformats.org/officeDocument/2006/custom-properties" xmlns:vt="http://schemas.openxmlformats.org/officeDocument/2006/docPropsVTypes"/>
</file>