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Anexo técnico: requisitos para unión híbrida y GPO de OneDrive</w:t>
      </w:r>
    </w:p>
    <w:p>
      <w:pPr/>
      <w:r>
        <w:t xml:space="preserve">Oct 28, 2026</w:t>
      </w:r>
      <w:r>
        <w:t xml:space="preserve"> · </w:t>
      </w:r>
      <w:r>
        <w:t xml:space="preserve">@Someone</w:t>
      </w:r>
    </w:p>
    <w:p>
      <w:pPr>
        <w:pStyle w:val="Heading2"/>
      </w:pPr>
      <w:r>
        <w:t xml:space="preserve">Resumen</w:t>
      </w:r>
    </w:p>
    <w:p>
      <w:pPr/>
      <w:r>
        <w:t xml:space="preserve">AD DS 2016 es suficiente y no cambia la GPO de OneDrive. Lo que sí cambia el plan es el Entra Connect de hace 2 años: con alta probabilidad está por debajo de la versión mínima vigente y debe actualizarse antes del piloto.</w:t>
      </w:r>
    </w:p>
    <w:tbl>
      <w:tblPr>
        <w:tblStyle w:val="TableGrid"/>
        <w:tblW w:w="0" w:type="auto"/>
        <w:tblLayout w:type="fixed"/>
        <w:tblLook w:val="04A0" w:firstRow="1" w:lastRow="0" w:firstColumn="0" w:lastColumn="0" w:noHBand="0" w:noVBand="1"/>
      </w:tblPr>
      <w:tblGrid>
        <w:gridCol w:w="2251"/>
        <w:gridCol w:w="1303"/>
        <w:gridCol w:w="1737"/>
        <w:gridCol w:w="4069"/>
      </w:tblGrid>
      <w:tr>
        <w:trPr>
          <w:tblHeader/>
        </w:trPr>
        <w:tc>
          <w:tcPr>
            <w:tcW w:w="2251" w:type="dxa"/>
            <w:shd w:val="clear" w:color="auto" w:fill="F2F2F2"/>
          </w:tcPr>
          <w:p>
            <w:pPr/>
            <w:r>
              <w:t xml:space="preserve">Componente actual</w:t>
            </w:r>
          </w:p>
        </w:tc>
        <w:tc>
          <w:tcPr>
            <w:tcW w:w="1303" w:type="dxa"/>
            <w:shd w:val="clear" w:color="auto" w:fill="F2F2F2"/>
          </w:tcPr>
          <w:p>
            <w:pPr/>
            <w:r>
              <w:t xml:space="preserve">¿Afecta la GPO de OneDrive?</w:t>
            </w:r>
          </w:p>
        </w:tc>
        <w:tc>
          <w:tcPr>
            <w:tcW w:w="1737" w:type="dxa"/>
            <w:shd w:val="clear" w:color="auto" w:fill="F2F2F2"/>
          </w:tcPr>
          <w:p>
            <w:pPr/>
            <w:r>
              <w:t xml:space="preserve">¿Afecta la unión híbrida?</w:t>
            </w:r>
          </w:p>
        </w:tc>
        <w:tc>
          <w:tcPr>
            <w:tcW w:w="4069" w:type="dxa"/>
            <w:shd w:val="clear" w:color="auto" w:fill="F2F2F2"/>
          </w:tcPr>
          <w:p>
            <w:pPr/>
            <w:r>
              <w:t xml:space="preserve">Acción</w:t>
            </w:r>
          </w:p>
        </w:tc>
      </w:tr>
      <w:tr>
        <w:tc>
          <w:tcPr>
            <w:tcW w:w="2251" w:type="dxa"/>
          </w:tcPr>
          <w:p>
            <w:pPr/>
            <w:r>
              <w:t xml:space="preserve">AD DS 2016</w:t>
            </w:r>
          </w:p>
        </w:tc>
        <w:tc>
          <w:tcPr>
            <w:tcW w:w="1303" w:type="dxa"/>
          </w:tcPr>
          <w:p>
            <w:pPr/>
            <w:r>
              <w:t xml:space="preserve">No</w:t>
            </w:r>
          </w:p>
        </w:tc>
        <w:tc>
          <w:tcPr>
            <w:tcW w:w="1737" w:type="dxa"/>
          </w:tcPr>
          <w:p>
            <w:pPr/>
            <w:r>
              <w:t xml:space="preserve">No; cumple los requisitos</w:t>
            </w:r>
          </w:p>
        </w:tc>
        <w:tc>
          <w:tcPr>
            <w:tcW w:w="4069" w:type="dxa"/>
          </w:tcPr>
          <w:p>
            <w:pPr/>
            <w:r>
              <w:t xml:space="preserve">Ninguna; confirmar el almacén central de plantillas</w:t>
            </w:r>
          </w:p>
        </w:tc>
      </w:tr>
      <w:tr>
        <w:tc>
          <w:tcPr>
            <w:tcW w:w="2251" w:type="dxa"/>
          </w:tcPr>
          <w:p>
            <w:pPr/>
            <w:r>
              <w:t xml:space="preserve">Entra Connect de hace ~2 años (probable 2.3.x o 2.4.x)</w:t>
            </w:r>
          </w:p>
        </w:tc>
        <w:tc>
          <w:tcPr>
            <w:tcW w:w="1303" w:type="dxa"/>
          </w:tcPr>
          <w:p>
            <w:pPr/>
            <w:r>
              <w:t xml:space="preserve">No</w:t>
            </w:r>
          </w:p>
        </w:tc>
        <w:tc>
          <w:tcPr>
            <w:tcW w:w="1737" w:type="dxa"/>
          </w:tcPr>
          <w:p>
            <w:pPr/>
            <w:r>
              <w:t xml:space="preserve">Sí; sincroniza el objeto de equipo</w:t>
            </w:r>
          </w:p>
        </w:tc>
        <w:tc>
          <w:tcPr>
            <w:tcW w:w="4069" w:type="dxa"/>
          </w:tcPr>
          <w:p>
            <w:pPr/>
            <w:r>
              <w:t xml:space="preserve">Actualizar a 2.6.84.0 o posterior y activar la autenticación por aplicación antes del 7 de abril de 2027</w:t>
            </w:r>
          </w:p>
        </w:tc>
      </w:tr>
      <w:tr>
        <w:tc>
          <w:tcPr>
            <w:tcW w:w="2251" w:type="dxa"/>
          </w:tcPr>
          <w:p>
            <w:pPr/>
            <w:r>
              <w:t xml:space="preserve">Windows 11 versión más reciente</w:t>
            </w:r>
          </w:p>
        </w:tc>
        <w:tc>
          <w:tcPr>
            <w:tcW w:w="1303" w:type="dxa"/>
          </w:tcPr>
          <w:p>
            <w:pPr/>
            <w:r>
              <w:t xml:space="preserve">No</w:t>
            </w:r>
          </w:p>
        </w:tc>
        <w:tc>
          <w:tcPr>
            <w:tcW w:w="1737" w:type="dxa"/>
          </w:tcPr>
          <w:p>
            <w:pPr/>
            <w:r>
              <w:t xml:space="preserve">No</w:t>
            </w:r>
          </w:p>
        </w:tc>
        <w:tc>
          <w:tcPr>
            <w:tcW w:w="4069" w:type="dxa"/>
          </w:tcPr>
          <w:p>
            <w:pPr/>
            <w:r>
              <w:t xml:space="preserve">Cliente OneDrive actualizado y plantillas ADMX del mismo cliente</w:t>
            </w:r>
          </w:p>
        </w:tc>
      </w:tr>
    </w:tbl>
    <w:p>
      <w:pPr>
        <w:pStyle w:val="Heading2"/>
      </w:pPr>
      <w:r>
        <w:t xml:space="preserve">Plantilla ADMX: no depende de AD ni de Entra Connect</w:t>
      </w:r>
    </w:p>
    <w:p>
      <w:pPr/>
      <w:r>
        <w:t xml:space="preserve">La plantilla de OneDrive solo depende de la versión del cliente OneDrive del que se copia, no del nivel funcional de AD ni de la versión de Entra Connect. Las directivas escriben claves de registro en el equipo, así que funcionan igual con controladores de dominio 2016.</w:t>
      </w:r>
    </w:p>
    <w:p>
      <w:pPr>
        <w:pStyle w:val="ListParagraph"/>
        <w:numPr>
          <w:ilvl w:val="0"/>
          <w:numId w:val="2"/>
        </w:numPr>
      </w:pPr>
      <w:r>
        <w:t xml:space="preserve">En un equipo con OneDrive actualizado, abrir </w:t>
      </w:r>
      <w:r>
        <w:rPr>
          <w:rStyle w:val="CodeChar"/>
        </w:rPr>
        <w:t xml:space="preserve">%ProgramFiles%\Microsoft OneDrive\&lt;versión&gt;\adm\</w:t>
      </w:r>
      <w:r>
        <w:t xml:space="preserve"> (instalación por equipo) o </w:t>
      </w:r>
      <w:r>
        <w:rPr>
          <w:rStyle w:val="CodeChar"/>
        </w:rPr>
        <w:t xml:space="preserve">%localappdata%\Microsoft\OneDrive\&lt;versión&gt;\adm\</w:t>
      </w:r>
      <w:r>
        <w:t xml:space="preserve"> (por usuario).</w:t>
      </w:r>
    </w:p>
    <w:p>
      <w:pPr>
        <w:pStyle w:val="ListParagraph"/>
        <w:numPr>
          <w:ilvl w:val="0"/>
          <w:numId w:val="2"/>
        </w:numPr>
      </w:pPr>
      <w:r>
        <w:t xml:space="preserve">Copiar </w:t>
      </w:r>
      <w:r>
        <w:rPr>
          <w:rStyle w:val="CodeChar"/>
        </w:rPr>
        <w:t xml:space="preserve">OneDrive.admx</w:t>
      </w:r>
      <w:r>
        <w:t xml:space="preserve"> a </w:t>
      </w:r>
      <w:r>
        <w:rPr>
          <w:rStyle w:val="CodeChar"/>
        </w:rPr>
        <w:t xml:space="preserve">\\&lt;dominio&gt;\SYSVOL\&lt;dominio&gt;\Policies\PolicyDefinitions\</w:t>
      </w:r>
      <w:r>
        <w:t xml:space="preserve">.</w:t>
      </w:r>
    </w:p>
    <w:p>
      <w:pPr>
        <w:pStyle w:val="ListParagraph"/>
        <w:numPr>
          <w:ilvl w:val="0"/>
          <w:numId w:val="2"/>
        </w:numPr>
      </w:pPr>
      <w:r>
        <w:t xml:space="preserve">Copiar </w:t>
      </w:r>
      <w:r>
        <w:rPr>
          <w:rStyle w:val="CodeChar"/>
        </w:rPr>
        <w:t xml:space="preserve">OneDrive.adml</w:t>
      </w:r>
      <w:r>
        <w:t xml:space="preserve"> a la subcarpeta de idioma (por ejemplo </w:t>
      </w:r>
      <w:r>
        <w:rPr>
          <w:rStyle w:val="CodeChar"/>
        </w:rPr>
        <w:t xml:space="preserve">es-ES</w:t>
      </w:r>
      <w:r>
        <w:t xml:space="preserve">).</w:t>
      </w:r>
    </w:p>
    <w:p>
      <w:pPr>
        <w:pStyle w:val="ListParagraph"/>
        <w:numPr>
          <w:ilvl w:val="0"/>
          <w:numId w:val="2"/>
        </w:numPr>
      </w:pPr>
      <w:r>
        <w:t xml:space="preserve">Si ya existen plantillas antiguas, reemplazarlas: Microsoft cambió la ubicación de algunas claves y las versiones viejas no incluyen todos los ajustes.</w:t>
      </w:r>
    </w:p>
    <w:p>
      <w:pPr/>
      <w:r>
        <w:t xml:space="preserve">Detalle importante: si una directiva se pone en "Habilitada" o "Deshabilitada" y luego se regresa a "No configurada", la clave de registro no se borra y el ajuste sigue vigente. Para revertir, hay que dejarla explícitamente en el estado deseado (</w:t>
      </w:r>
      <w:hyperlink r:id="rId3" w:history="1">
        <w:r>
          <w:rPr>
            <w:rStyle w:val="Hyperlink"/>
          </w:rPr>
          <w:t xml:space="preserve">Microsoft Learn</w:t>
        </w:r>
      </w:hyperlink>
      <w:r>
        <w:t xml:space="preserve">).</w:t>
      </w:r>
    </w:p>
    <w:p>
      <w:pPr>
        <w:pStyle w:val="Heading2"/>
      </w:pPr>
      <w:r>
        <w:t xml:space="preserve">Requisitos de versiones</w:t>
      </w:r>
    </w:p>
    <w:p>
      <w:pPr/>
      <w:r>
        <w:t xml:space="preserve">El único componente que hoy no cumple es, con alta probabilidad, Entra Connect; los demás cumplen o solo requieren estar actualizados.</w:t>
      </w:r>
    </w:p>
    <w:tbl>
      <w:tblPr>
        <w:tblStyle w:val="TableGrid"/>
        <w:tblW w:w="0" w:type="auto"/>
        <w:tblLayout w:type="fixed"/>
        <w:tblLook w:val="04A0" w:firstRow="1" w:lastRow="0" w:firstColumn="0" w:lastColumn="0" w:noHBand="0" w:noVBand="1"/>
      </w:tblPr>
      <w:tblGrid>
        <w:gridCol w:w="1867"/>
        <w:gridCol w:w="3918"/>
        <w:gridCol w:w="1233"/>
        <w:gridCol w:w="2342"/>
      </w:tblGrid>
      <w:tr>
        <w:trPr>
          <w:tblHeader/>
        </w:trPr>
        <w:tc>
          <w:tcPr>
            <w:tcW w:w="1867" w:type="dxa"/>
            <w:shd w:val="clear" w:color="auto" w:fill="F2F2F2"/>
          </w:tcPr>
          <w:p>
            <w:pPr/>
            <w:r>
              <w:t xml:space="preserve">Componente</w:t>
            </w:r>
          </w:p>
        </w:tc>
        <w:tc>
          <w:tcPr>
            <w:tcW w:w="3918" w:type="dxa"/>
            <w:shd w:val="clear" w:color="auto" w:fill="F2F2F2"/>
          </w:tcPr>
          <w:p>
            <w:pPr/>
            <w:r>
              <w:t xml:space="preserve">Requisito mínimo</w:t>
            </w:r>
          </w:p>
        </w:tc>
        <w:tc>
          <w:tcPr>
            <w:tcW w:w="1233" w:type="dxa"/>
            <w:shd w:val="clear" w:color="auto" w:fill="F2F2F2"/>
          </w:tcPr>
          <w:p>
            <w:pPr/>
            <w:r>
              <w:t xml:space="preserve">Estado del cliente</w:t>
            </w:r>
          </w:p>
        </w:tc>
        <w:tc>
          <w:tcPr>
            <w:tcW w:w="2342" w:type="dxa"/>
            <w:shd w:val="clear" w:color="auto" w:fill="F2F2F2"/>
          </w:tcPr>
          <w:p>
            <w:pPr/>
            <w:r>
              <w:t xml:space="preserve">Acción</w:t>
            </w:r>
          </w:p>
        </w:tc>
      </w:tr>
      <w:tr>
        <w:tc>
          <w:tcPr>
            <w:tcW w:w="1867" w:type="dxa"/>
          </w:tcPr>
          <w:p>
            <w:pPr/>
            <w:r>
              <w:t xml:space="preserve">Esquema y nivel funcional del bosque</w:t>
            </w:r>
          </w:p>
        </w:tc>
        <w:tc>
          <w:tcPr>
            <w:tcW w:w="3918" w:type="dxa"/>
          </w:tcPr>
          <w:p>
            <w:pPr/>
            <w:r>
              <w:t xml:space="preserve">Windows Server 2003 o posterior</w:t>
            </w:r>
          </w:p>
        </w:tc>
        <w:tc>
          <w:tcPr>
            <w:tcW w:w="1233" w:type="dxa"/>
          </w:tcPr>
          <w:p>
            <w:pPr/>
            <w:r>
              <w:t xml:space="preserve">AD DS 2016: cumple</w:t>
            </w:r>
          </w:p>
        </w:tc>
        <w:tc>
          <w:tcPr>
            <w:tcW w:w="2342" w:type="dxa"/>
          </w:tcPr>
          <w:p>
            <w:pPr/>
            <w:r>
              <w:t xml:space="preserve">Ninguna</w:t>
            </w:r>
          </w:p>
        </w:tc>
      </w:tr>
      <w:tr>
        <w:tc>
          <w:tcPr>
            <w:tcW w:w="1867" w:type="dxa"/>
          </w:tcPr>
          <w:p>
            <w:pPr/>
            <w:r>
              <w:t xml:space="preserve">Controladores de dominio</w:t>
            </w:r>
          </w:p>
        </w:tc>
        <w:tc>
          <w:tcPr>
            <w:tcW w:w="3918" w:type="dxa"/>
          </w:tcPr>
          <w:p>
            <w:pPr/>
            <w:r>
              <w:t xml:space="preserve">Cualquier versión que cumpla el esquema; Microsoft indica que el soporte de DC 2016 o anteriores puede requerir un programa de soporte de pago</w:t>
            </w:r>
          </w:p>
        </w:tc>
        <w:tc>
          <w:tcPr>
            <w:tcW w:w="1233" w:type="dxa"/>
          </w:tcPr>
          <w:p>
            <w:pPr/>
            <w:r>
              <w:t xml:space="preserve">2016</w:t>
            </w:r>
          </w:p>
        </w:tc>
        <w:tc>
          <w:tcPr>
            <w:tcW w:w="2342" w:type="dxa"/>
          </w:tcPr>
          <w:p>
            <w:pPr/>
            <w:r>
              <w:t xml:space="preserve">Planear la renovación de DC por ciclo de vida, fuera de este proyecto</w:t>
            </w:r>
          </w:p>
        </w:tc>
      </w:tr>
      <w:tr>
        <w:tc>
          <w:tcPr>
            <w:tcW w:w="1867" w:type="dxa"/>
          </w:tcPr>
          <w:p>
            <w:pPr/>
            <w:r>
              <w:t xml:space="preserve">Servidor de Entra Connect</w:t>
            </w:r>
          </w:p>
        </w:tc>
        <w:tc>
          <w:tcPr>
            <w:tcW w:w="3918" w:type="dxa"/>
          </w:tcPr>
          <w:p>
            <w:pPr/>
            <w:r>
              <w:t xml:space="preserve">Windows Server 2016 o posterior (recomendado 2022 o 2025), unido al dominio, Standard o superior, sin Server Core, .NET 4.6.2 o posterior, TLS 1.2</w:t>
            </w:r>
          </w:p>
        </w:tc>
        <w:tc>
          <w:tcPr>
            <w:tcW w:w="1233" w:type="dxa"/>
          </w:tcPr>
          <w:p>
            <w:pPr/>
            <w:r>
              <w:t xml:space="preserve">Por confirmar</w:t>
            </w:r>
          </w:p>
        </w:tc>
        <w:tc>
          <w:tcPr>
            <w:tcW w:w="2342" w:type="dxa"/>
          </w:tcPr>
          <w:p>
            <w:pPr/>
            <w:r>
              <w:t xml:space="preserve">Revisar el sistema operativo del servidor</w:t>
            </w:r>
          </w:p>
        </w:tc>
      </w:tr>
      <w:tr>
        <w:tc>
          <w:tcPr>
            <w:tcW w:w="1867" w:type="dxa"/>
          </w:tcPr>
          <w:p>
            <w:pPr/>
            <w:r>
              <w:t xml:space="preserve">Entra Connect Sync</w:t>
            </w:r>
          </w:p>
        </w:tc>
        <w:tc>
          <w:tcPr>
            <w:tcW w:w="3918" w:type="dxa"/>
          </w:tcPr>
          <w:p>
            <w:pPr/>
            <w:r>
              <w:t xml:space="preserve">2.6.84.0 o posterior con autenticación por aplicación antes del 7 de abril de 2027; para unión híbrida, 1.1.819.0 o posterior</w:t>
            </w:r>
          </w:p>
        </w:tc>
        <w:tc>
          <w:tcPr>
            <w:tcW w:w="1233" w:type="dxa"/>
          </w:tcPr>
          <w:p>
            <w:pPr/>
            <w:r>
              <w:t xml:space="preserve">Versión de hace ~2 años</w:t>
            </w:r>
          </w:p>
        </w:tc>
        <w:tc>
          <w:tcPr>
            <w:tcW w:w="2342" w:type="dxa"/>
          </w:tcPr>
          <w:p>
            <w:pPr/>
            <w:r>
              <w:t xml:space="preserve">Actualizar a la última versión desde el centro de administración de Entra</w:t>
            </w:r>
          </w:p>
        </w:tc>
      </w:tr>
      <w:tr>
        <w:tc>
          <w:tcPr>
            <w:tcW w:w="1867" w:type="dxa"/>
          </w:tcPr>
          <w:p>
            <w:pPr/>
            <w:r>
              <w:t xml:space="preserve">Windows en los equipos</w:t>
            </w:r>
          </w:p>
        </w:tc>
        <w:tc>
          <w:tcPr>
            <w:tcW w:w="3918" w:type="dxa"/>
          </w:tcPr>
          <w:p>
            <w:pPr/>
            <w:r>
              <w:t xml:space="preserve">Windows 11 en versión con soporte, edición Pro o Enterprise, unido al dominio</w:t>
            </w:r>
          </w:p>
        </w:tc>
        <w:tc>
          <w:tcPr>
            <w:tcW w:w="1233" w:type="dxa"/>
          </w:tcPr>
          <w:p>
            <w:pPr/>
            <w:r>
              <w:t xml:space="preserve">Windows 11 reciente</w:t>
            </w:r>
          </w:p>
        </w:tc>
        <w:tc>
          <w:tcPr>
            <w:tcW w:w="2342" w:type="dxa"/>
          </w:tcPr>
          <w:p>
            <w:pPr/>
            <w:r>
              <w:t xml:space="preserve">Usar 25H2 o posterior; la 24H2 dejó de tener soporte en ediciones Home y Pro el 13 de octubre de 2026</w:t>
            </w:r>
          </w:p>
        </w:tc>
      </w:tr>
      <w:tr>
        <w:tc>
          <w:tcPr>
            <w:tcW w:w="1867" w:type="dxa"/>
          </w:tcPr>
          <w:p>
            <w:pPr/>
            <w:r>
              <w:t xml:space="preserve">Cliente OneDrive</w:t>
            </w:r>
          </w:p>
        </w:tc>
        <w:tc>
          <w:tcPr>
            <w:tcW w:w="3918" w:type="dxa"/>
          </w:tcPr>
          <w:p>
            <w:pPr/>
            <w:r>
              <w:t xml:space="preserve">Versión de producción actual, de preferencia instalación por equipo</w:t>
            </w:r>
          </w:p>
        </w:tc>
        <w:tc>
          <w:tcPr>
            <w:tcW w:w="1233" w:type="dxa"/>
          </w:tcPr>
          <w:p>
            <w:pPr/>
            <w:r>
              <w:t xml:space="preserve">Incluido en Windows 11</w:t>
            </w:r>
          </w:p>
        </w:tc>
        <w:tc>
          <w:tcPr>
            <w:tcW w:w="2342" w:type="dxa"/>
          </w:tcPr>
          <w:p>
            <w:pPr/>
            <w:r>
              <w:t xml:space="preserve">Mantener actualizado; tomar las plantillas ADMX de esa misma versión</w:t>
            </w:r>
          </w:p>
        </w:tc>
      </w:tr>
      <w:tr>
        <w:tc>
          <w:tcPr>
            <w:tcW w:w="1867" w:type="dxa"/>
          </w:tcPr>
          <w:p>
            <w:pPr/>
            <w:r>
              <w:t xml:space="preserve">Cuentas administrativas</w:t>
            </w:r>
          </w:p>
        </w:tc>
        <w:tc>
          <w:tcPr>
            <w:tcW w:w="3918" w:type="dxa"/>
          </w:tcPr>
          <w:p>
            <w:pPr/>
            <w:r>
              <w:t xml:space="preserve">Administrador de identidad híbrida en Entra; Administrador de empresa en AD (solo si se configura SCP)</w:t>
            </w:r>
          </w:p>
        </w:tc>
        <w:tc>
          <w:tcPr>
            <w:tcW w:w="1233" w:type="dxa"/>
          </w:tcPr>
          <w:p>
            <w:pPr/>
            <w:r>
              <w:t xml:space="preserve">Por confirmar</w:t>
            </w:r>
          </w:p>
        </w:tc>
        <w:tc>
          <w:tcPr>
            <w:tcW w:w="2342" w:type="dxa"/>
          </w:tcPr>
          <w:p>
            <w:pPr/>
            <w:r>
              <w:t xml:space="preserve">Asignar antes de la ventana de cambio</w:t>
            </w:r>
          </w:p>
        </w:tc>
      </w:tr>
    </w:tbl>
    <w:p>
      <w:pPr/>
      <w:r>
        <w:t xml:space="preserve">Para confirmar la versión de Entra Connect, revisar "Programas y características" en su servidor. Para el tipo de autenticación, ejecutar </w:t>
      </w:r>
      <w:r>
        <w:rPr>
          <w:rStyle w:val="CodeChar"/>
        </w:rPr>
        <w:t xml:space="preserve">Get-ADSyncEntraConnectorCredential</w:t>
      </w:r>
      <w:r>
        <w:t xml:space="preserve">: debe devolver Application, no ServiceAccount.</w:t>
      </w:r>
    </w:p>
    <w:p>
      <w:pPr/>
      <w:r>
        <w:t xml:space="preserve">Fuentes: </w:t>
      </w:r>
      <w:hyperlink r:id="rId4" w:history="1">
        <w:r>
          <w:rPr>
            <w:rStyle w:val="Hyperlink"/>
          </w:rPr>
          <w:t xml:space="preserve">requisitos de Entra Connect</w:t>
        </w:r>
      </w:hyperlink>
      <w:r>
        <w:t xml:space="preserve">, </w:t>
      </w:r>
      <w:hyperlink r:id="rId5" w:history="1">
        <w:r>
          <w:rPr>
            <w:rStyle w:val="Hyperlink"/>
          </w:rPr>
          <w:t xml:space="preserve">unión híbrida</w:t>
        </w:r>
      </w:hyperlink>
      <w:r>
        <w:t xml:space="preserve">, </w:t>
      </w:r>
      <w:hyperlink r:id="rId6" w:history="1">
        <w:r>
          <w:rPr>
            <w:rStyle w:val="Hyperlink"/>
          </w:rPr>
          <w:t xml:space="preserve">ciclo de vida de Windows 11</w:t>
        </w:r>
      </w:hyperlink>
      <w:r>
        <w:t xml:space="preserve">.</w:t>
      </w:r>
    </w:p>
    <w:p>
      <w:pPr>
        <w:pStyle w:val="Heading2"/>
      </w:pPr>
      <w:r>
        <w:t xml:space="preserve">Red: puertos y URL</w:t>
      </w:r>
    </w:p>
    <w:p>
      <w:pPr/>
      <w:r>
        <w:t xml:space="preserve">Los equipos solo necesitan salida HTTPS (TCP 443) hacia Microsoft; no se abre ningún puerto de entrada. El servidor de Entra Connect, además, necesita los puertos internos hacia los controladores de dominio.</w:t>
      </w:r>
    </w:p>
    <w:p>
      <w:pPr/>
      <w:r>
        <w:rPr>
          <w:b/>
        </w:rPr>
        <w:t xml:space="preserve">Equipos Windows 11 → Internet (registro de dispositivo)</w:t>
      </w:r>
    </w:p>
    <w:tbl>
      <w:tblPr>
        <w:tblStyle w:val="TableGrid"/>
        <w:tblW w:w="0" w:type="auto"/>
        <w:tblLayout w:type="fixed"/>
        <w:tblLook w:val="04A0" w:firstRow="1" w:lastRow="0" w:firstColumn="0" w:lastColumn="0" w:noHBand="0" w:noVBand="1"/>
      </w:tblPr>
      <w:tblGrid>
        <w:gridCol w:w="3136"/>
        <w:gridCol w:w="1144"/>
        <w:gridCol w:w="3511"/>
        <w:gridCol w:w="1569"/>
      </w:tblGrid>
      <w:tr>
        <w:trPr>
          <w:tblHeader/>
        </w:trPr>
        <w:tc>
          <w:tcPr>
            <w:tcW w:w="3136" w:type="dxa"/>
            <w:shd w:val="clear" w:color="auto" w:fill="F2F2F2"/>
          </w:tcPr>
          <w:p>
            <w:pPr/>
            <w:r>
              <w:t xml:space="preserve">Destino</w:t>
            </w:r>
          </w:p>
        </w:tc>
        <w:tc>
          <w:tcPr>
            <w:tcW w:w="1144" w:type="dxa"/>
            <w:shd w:val="clear" w:color="auto" w:fill="F2F2F2"/>
          </w:tcPr>
          <w:p>
            <w:pPr/>
            <w:r>
              <w:t xml:space="preserve">Puerto</w:t>
            </w:r>
          </w:p>
        </w:tc>
        <w:tc>
          <w:tcPr>
            <w:tcW w:w="3511" w:type="dxa"/>
            <w:shd w:val="clear" w:color="auto" w:fill="F2F2F2"/>
          </w:tcPr>
          <w:p>
            <w:pPr/>
            <w:r>
              <w:t xml:space="preserve">Uso</w:t>
            </w:r>
          </w:p>
        </w:tc>
        <w:tc>
          <w:tcPr>
            <w:tcW w:w="1569" w:type="dxa"/>
            <w:shd w:val="clear" w:color="auto" w:fill="F2F2F2"/>
          </w:tcPr>
          <w:p>
            <w:pPr/>
            <w:r>
              <w:t xml:space="preserve">Nota</w:t>
            </w:r>
          </w:p>
        </w:tc>
      </w:tr>
      <w:tr>
        <w:tc>
          <w:tcPr>
            <w:tcW w:w="3136" w:type="dxa"/>
          </w:tcPr>
          <w:p>
            <w:pPr/>
            <w:r>
              <w:t xml:space="preserve">enterpriseregistration.windows.net</w:t>
            </w:r>
          </w:p>
        </w:tc>
        <w:tc>
          <w:tcPr>
            <w:tcW w:w="1144" w:type="dxa"/>
          </w:tcPr>
          <w:p>
            <w:pPr/>
            <w:r>
              <w:t xml:space="preserve">TCP 443</w:t>
            </w:r>
          </w:p>
        </w:tc>
        <w:tc>
          <w:tcPr>
            <w:tcW w:w="3511" w:type="dxa"/>
          </w:tcPr>
          <w:p>
            <w:pPr/>
            <w:r>
              <w:t xml:space="preserve">Registro del dispositivo</w:t>
            </w:r>
          </w:p>
        </w:tc>
        <w:tc>
          <w:tcPr>
            <w:tcW w:w="1569" w:type="dxa"/>
          </w:tcPr>
          <w:p>
            <w:pPr/>
            <w:r>
              <w:t xml:space="preserve">Excluir de la inspección TLS</w:t>
            </w:r>
          </w:p>
        </w:tc>
      </w:tr>
      <w:tr>
        <w:tc>
          <w:tcPr>
            <w:tcW w:w="3136" w:type="dxa"/>
          </w:tcPr>
          <w:p>
            <w:pPr/>
            <w:r>
              <w:t xml:space="preserve">login.microsoftonline.com</w:t>
            </w:r>
          </w:p>
        </w:tc>
        <w:tc>
          <w:tcPr>
            <w:tcW w:w="1144" w:type="dxa"/>
          </w:tcPr>
          <w:p>
            <w:pPr/>
            <w:r>
              <w:t xml:space="preserve">TCP 443</w:t>
            </w:r>
          </w:p>
        </w:tc>
        <w:tc>
          <w:tcPr>
            <w:tcW w:w="3511" w:type="dxa"/>
          </w:tcPr>
          <w:p>
            <w:pPr/>
            <w:r>
              <w:t xml:space="preserve">Autenticación y token PRT</w:t>
            </w:r>
          </w:p>
        </w:tc>
        <w:tc>
          <w:tcPr>
            <w:tcW w:w="1569" w:type="dxa"/>
          </w:tcPr>
          <w:p>
            <w:pPr/>
          </w:p>
        </w:tc>
      </w:tr>
      <w:tr>
        <w:tc>
          <w:tcPr>
            <w:tcW w:w="3136" w:type="dxa"/>
          </w:tcPr>
          <w:p>
            <w:pPr/>
            <w:r>
              <w:t xml:space="preserve">device.login.microsoftonline.com</w:t>
            </w:r>
          </w:p>
        </w:tc>
        <w:tc>
          <w:tcPr>
            <w:tcW w:w="1144" w:type="dxa"/>
          </w:tcPr>
          <w:p>
            <w:pPr/>
            <w:r>
              <w:t xml:space="preserve">TCP 443</w:t>
            </w:r>
          </w:p>
        </w:tc>
        <w:tc>
          <w:tcPr>
            <w:tcW w:w="3511" w:type="dxa"/>
          </w:tcPr>
          <w:p>
            <w:pPr/>
            <w:r>
              <w:t xml:space="preserve">Autenticación con certificado del dispositivo</w:t>
            </w:r>
          </w:p>
        </w:tc>
        <w:tc>
          <w:tcPr>
            <w:tcW w:w="1569" w:type="dxa"/>
          </w:tcPr>
          <w:p>
            <w:pPr/>
            <w:r>
              <w:t xml:space="preserve">Excluir de la inspección TLS</w:t>
            </w:r>
          </w:p>
        </w:tc>
      </w:tr>
      <w:tr>
        <w:tc>
          <w:tcPr>
            <w:tcW w:w="3136" w:type="dxa"/>
          </w:tcPr>
          <w:p>
            <w:pPr/>
            <w:r>
              <w:t xml:space="preserve">autologon.microsoftazuread-sso.com</w:t>
            </w:r>
          </w:p>
        </w:tc>
        <w:tc>
          <w:tcPr>
            <w:tcW w:w="1144" w:type="dxa"/>
          </w:tcPr>
          <w:p>
            <w:pPr/>
            <w:r>
              <w:t xml:space="preserve">TCP 443</w:t>
            </w:r>
          </w:p>
        </w:tc>
        <w:tc>
          <w:tcPr>
            <w:tcW w:w="3511" w:type="dxa"/>
          </w:tcPr>
          <w:p>
            <w:pPr/>
            <w:r>
              <w:t xml:space="preserve">Solo si se usa SSO de conexión directa (Seamless SSO)</w:t>
            </w:r>
          </w:p>
        </w:tc>
        <w:tc>
          <w:tcPr>
            <w:tcW w:w="1569" w:type="dxa"/>
          </w:tcPr>
          <w:p>
            <w:pPr/>
          </w:p>
        </w:tc>
      </w:tr>
    </w:tbl>
    <w:p>
      <w:pPr/>
      <w:r>
        <w:t xml:space="preserve">El registro corre en contexto de equipo (SYSTEM), no de usuario. Si hay proxy, debe resolverse por WPAD o por proxy WinHTTP configurado por GPO; si el proxy exige autenticación, debe aceptar la cuenta del equipo. Microsoft ofrece el script Test Device Registration Connectivity para comprobarlo bajo la cuenta del sistema (</w:t>
      </w:r>
      <w:hyperlink r:id="rId5" w:history="1">
        <w:r>
          <w:rPr>
            <w:rStyle w:val="Hyperlink"/>
          </w:rPr>
          <w:t xml:space="preserve">Microsoft Learn</w:t>
        </w:r>
      </w:hyperlink>
      <w:r>
        <w:t xml:space="preserve">).</w:t>
      </w:r>
    </w:p>
    <w:p>
      <w:pPr/>
      <w:r>
        <w:rPr>
          <w:b/>
        </w:rPr>
        <w:t xml:space="preserve">Equipos Windows 11 → Internet (OneDrive)</w:t>
      </w:r>
    </w:p>
    <w:tbl>
      <w:tblPr>
        <w:tblStyle w:val="TableGrid"/>
        <w:tblW w:w="0" w:type="auto"/>
        <w:tblLayout w:type="fixed"/>
        <w:tblLook w:val="04A0" w:firstRow="1" w:lastRow="0" w:firstColumn="0" w:lastColumn="0" w:noHBand="0" w:noVBand="1"/>
      </w:tblPr>
      <w:tblGrid>
        <w:gridCol w:w="4599"/>
        <w:gridCol w:w="1500"/>
        <w:gridCol w:w="3260"/>
      </w:tblGrid>
      <w:tr>
        <w:trPr>
          <w:tblHeader/>
        </w:trPr>
        <w:tc>
          <w:tcPr>
            <w:tcW w:w="4599" w:type="dxa"/>
            <w:shd w:val="clear" w:color="auto" w:fill="F2F2F2"/>
          </w:tcPr>
          <w:p>
            <w:pPr/>
            <w:r>
              <w:t xml:space="preserve">Destino</w:t>
            </w:r>
          </w:p>
        </w:tc>
        <w:tc>
          <w:tcPr>
            <w:tcW w:w="1500" w:type="dxa"/>
            <w:shd w:val="clear" w:color="auto" w:fill="F2F2F2"/>
          </w:tcPr>
          <w:p>
            <w:pPr/>
            <w:r>
              <w:t xml:space="preserve">Puerto</w:t>
            </w:r>
          </w:p>
        </w:tc>
        <w:tc>
          <w:tcPr>
            <w:tcW w:w="3260" w:type="dxa"/>
            <w:shd w:val="clear" w:color="auto" w:fill="F2F2F2"/>
          </w:tcPr>
          <w:p>
            <w:pPr/>
            <w:r>
              <w:t xml:space="preserve">Uso</w:t>
            </w:r>
          </w:p>
        </w:tc>
      </w:tr>
      <w:tr>
        <w:tc>
          <w:tcPr>
            <w:tcW w:w="4599" w:type="dxa"/>
          </w:tcPr>
          <w:p>
            <w:pPr/>
            <w:r>
              <w:rPr>
                <w:rStyle w:val="CodeChar"/>
              </w:rPr>
              <w:t xml:space="preserve">&lt;inquilino&gt;.sharepoint.com</w:t>
            </w:r>
            <w:r>
              <w:t xml:space="preserve"> y </w:t>
            </w:r>
            <w:r>
              <w:rPr>
                <w:rStyle w:val="CodeChar"/>
              </w:rPr>
              <w:t xml:space="preserve">&lt;inquilino&gt;-my.sharepoint.com</w:t>
            </w:r>
          </w:p>
        </w:tc>
        <w:tc>
          <w:tcPr>
            <w:tcW w:w="1500" w:type="dxa"/>
          </w:tcPr>
          <w:p>
            <w:pPr/>
            <w:r>
              <w:t xml:space="preserve">TCP 443</w:t>
            </w:r>
          </w:p>
        </w:tc>
        <w:tc>
          <w:tcPr>
            <w:tcW w:w="3260" w:type="dxa"/>
          </w:tcPr>
          <w:p>
            <w:pPr/>
            <w:r>
              <w:t xml:space="preserve">Sincronización de OneDrive</w:t>
            </w:r>
          </w:p>
        </w:tc>
      </w:tr>
      <w:tr>
        <w:tc>
          <w:tcPr>
            <w:tcW w:w="4599" w:type="dxa"/>
          </w:tcPr>
          <w:p>
            <w:pPr/>
            <w:r>
              <w:t xml:space="preserve">*.sharepoint.com, *.svc.ms, *.wns.windows.com</w:t>
            </w:r>
          </w:p>
        </w:tc>
        <w:tc>
          <w:tcPr>
            <w:tcW w:w="1500" w:type="dxa"/>
          </w:tcPr>
          <w:p>
            <w:pPr/>
            <w:r>
              <w:t xml:space="preserve">TCP 443</w:t>
            </w:r>
          </w:p>
        </w:tc>
        <w:tc>
          <w:tcPr>
            <w:tcW w:w="3260" w:type="dxa"/>
          </w:tcPr>
          <w:p>
            <w:pPr/>
            <w:r>
              <w:t xml:space="preserve">Servicio y notificaciones de cambios</w:t>
            </w:r>
          </w:p>
        </w:tc>
      </w:tr>
      <w:tr>
        <w:tc>
          <w:tcPr>
            <w:tcW w:w="4599" w:type="dxa"/>
          </w:tcPr>
          <w:p>
            <w:pPr/>
            <w:r>
              <w:t xml:space="preserve">oneclient.sfx.ms, g.live.com</w:t>
            </w:r>
          </w:p>
        </w:tc>
        <w:tc>
          <w:tcPr>
            <w:tcW w:w="1500" w:type="dxa"/>
          </w:tcPr>
          <w:p>
            <w:pPr/>
            <w:r>
              <w:t xml:space="preserve">TCP 80/443</w:t>
            </w:r>
          </w:p>
        </w:tc>
        <w:tc>
          <w:tcPr>
            <w:tcW w:w="3260" w:type="dxa"/>
          </w:tcPr>
          <w:p>
            <w:pPr/>
            <w:r>
              <w:t xml:space="preserve">Actualizaciones del cliente OneDrive</w:t>
            </w:r>
          </w:p>
        </w:tc>
      </w:tr>
    </w:tbl>
    <w:p>
      <w:pPr/>
      <w:r>
        <w:t xml:space="preserve">La lista oficial y completa está en la sección "SharePoint Online y OneDrive para el trabajo" de </w:t>
      </w:r>
      <w:hyperlink r:id="rId7" w:history="1">
        <w:r>
          <w:rPr>
            <w:rStyle w:val="Hyperlink"/>
          </w:rPr>
          <w:t xml:space="preserve">URL e intervalos IP de Microsoft 365</w:t>
        </w:r>
      </w:hyperlink>
      <w:r>
        <w:t xml:space="preserve">. Se recomienda permitirla por FQDN y no por IP.</w:t>
      </w:r>
    </w:p>
    <w:p>
      <w:pPr/>
      <w:r>
        <w:rPr>
          <w:b/>
        </w:rPr>
        <w:t xml:space="preserve">Servidor de Entra Connect</w:t>
      </w:r>
    </w:p>
    <w:tbl>
      <w:tblPr>
        <w:tblStyle w:val="TableGrid"/>
        <w:tblW w:w="0" w:type="auto"/>
        <w:tblLayout w:type="fixed"/>
        <w:tblLook w:val="04A0" w:firstRow="1" w:lastRow="0" w:firstColumn="0" w:lastColumn="0" w:noHBand="0" w:noVBand="1"/>
      </w:tblPr>
      <w:tblGrid>
        <w:gridCol w:w="2520"/>
        <w:gridCol w:w="4920"/>
        <w:gridCol w:w="1920"/>
      </w:tblGrid>
      <w:tr>
        <w:trPr>
          <w:tblHeader/>
        </w:trPr>
        <w:tc>
          <w:tcPr>
            <w:tcW w:w="2520" w:type="dxa"/>
            <w:shd w:val="clear" w:color="auto" w:fill="F2F2F2"/>
          </w:tcPr>
          <w:p>
            <w:pPr/>
            <w:r>
              <w:t xml:space="preserve">Origen → destino</w:t>
            </w:r>
          </w:p>
        </w:tc>
        <w:tc>
          <w:tcPr>
            <w:tcW w:w="4920" w:type="dxa"/>
            <w:shd w:val="clear" w:color="auto" w:fill="F2F2F2"/>
          </w:tcPr>
          <w:p>
            <w:pPr/>
            <w:r>
              <w:t xml:space="preserve">Puertos</w:t>
            </w:r>
          </w:p>
        </w:tc>
        <w:tc>
          <w:tcPr>
            <w:tcW w:w="1920" w:type="dxa"/>
            <w:shd w:val="clear" w:color="auto" w:fill="F2F2F2"/>
          </w:tcPr>
          <w:p>
            <w:pPr/>
            <w:r>
              <w:t xml:space="preserve">Uso</w:t>
            </w:r>
          </w:p>
        </w:tc>
      </w:tr>
      <w:tr>
        <w:tc>
          <w:tcPr>
            <w:tcW w:w="2520" w:type="dxa"/>
          </w:tcPr>
          <w:p>
            <w:pPr/>
            <w:r>
              <w:t xml:space="preserve">Entra Connect → controladores de dominio</w:t>
            </w:r>
          </w:p>
        </w:tc>
        <w:tc>
          <w:tcPr>
            <w:tcW w:w="4920" w:type="dxa"/>
          </w:tcPr>
          <w:p>
            <w:pPr/>
            <w:r>
              <w:t xml:space="preserve">TCP/UDP 53 (DNS), TCP/UDP 88 (Kerberos), TCP 135 (RPC), TCP/UDP 389 (LDAP), TCP 445 (SMB), TCP 49152–65535 (RPC dinámico)</w:t>
            </w:r>
          </w:p>
        </w:tc>
        <w:tc>
          <w:tcPr>
            <w:tcW w:w="1920" w:type="dxa"/>
          </w:tcPr>
          <w:p>
            <w:pPr/>
            <w:r>
              <w:t xml:space="preserve">Lectura de AD y sincronización</w:t>
            </w:r>
          </w:p>
        </w:tc>
      </w:tr>
      <w:tr>
        <w:tc>
          <w:tcPr>
            <w:tcW w:w="2520" w:type="dxa"/>
          </w:tcPr>
          <w:p>
            <w:pPr/>
            <w:r>
              <w:t xml:space="preserve">Entra Connect → Internet</w:t>
            </w:r>
          </w:p>
        </w:tc>
        <w:tc>
          <w:tcPr>
            <w:tcW w:w="4920" w:type="dxa"/>
          </w:tcPr>
          <w:p>
            <w:pPr/>
            <w:r>
              <w:t xml:space="preserve">TCP 443 (y TCP 80 para listas de revocación de certificados)</w:t>
            </w:r>
          </w:p>
        </w:tc>
        <w:tc>
          <w:tcPr>
            <w:tcW w:w="1920" w:type="dxa"/>
          </w:tcPr>
          <w:p>
            <w:pPr/>
            <w:r>
              <w:t xml:space="preserve">Comunicación con Entra ID</w:t>
            </w:r>
          </w:p>
        </w:tc>
      </w:tr>
    </w:tbl>
    <w:p>
      <w:pPr/>
      <w:r>
        <w:t xml:space="preserve">Fuente: </w:t>
      </w:r>
      <w:hyperlink r:id="rId8" w:history="1">
        <w:r>
          <w:rPr>
            <w:rStyle w:val="Hyperlink"/>
          </w:rPr>
          <w:t xml:space="preserve">puertos de identidad híbrida</w:t>
        </w:r>
      </w:hyperlink>
      <w:r>
        <w:t xml:space="preserve">.</w:t>
      </w:r>
    </w:p>
    <w:p>
      <w:pPr>
        <w:pStyle w:val="Heading2"/>
      </w:pPr>
      <w:r>
        <w:t xml:space="preserve">Ancho de banda para 100 equipos</w:t>
      </w:r>
    </w:p>
    <w:p>
      <w:pPr/>
      <w:r>
        <w:t xml:space="preserve">La unión híbrida casi no consume ancho de banda: son unas cuantas solicitudes HTTPS de kilobytes por equipo. El consumo real lo genera la primera carga a OneDrive de Escritorio, Documentos e Imágenes, y depende del volumen de datos, no del número de equipos.</w:t>
      </w:r>
    </w:p>
    <w:p>
      <w:pPr/>
      <w:r>
        <w:rPr>
          <w:b/>
        </w:rPr>
        <w:t xml:space="preserve">Horas estimadas de carga inicial para 100 equipos</w:t>
      </w:r>
      <w:r>
        <w:t xml:space="preserve">, usando el 70 % del ancho de banda de subida (el valor por defecto del cliente OneDrive en "Ajustar automáticamente"):</w:t>
      </w:r>
    </w:p>
    <w:tbl>
      <w:tblPr>
        <w:tblStyle w:val="TableGrid"/>
        <w:tblW w:w="0" w:type="auto"/>
        <w:tblLayout w:type="fixed"/>
        <w:tblLook w:val="04A0" w:firstRow="1" w:lastRow="0" w:firstColumn="0" w:lastColumn="0" w:noHBand="0" w:noVBand="1"/>
      </w:tblPr>
      <w:tblGrid>
        <w:gridCol w:w="2110"/>
        <w:gridCol w:w="1996"/>
        <w:gridCol w:w="1767"/>
        <w:gridCol w:w="1767"/>
        <w:gridCol w:w="1720"/>
      </w:tblGrid>
      <w:tr>
        <w:trPr>
          <w:tblHeader/>
        </w:trPr>
        <w:tc>
          <w:tcPr>
            <w:tcW w:w="2110" w:type="dxa"/>
            <w:shd w:val="clear" w:color="auto" w:fill="F2F2F2"/>
          </w:tcPr>
          <w:p>
            <w:pPr/>
            <w:r>
              <w:t xml:space="preserve">Volumen promedio por equipo</w:t>
            </w:r>
          </w:p>
        </w:tc>
        <w:tc>
          <w:tcPr>
            <w:tcW w:w="1996" w:type="dxa"/>
            <w:shd w:val="clear" w:color="auto" w:fill="F2F2F2"/>
          </w:tcPr>
          <w:p>
            <w:pPr/>
            <w:r>
              <w:t xml:space="preserve">Total (100 equipos)</w:t>
            </w:r>
          </w:p>
        </w:tc>
        <w:tc>
          <w:tcPr>
            <w:tcW w:w="1767" w:type="dxa"/>
            <w:shd w:val="clear" w:color="auto" w:fill="F2F2F2"/>
          </w:tcPr>
          <w:p>
            <w:pPr/>
            <w:r>
              <w:t xml:space="preserve">Subida de 50 Mbps</w:t>
            </w:r>
          </w:p>
        </w:tc>
        <w:tc>
          <w:tcPr>
            <w:tcW w:w="1767" w:type="dxa"/>
            <w:shd w:val="clear" w:color="auto" w:fill="F2F2F2"/>
          </w:tcPr>
          <w:p>
            <w:pPr/>
            <w:r>
              <w:t xml:space="preserve">Subida de 100 Mbps</w:t>
            </w:r>
          </w:p>
        </w:tc>
        <w:tc>
          <w:tcPr>
            <w:tcW w:w="1720" w:type="dxa"/>
            <w:shd w:val="clear" w:color="auto" w:fill="F2F2F2"/>
          </w:tcPr>
          <w:p>
            <w:pPr/>
            <w:r>
              <w:t xml:space="preserve">Subida de 200 Mbps</w:t>
            </w:r>
          </w:p>
        </w:tc>
      </w:tr>
      <w:tr>
        <w:tc>
          <w:tcPr>
            <w:tcW w:w="2110" w:type="dxa"/>
          </w:tcPr>
          <w:p>
            <w:pPr/>
            <w:r>
              <w:t xml:space="preserve">2 GB</w:t>
            </w:r>
          </w:p>
        </w:tc>
        <w:tc>
          <w:tcPr>
            <w:tcW w:w="1996" w:type="dxa"/>
          </w:tcPr>
          <w:p>
            <w:pPr/>
            <w:r>
              <w:t xml:space="preserve">200 GB</w:t>
            </w:r>
          </w:p>
        </w:tc>
        <w:tc>
          <w:tcPr>
            <w:tcW w:w="1767" w:type="dxa"/>
          </w:tcPr>
          <w:p>
            <w:pPr/>
            <w:r>
              <w:t xml:space="preserve">12.7 h</w:t>
            </w:r>
          </w:p>
        </w:tc>
        <w:tc>
          <w:tcPr>
            <w:tcW w:w="1767" w:type="dxa"/>
          </w:tcPr>
          <w:p>
            <w:pPr/>
            <w:r>
              <w:t xml:space="preserve">6.3 h</w:t>
            </w:r>
          </w:p>
        </w:tc>
        <w:tc>
          <w:tcPr>
            <w:tcW w:w="1720" w:type="dxa"/>
          </w:tcPr>
          <w:p>
            <w:pPr/>
            <w:r>
              <w:t xml:space="preserve">3.2 h</w:t>
            </w:r>
          </w:p>
        </w:tc>
      </w:tr>
      <w:tr>
        <w:tc>
          <w:tcPr>
            <w:tcW w:w="2110" w:type="dxa"/>
          </w:tcPr>
          <w:p>
            <w:pPr/>
            <w:r>
              <w:t xml:space="preserve">5 GB</w:t>
            </w:r>
          </w:p>
        </w:tc>
        <w:tc>
          <w:tcPr>
            <w:tcW w:w="1996" w:type="dxa"/>
          </w:tcPr>
          <w:p>
            <w:pPr/>
            <w:r>
              <w:t xml:space="preserve">500 GB</w:t>
            </w:r>
          </w:p>
        </w:tc>
        <w:tc>
          <w:tcPr>
            <w:tcW w:w="1767" w:type="dxa"/>
          </w:tcPr>
          <w:p>
            <w:pPr/>
            <w:r>
              <w:t xml:space="preserve">31.7 h</w:t>
            </w:r>
          </w:p>
        </w:tc>
        <w:tc>
          <w:tcPr>
            <w:tcW w:w="1767" w:type="dxa"/>
          </w:tcPr>
          <w:p>
            <w:pPr/>
            <w:r>
              <w:t xml:space="preserve">15.9 h</w:t>
            </w:r>
          </w:p>
        </w:tc>
        <w:tc>
          <w:tcPr>
            <w:tcW w:w="1720" w:type="dxa"/>
          </w:tcPr>
          <w:p>
            <w:pPr/>
            <w:r>
              <w:t xml:space="preserve">7.9 h</w:t>
            </w:r>
          </w:p>
        </w:tc>
      </w:tr>
      <w:tr>
        <w:tc>
          <w:tcPr>
            <w:tcW w:w="2110" w:type="dxa"/>
          </w:tcPr>
          <w:p>
            <w:pPr/>
            <w:r>
              <w:t xml:space="preserve">10 GB</w:t>
            </w:r>
          </w:p>
        </w:tc>
        <w:tc>
          <w:tcPr>
            <w:tcW w:w="1996" w:type="dxa"/>
          </w:tcPr>
          <w:p>
            <w:pPr/>
            <w:r>
              <w:t xml:space="preserve">1,000 GB</w:t>
            </w:r>
          </w:p>
        </w:tc>
        <w:tc>
          <w:tcPr>
            <w:tcW w:w="1767" w:type="dxa"/>
          </w:tcPr>
          <w:p>
            <w:pPr/>
            <w:r>
              <w:t xml:space="preserve">63.5 h</w:t>
            </w:r>
          </w:p>
        </w:tc>
        <w:tc>
          <w:tcPr>
            <w:tcW w:w="1767" w:type="dxa"/>
          </w:tcPr>
          <w:p>
            <w:pPr/>
            <w:r>
              <w:t xml:space="preserve">31.7 h</w:t>
            </w:r>
          </w:p>
        </w:tc>
        <w:tc>
          <w:tcPr>
            <w:tcW w:w="1720" w:type="dxa"/>
          </w:tcPr>
          <w:p>
            <w:pPr/>
            <w:r>
              <w:t xml:space="preserve">15.9 h</w:t>
            </w:r>
          </w:p>
        </w:tc>
      </w:tr>
    </w:tbl>
    <w:p>
      <w:pPr/>
      <w:r>
        <w:t xml:space="preserve">Fórmula: horas = GB totales × 8,000 ÷ (Mbps de subida × 0.7) ÷ 3,600. Lo importante es la velocidad de </w:t>
      </w:r>
      <w:r>
        <w:rPr>
          <w:b/>
        </w:rPr>
        <w:t xml:space="preserve">subida</w:t>
      </w:r>
      <w:r>
        <w:t xml:space="preserve"> del enlace a Internet, no la de bajada.</w:t>
      </w:r>
    </w:p>
    <w:p>
      <w:pPr/>
      <w:r>
        <w:t xml:space="preserve">Recomendaciones para no saturar el enlace:</w:t>
      </w:r>
    </w:p>
    <w:p>
      <w:pPr>
        <w:pStyle w:val="ListParagraph"/>
        <w:numPr>
          <w:ilvl w:val="0"/>
          <w:numId w:val="3"/>
        </w:numPr>
      </w:pPr>
      <w:r>
        <w:t xml:space="preserve">Medir el volumen real antes: el tamaño de las tres carpetas en una muestra de 5 a 10 equipos da el promedio.</w:t>
      </w:r>
    </w:p>
    <w:p>
      <w:pPr>
        <w:pStyle w:val="ListParagraph"/>
        <w:numPr>
          <w:ilvl w:val="0"/>
          <w:numId w:val="3"/>
        </w:numPr>
      </w:pPr>
      <w:r>
        <w:t xml:space="preserve">Desplegar por oleadas de 10 a 25 equipos. Microsoft recomienda no superar 1,000 equipos al día ni 4,000 por semana con el movimiento silencioso.</w:t>
      </w:r>
    </w:p>
    <w:p>
      <w:pPr>
        <w:pStyle w:val="ListParagraph"/>
        <w:numPr>
          <w:ilvl w:val="0"/>
          <w:numId w:val="3"/>
        </w:numPr>
      </w:pPr>
      <w:r>
        <w:t xml:space="preserve">Habilitar temporalmente "Limitar la velocidad de carga de la aplicación de sincronización a un porcentaje del rendimiento" (Configuración del equipo); Microsoft recomienda 50 % o más. Como alternativa, "Habilitar la administración automática del ancho de banda de carga" solo usa el ancho de banda libre. No combinar ninguna con el límite fijo.</w:t>
      </w:r>
    </w:p>
    <w:p>
      <w:pPr>
        <w:pStyle w:val="ListParagraph"/>
        <w:numPr>
          <w:ilvl w:val="0"/>
          <w:numId w:val="3"/>
        </w:numPr>
      </w:pPr>
      <w:r>
        <w:t xml:space="preserve">Mantener Archivos a petición activo: evita que cada equipo descargue todo su OneDrive.</w:t>
      </w:r>
    </w:p>
    <w:p>
      <w:pPr>
        <w:pStyle w:val="ListParagraph"/>
        <w:numPr>
          <w:ilvl w:val="0"/>
          <w:numId w:val="3"/>
        </w:numPr>
      </w:pPr>
      <w:r>
        <w:t xml:space="preserve">Si hay QoS en la red, puede aplicarse una directiva solo al proceso </w:t>
      </w:r>
      <w:r>
        <w:rPr>
          <w:rStyle w:val="CodeChar"/>
        </w:rPr>
        <w:t xml:space="preserve">onedrive.exe</w:t>
      </w:r>
      <w:r>
        <w:t xml:space="preserve">.</w:t>
      </w:r>
    </w:p>
    <w:p>
      <w:pPr/>
      <w:r>
        <w:t xml:space="preserve">Fuentes: </w:t>
      </w:r>
      <w:hyperlink r:id="rId3" w:history="1">
        <w:r>
          <w:rPr>
            <w:rStyle w:val="Hyperlink"/>
          </w:rPr>
          <w:t xml:space="preserve">directivas de OneDrive</w:t>
        </w:r>
      </w:hyperlink>
      <w:r>
        <w:t xml:space="preserve">, </w:t>
      </w:r>
      <w:hyperlink r:id="rId9" w:history="1">
        <w:r>
          <w:rPr>
            <w:rStyle w:val="Hyperlink"/>
          </w:rPr>
          <w:t xml:space="preserve">planeación de uso de red</w:t>
        </w:r>
      </w:hyperlink>
      <w:r>
        <w:t xml:space="preserve">.</w:t>
      </w:r>
    </w:p>
    <w:p>
      <w:pPr>
        <w:pStyle w:val="Heading2"/>
      </w:pPr>
      <w:r>
        <w:t xml:space="preserve">Exclusiones del antivirus</w:t>
      </w:r>
    </w:p>
    <w:p>
      <w:pPr/>
      <w:r>
        <w:t xml:space="preserve">Microsoft no publica una lista obligatoria de exclusiones de antivirus para OneDrive ni para la unión híbrida, y no se recomienda excluir las carpetas de usuario: son justo las que se quieren proteger, incluso contra ransomware. Lo que sí hay que revisar es que el antivirus o EDR no interfiera con estos puntos:</w:t>
      </w:r>
    </w:p>
    <w:tbl>
      <w:tblPr>
        <w:tblStyle w:val="TableGrid"/>
        <w:tblW w:w="0" w:type="auto"/>
        <w:tblLayout w:type="fixed"/>
        <w:tblLook w:val="04A0" w:firstRow="1" w:lastRow="0" w:firstColumn="0" w:lastColumn="0" w:noHBand="0" w:noVBand="1"/>
      </w:tblPr>
      <w:tblGrid>
        <w:gridCol w:w="1850"/>
        <w:gridCol w:w="3082"/>
        <w:gridCol w:w="4428"/>
      </w:tblGrid>
      <w:tr>
        <w:trPr>
          <w:tblHeader/>
        </w:trPr>
        <w:tc>
          <w:tcPr>
            <w:tcW w:w="1850" w:type="dxa"/>
            <w:shd w:val="clear" w:color="auto" w:fill="F2F2F2"/>
          </w:tcPr>
          <w:p>
            <w:pPr/>
            <w:r>
              <w:t xml:space="preserve">Punto a revisar</w:t>
            </w:r>
          </w:p>
        </w:tc>
        <w:tc>
          <w:tcPr>
            <w:tcW w:w="3082" w:type="dxa"/>
            <w:shd w:val="clear" w:color="auto" w:fill="F2F2F2"/>
          </w:tcPr>
          <w:p>
            <w:pPr/>
            <w:r>
              <w:t xml:space="preserve">Riesgo</w:t>
            </w:r>
          </w:p>
        </w:tc>
        <w:tc>
          <w:tcPr>
            <w:tcW w:w="4428" w:type="dxa"/>
            <w:shd w:val="clear" w:color="auto" w:fill="F2F2F2"/>
          </w:tcPr>
          <w:p>
            <w:pPr/>
            <w:r>
              <w:t xml:space="preserve">Qué hacer</w:t>
            </w:r>
          </w:p>
        </w:tc>
      </w:tr>
      <w:tr>
        <w:tc>
          <w:tcPr>
            <w:tcW w:w="1850" w:type="dxa"/>
          </w:tcPr>
          <w:p>
            <w:pPr/>
            <w:r>
              <w:t xml:space="preserve">Inspección TLS del proxy o del EDR</w:t>
            </w:r>
          </w:p>
        </w:tc>
        <w:tc>
          <w:tcPr>
            <w:tcW w:w="3082" w:type="dxa"/>
          </w:tcPr>
          <w:p>
            <w:pPr/>
            <w:r>
              <w:t xml:space="preserve">Rompe el registro con certificado del dispositivo</w:t>
            </w:r>
          </w:p>
        </w:tc>
        <w:tc>
          <w:tcPr>
            <w:tcW w:w="4428" w:type="dxa"/>
          </w:tcPr>
          <w:p>
            <w:pPr/>
            <w:r>
              <w:t xml:space="preserve">Excluir enterpriseregistration.windows.net y device.login.microsoftonline.com (exigido por Microsoft)</w:t>
            </w:r>
          </w:p>
        </w:tc>
      </w:tr>
      <w:tr>
        <w:tc>
          <w:tcPr>
            <w:tcW w:w="1850" w:type="dxa"/>
          </w:tcPr>
          <w:p>
            <w:pPr/>
            <w:r>
              <w:t xml:space="preserve">Escaneos completos sobre archivos "solo en línea"</w:t>
            </w:r>
          </w:p>
        </w:tc>
        <w:tc>
          <w:tcPr>
            <w:tcW w:w="3082" w:type="dxa"/>
          </w:tcPr>
          <w:p>
            <w:pPr/>
            <w:r>
              <w:t xml:space="preserve">Un antivirus que abre cada archivo fuerza su descarga y anula Archivos a petición</w:t>
            </w:r>
          </w:p>
        </w:tc>
        <w:tc>
          <w:tcPr>
            <w:tcW w:w="4428" w:type="dxa"/>
          </w:tcPr>
          <w:p>
            <w:pPr/>
            <w:r>
              <w:t xml:space="preserve">Confirmar con el fabricante que respeta los archivos de marcador de posición de la nube (Cloud Files); Microsoft Defender ya lo hace</w:t>
            </w:r>
          </w:p>
        </w:tc>
      </w:tr>
      <w:tr>
        <w:tc>
          <w:tcPr>
            <w:tcW w:w="1850" w:type="dxa"/>
          </w:tcPr>
          <w:p>
            <w:pPr/>
            <w:r>
              <w:t xml:space="preserve">Control de aplicaciones o EDR</w:t>
            </w:r>
          </w:p>
        </w:tc>
        <w:tc>
          <w:tcPr>
            <w:tcW w:w="3082" w:type="dxa"/>
          </w:tcPr>
          <w:p>
            <w:pPr/>
            <w:r>
              <w:t xml:space="preserve">Puede bloquear </w:t>
            </w:r>
            <w:r>
              <w:rPr>
                <w:rStyle w:val="CodeChar"/>
              </w:rPr>
              <w:t xml:space="preserve">OneDrive.exe</w:t>
            </w:r>
            <w:r>
              <w:t xml:space="preserve">, </w:t>
            </w:r>
            <w:r>
              <w:rPr>
                <w:rStyle w:val="CodeChar"/>
              </w:rPr>
              <w:t xml:space="preserve">FileCoAuth.exe</w:t>
            </w:r>
            <w:r>
              <w:t xml:space="preserve"> o la tarea Automatic-Device-Join</w:t>
            </w:r>
          </w:p>
        </w:tc>
        <w:tc>
          <w:tcPr>
            <w:tcW w:w="4428" w:type="dxa"/>
          </w:tcPr>
          <w:p>
            <w:pPr/>
            <w:r>
              <w:t xml:space="preserve">Permitir los ejecutables firmados por Microsoft y la tarea programada en </w:t>
            </w:r>
            <w:r>
              <w:rPr>
                <w:rStyle w:val="CodeChar"/>
              </w:rPr>
              <w:t xml:space="preserve">\Microsoft\Windows\Workplace Join</w:t>
            </w:r>
          </w:p>
        </w:tc>
      </w:tr>
      <w:tr>
        <w:tc>
          <w:tcPr>
            <w:tcW w:w="1850" w:type="dxa"/>
          </w:tcPr>
          <w:p>
            <w:pPr/>
            <w:r>
              <w:t xml:space="preserve">Firewall del equipo</w:t>
            </w:r>
          </w:p>
        </w:tc>
        <w:tc>
          <w:tcPr>
            <w:tcW w:w="3082" w:type="dxa"/>
          </w:tcPr>
          <w:p>
            <w:pPr/>
            <w:r>
              <w:t xml:space="preserve">Bloquea la salida a los dominios de la sección de red</w:t>
            </w:r>
          </w:p>
        </w:tc>
        <w:tc>
          <w:tcPr>
            <w:tcW w:w="4428" w:type="dxa"/>
          </w:tcPr>
          <w:p>
            <w:pPr/>
            <w:r>
              <w:t xml:space="preserve">Permitir la salida HTTPS a esos destinos</w:t>
            </w:r>
          </w:p>
        </w:tc>
      </w:tr>
    </w:tbl>
    <w:p>
      <w:pPr/>
      <w:r>
        <w:t xml:space="preserve">Si en el piloto aparece lentitud de sincronización atribuible al antivirus, la exclusión más acotada es por proceso (</w:t>
      </w:r>
      <w:r>
        <w:rPr>
          <w:rStyle w:val="CodeChar"/>
        </w:rPr>
        <w:t xml:space="preserve">OneDrive.exe</w:t>
      </w:r>
      <w:r>
        <w:t xml:space="preserve">) y no por carpeta, siempre validada con el fabricante del antivirus.</w:t>
      </w:r>
    </w:p>
    <w:p>
      <w:pPr>
        <w:pStyle w:val="Heading2"/>
      </w:pPr>
      <w:r>
        <w:t xml:space="preserve">Perfiles de usuario y equipos</w:t>
      </w:r>
    </w:p>
    <w:p>
      <w:pPr/>
      <w:r>
        <w:t xml:space="preserve">Las directivas de OneDrive son de equipo, pero el movimiento de carpetas ocurre en el perfil de cada usuario que inicia sesión. Antes de aplicar la GPO conviene revisar estos puntos:</w:t>
      </w:r>
    </w:p>
    <w:p>
      <w:pPr/>
      <w:r>
        <w:rPr>
          <w:b/>
        </w:rPr>
        <w:t xml:space="preserve">Del lado del equipo</w:t>
      </w:r>
    </w:p>
    <w:p>
      <w:pPr>
        <w:pStyle w:val="ListParagraph"/>
        <w:numPr>
          <w:ilvl w:val="0"/>
          <w:numId w:val="4"/>
        </w:numPr>
      </w:pPr>
      <w:r>
        <w:t xml:space="preserve">La GPO se vincula a la OU de los equipos y se filtra por seguridad al grupo piloto; se aplica a cualquier usuario que inicie sesión en ese equipo.</w:t>
      </w:r>
    </w:p>
    <w:p>
      <w:pPr>
        <w:pStyle w:val="ListParagraph"/>
        <w:numPr>
          <w:ilvl w:val="0"/>
          <w:numId w:val="4"/>
        </w:numPr>
      </w:pPr>
      <w:r>
        <w:t xml:space="preserve">En equipos compartidos, cada usuario mueve sus propias carpetas a su propio OneDrive y consume su cuota.</w:t>
      </w:r>
    </w:p>
    <w:p>
      <w:pPr>
        <w:pStyle w:val="ListParagraph"/>
        <w:numPr>
          <w:ilvl w:val="0"/>
          <w:numId w:val="4"/>
        </w:numPr>
      </w:pPr>
      <w:r>
        <w:t xml:space="preserve">Con Archivos a petición, los archivos ya movidos quedan locales; el espacio en disco solo se libera si el usuario o Storage Sense los dejan "solo en línea".</w:t>
      </w:r>
    </w:p>
    <w:p>
      <w:pPr/>
      <w:r>
        <w:rPr>
          <w:b/>
        </w:rPr>
        <w:t xml:space="preserve">Del lado del usuario</w:t>
      </w:r>
    </w:p>
    <w:p>
      <w:pPr>
        <w:pStyle w:val="ListParagraph"/>
        <w:numPr>
          <w:ilvl w:val="0"/>
          <w:numId w:val="5"/>
        </w:numPr>
      </w:pPr>
      <w:r>
        <w:rPr>
          <w:b/>
        </w:rPr>
        <w:t xml:space="preserve">Redirección de carpetas existente:</w:t>
      </w:r>
      <w:r>
        <w:t xml:space="preserve"> si una GPO ya redirige Escritorio, Documentos o Imágenes a un recurso de red, el movimiento de OneDrive no funciona. Hay que retirarla primero, regresar las carpetas al perfil local o migrar su contenido a OneDrive.</w:t>
      </w:r>
    </w:p>
    <w:p>
      <w:pPr>
        <w:pStyle w:val="ListParagraph"/>
        <w:numPr>
          <w:ilvl w:val="0"/>
          <w:numId w:val="5"/>
        </w:numPr>
      </w:pPr>
      <w:r>
        <w:rPr>
          <w:b/>
        </w:rPr>
        <w:t xml:space="preserve">Directiva que bloquea el movimiento:</w:t>
      </w:r>
      <w:r>
        <w:t xml:space="preserve"> "Configuración de usuario &gt; Plantillas administrativas &gt; Escritorio &gt; Impedir que el usuario redirija manualmente las carpetas del perfil" debe quedar Deshabilitada o No configurada; si está Habilitada, las carpetas no se mueven.</w:t>
      </w:r>
    </w:p>
    <w:p>
      <w:pPr>
        <w:pStyle w:val="ListParagraph"/>
        <w:numPr>
          <w:ilvl w:val="0"/>
          <w:numId w:val="5"/>
        </w:numPr>
      </w:pPr>
      <w:r>
        <w:rPr>
          <w:b/>
        </w:rPr>
        <w:t xml:space="preserve">Perfiles móviles u obligatorios:</w:t>
      </w:r>
      <w:r>
        <w:t xml:space="preserve"> no están en el alcance de este piloto; si existen, se prueban por separado antes de extender.</w:t>
      </w:r>
    </w:p>
    <w:p>
      <w:pPr>
        <w:pStyle w:val="ListParagraph"/>
        <w:numPr>
          <w:ilvl w:val="0"/>
          <w:numId w:val="5"/>
        </w:numPr>
      </w:pPr>
      <w:r>
        <w:rPr>
          <w:b/>
        </w:rPr>
        <w:t xml:space="preserve">UPN:</w:t>
      </w:r>
      <w:r>
        <w:t xml:space="preserve"> el inicio de sesión silencioso necesita que el UPN del usuario en AD coincida con su cuenta de Microsoft 365.</w:t>
      </w:r>
    </w:p>
    <w:p>
      <w:pPr>
        <w:pStyle w:val="ListParagraph"/>
        <w:numPr>
          <w:ilvl w:val="0"/>
          <w:numId w:val="5"/>
        </w:numPr>
      </w:pPr>
      <w:r>
        <w:rPr>
          <w:b/>
        </w:rPr>
        <w:t xml:space="preserve">Licencia y cuota:</w:t>
      </w:r>
      <w:r>
        <w:t xml:space="preserve"> cada usuario necesita OneDrive asignado y espacio suficiente para sus tres carpetas.</w:t>
      </w:r>
    </w:p>
    <w:p>
      <w:pPr>
        <w:pStyle w:val="ListParagraph"/>
        <w:numPr>
          <w:ilvl w:val="0"/>
          <w:numId w:val="5"/>
        </w:numPr>
      </w:pPr>
      <w:r>
        <w:rPr>
          <w:b/>
        </w:rPr>
        <w:t xml:space="preserve">Archivos problemáticos:</w:t>
      </w:r>
      <w:r>
        <w:t xml:space="preserve"> los .pst de Outlook abiertos y los blocs de OneNote locales no deben vivir en carpetas sincronizadas; se mueven fuera o se excluyen.</w:t>
      </w:r>
    </w:p>
    <w:p>
      <w:pPr>
        <w:pStyle w:val="ListParagraph"/>
        <w:numPr>
          <w:ilvl w:val="0"/>
          <w:numId w:val="5"/>
        </w:numPr>
      </w:pPr>
      <w:r>
        <w:rPr>
          <w:b/>
        </w:rPr>
        <w:t xml:space="preserve">Rutas largas:</w:t>
      </w:r>
      <w:r>
        <w:t xml:space="preserve"> conviene mantener rutas cortas; un nombre corto para la carpeta raíz de OneDrive ayuda ("Establecer un nombre personalizado para la carpeta de OneDrive").</w:t>
      </w:r>
    </w:p>
    <w:p>
      <w:pPr/>
      <w:r>
        <w:t xml:space="preserve">Fuentes: </w:t>
      </w:r>
      <w:hyperlink r:id="rId3" w:history="1">
        <w:r>
          <w:rPr>
            <w:rStyle w:val="Hyperlink"/>
          </w:rPr>
          <w:t xml:space="preserve">directivas de OneDrive</w:t>
        </w:r>
      </w:hyperlink>
      <w:r>
        <w:t xml:space="preserve">, </w:t>
      </w:r>
      <w:hyperlink r:id="rId10" w:history="1">
        <w:r>
          <w:rPr>
            <w:rStyle w:val="Hyperlink"/>
          </w:rPr>
          <w:t xml:space="preserve">mover carpetas conocidas</w:t>
        </w:r>
      </w:hyperlink>
      <w:r>
        <w:t xml:space="preserve">.</w:t>
      </w:r>
    </w:p>
    <w:p>
      <w:pPr>
        <w:pStyle w:val="Heading2"/>
      </w:pPr>
      <w:r>
        <w:t xml:space="preserve">Proteger solo Escritorio, Documentos e Imágenes</w:t>
      </w:r>
    </w:p>
    <w:p>
      <w:pPr/>
      <w:r>
        <w:t xml:space="preserve">Sí se puede limitar a esas tres carpetas: la directiva "Mover silenciosamente las carpetas conocidas de Windows a OneDrive" tiene una casilla por carpeta. Descargas, Música y Vídeos no se mueven.</w:t>
      </w:r>
    </w:p>
    <w:tbl>
      <w:tblPr>
        <w:tblStyle w:val="TableGrid"/>
        <w:tblW w:w="0" w:type="auto"/>
        <w:tblLayout w:type="fixed"/>
        <w:tblLook w:val="04A0" w:firstRow="1" w:lastRow="0" w:firstColumn="0" w:lastColumn="0" w:noHBand="0" w:noVBand="1"/>
      </w:tblPr>
      <w:tblGrid>
        <w:gridCol w:w="2594"/>
        <w:gridCol w:w="1846"/>
        <w:gridCol w:w="4920"/>
      </w:tblGrid>
      <w:tr>
        <w:trPr>
          <w:tblHeader/>
        </w:trPr>
        <w:tc>
          <w:tcPr>
            <w:tcW w:w="2594" w:type="dxa"/>
            <w:shd w:val="clear" w:color="auto" w:fill="F2F2F2"/>
          </w:tcPr>
          <w:p>
            <w:pPr/>
            <w:r>
              <w:t xml:space="preserve">Ajuste dentro de la directiva</w:t>
            </w:r>
          </w:p>
        </w:tc>
        <w:tc>
          <w:tcPr>
            <w:tcW w:w="1846" w:type="dxa"/>
            <w:shd w:val="clear" w:color="auto" w:fill="F2F2F2"/>
          </w:tcPr>
          <w:p>
            <w:pPr/>
            <w:r>
              <w:t xml:space="preserve">Valor</w:t>
            </w:r>
          </w:p>
        </w:tc>
        <w:tc>
          <w:tcPr>
            <w:tcW w:w="4920" w:type="dxa"/>
            <w:shd w:val="clear" w:color="auto" w:fill="F2F2F2"/>
          </w:tcPr>
          <w:p>
            <w:pPr/>
            <w:r>
              <w:t xml:space="preserve">Clave de registro (HKLM\SOFTWARE\Policies\Microsoft\OneDrive)</w:t>
            </w:r>
          </w:p>
        </w:tc>
      </w:tr>
      <w:tr>
        <w:tc>
          <w:tcPr>
            <w:tcW w:w="2594" w:type="dxa"/>
          </w:tcPr>
          <w:p>
            <w:pPr/>
            <w:r>
              <w:t xml:space="preserve">ID de inquilino</w:t>
            </w:r>
          </w:p>
        </w:tc>
        <w:tc>
          <w:tcPr>
            <w:tcW w:w="1846" w:type="dxa"/>
          </w:tcPr>
          <w:p>
            <w:pPr/>
            <w:r>
              <w:t xml:space="preserve">ID del inquilino de Microsoft 365</w:t>
            </w:r>
          </w:p>
        </w:tc>
        <w:tc>
          <w:tcPr>
            <w:tcW w:w="4920" w:type="dxa"/>
          </w:tcPr>
          <w:p>
            <w:pPr/>
            <w:r>
              <w:rPr>
                <w:rStyle w:val="CodeChar"/>
              </w:rPr>
              <w:t xml:space="preserve">KFMSilentOptIn</w:t>
            </w:r>
          </w:p>
        </w:tc>
      </w:tr>
      <w:tr>
        <w:tc>
          <w:tcPr>
            <w:tcW w:w="2594" w:type="dxa"/>
          </w:tcPr>
          <w:p>
            <w:pPr/>
            <w:r>
              <w:t xml:space="preserve">Escritorio</w:t>
            </w:r>
          </w:p>
        </w:tc>
        <w:tc>
          <w:tcPr>
            <w:tcW w:w="1846" w:type="dxa"/>
          </w:tcPr>
          <w:p>
            <w:pPr/>
            <w:r>
              <w:t xml:space="preserve">Marcado</w:t>
            </w:r>
          </w:p>
        </w:tc>
        <w:tc>
          <w:tcPr>
            <w:tcW w:w="4920" w:type="dxa"/>
          </w:tcPr>
          <w:p>
            <w:pPr/>
            <w:r>
              <w:rPr>
                <w:rStyle w:val="CodeChar"/>
              </w:rPr>
              <w:t xml:space="preserve">KFMSilentOptInDesktop</w:t>
            </w:r>
            <w:r>
              <w:t xml:space="preserve"> = 1</w:t>
            </w:r>
          </w:p>
        </w:tc>
      </w:tr>
      <w:tr>
        <w:tc>
          <w:tcPr>
            <w:tcW w:w="2594" w:type="dxa"/>
          </w:tcPr>
          <w:p>
            <w:pPr/>
            <w:r>
              <w:t xml:space="preserve">Documentos</w:t>
            </w:r>
          </w:p>
        </w:tc>
        <w:tc>
          <w:tcPr>
            <w:tcW w:w="1846" w:type="dxa"/>
          </w:tcPr>
          <w:p>
            <w:pPr/>
            <w:r>
              <w:t xml:space="preserve">Marcado</w:t>
            </w:r>
          </w:p>
        </w:tc>
        <w:tc>
          <w:tcPr>
            <w:tcW w:w="4920" w:type="dxa"/>
          </w:tcPr>
          <w:p>
            <w:pPr/>
            <w:r>
              <w:rPr>
                <w:rStyle w:val="CodeChar"/>
              </w:rPr>
              <w:t xml:space="preserve">KFMSilentOptInDocuments</w:t>
            </w:r>
            <w:r>
              <w:t xml:space="preserve"> = 1</w:t>
            </w:r>
          </w:p>
        </w:tc>
      </w:tr>
      <w:tr>
        <w:tc>
          <w:tcPr>
            <w:tcW w:w="2594" w:type="dxa"/>
          </w:tcPr>
          <w:p>
            <w:pPr/>
            <w:r>
              <w:t xml:space="preserve">Imágenes</w:t>
            </w:r>
          </w:p>
        </w:tc>
        <w:tc>
          <w:tcPr>
            <w:tcW w:w="1846" w:type="dxa"/>
          </w:tcPr>
          <w:p>
            <w:pPr/>
            <w:r>
              <w:t xml:space="preserve">Marcado</w:t>
            </w:r>
          </w:p>
        </w:tc>
        <w:tc>
          <w:tcPr>
            <w:tcW w:w="4920" w:type="dxa"/>
          </w:tcPr>
          <w:p>
            <w:pPr/>
            <w:r>
              <w:rPr>
                <w:rStyle w:val="CodeChar"/>
              </w:rPr>
              <w:t xml:space="preserve">KFMSilentOptInPictures</w:t>
            </w:r>
            <w:r>
              <w:t xml:space="preserve"> = 1</w:t>
            </w:r>
          </w:p>
        </w:tc>
      </w:tr>
      <w:tr>
        <w:tc>
          <w:tcPr>
            <w:tcW w:w="2594" w:type="dxa"/>
          </w:tcPr>
          <w:p>
            <w:pPr/>
            <w:r>
              <w:t xml:space="preserve">Mostrar notificación al usuario</w:t>
            </w:r>
          </w:p>
        </w:tc>
        <w:tc>
          <w:tcPr>
            <w:tcW w:w="1846" w:type="dxa"/>
          </w:tcPr>
          <w:p>
            <w:pPr/>
            <w:r>
              <w:t xml:space="preserve">Opcional</w:t>
            </w:r>
          </w:p>
        </w:tc>
        <w:tc>
          <w:tcPr>
            <w:tcW w:w="4920" w:type="dxa"/>
          </w:tcPr>
          <w:p>
            <w:pPr/>
            <w:r>
              <w:rPr>
                <w:rStyle w:val="CodeChar"/>
              </w:rPr>
              <w:t xml:space="preserve">KFMSilentOptInWithNotification</w:t>
            </w:r>
            <w:r>
              <w:t xml:space="preserve"> = 1</w:t>
            </w:r>
          </w:p>
        </w:tc>
      </w:tr>
    </w:tbl>
    <w:p>
      <w:pPr/>
      <w:r>
        <w:t xml:space="preserve">Para que la protección sea obligatoria se agrega "Impedir que los usuarios redirijan sus carpetas conocidas de Windows a su equipo" (</w:t>
      </w:r>
      <w:r>
        <w:rPr>
          <w:rStyle w:val="CodeChar"/>
        </w:rPr>
        <w:t xml:space="preserve">KFMBlockOptOut</w:t>
      </w:r>
      <w:r>
        <w:t xml:space="preserve"> = 1). Con esto se deshabilita el botón para detener la protección.</w:t>
      </w:r>
    </w:p>
    <w:p>
      <w:pPr/>
      <w:r>
        <w:t xml:space="preserve">Tres detalles del comportamiento:</w:t>
      </w:r>
    </w:p>
    <w:p>
      <w:pPr>
        <w:pStyle w:val="ListParagraph"/>
        <w:numPr>
          <w:ilvl w:val="0"/>
          <w:numId w:val="6"/>
        </w:numPr>
      </w:pPr>
      <w:r>
        <w:t xml:space="preserve">Si no se marca ninguna casilla, la directiva mueve las tres carpetas por defecto.</w:t>
      </w:r>
    </w:p>
    <w:p>
      <w:pPr>
        <w:pStyle w:val="ListParagraph"/>
        <w:numPr>
          <w:ilvl w:val="0"/>
          <w:numId w:val="6"/>
        </w:numPr>
      </w:pPr>
      <w:r>
        <w:t xml:space="preserve">Una vez movida una carpeta, la directiva ya no vuelve a actuar sobre ella aunque después se desmarque su casilla. Revertir requiere un procedimiento aparte.</w:t>
      </w:r>
    </w:p>
    <w:p>
      <w:pPr>
        <w:pStyle w:val="ListParagraph"/>
        <w:numPr>
          <w:ilvl w:val="0"/>
          <w:numId w:val="6"/>
        </w:numPr>
      </w:pPr>
      <w:r>
        <w:t xml:space="preserve">Al proteger Imágenes, también quedan incluidas sus subcarpetas, como Capturas de pantalla y Galería de cámara.</w:t>
      </w:r>
    </w:p>
    <w:p>
      <w:pPr/>
      <w:r>
        <w:t xml:space="preserve">Fuente: </w:t>
      </w:r>
      <w:hyperlink r:id="rId3" w:history="1">
        <w:r>
          <w:rPr>
            <w:rStyle w:val="Hyperlink"/>
          </w:rPr>
          <w:t xml:space="preserve">directivas de OneDrive</w:t>
        </w:r>
      </w:hyperlink>
      <w:r>
        <w:t xml:space="preserve">.</w:t>
      </w:r>
    </w:p>
    <w:p>
      <w:pPr>
        <w:pStyle w:val="Heading2"/>
      </w:pPr>
      <w:r>
        <w:t xml:space="preserve">Excluir tipos de archivo (por ejemplo, video)</w:t>
      </w:r>
    </w:p>
    <w:p>
      <w:pPr/>
      <w:r>
        <w:t xml:space="preserve">Sí se puede: la directiva de equipo "Excluir tipos específicos de archivos de la carga" impide que OneDrive suba los archivos que coincidan con los patrones indicados. Para videos, por ejemplo:</w:t>
      </w:r>
    </w:p>
    <w:p>
      <w:pPr>
        <w:pStyle w:val="Code"/>
      </w:pPr>
      <w:r>
        <w:t xml:space="preserve">*.mp4</w:t>
        <w:br/>
        <w:t xml:space="preserve">*.mov</w:t>
        <w:br/>
        <w:t xml:space="preserve">*.avi</w:t>
        <w:br/>
        <w:t xml:space="preserve">*.mkv</w:t>
        <w:br/>
        <w:t xml:space="preserve">*.wmv</w:t>
      </w:r>
    </w:p>
    <w:p>
      <w:pPr/>
      <w:r>
        <w:t xml:space="preserve">Cómo se comporta:</w:t>
      </w:r>
    </w:p>
    <w:p>
      <w:pPr>
        <w:pStyle w:val="ListParagraph"/>
        <w:numPr>
          <w:ilvl w:val="0"/>
          <w:numId w:val="7"/>
        </w:numPr>
      </w:pPr>
      <w:r>
        <w:t xml:space="preserve">Se configura en Configuración del equipo y escribe la lista en </w:t>
      </w:r>
      <w:r>
        <w:rPr>
          <w:rStyle w:val="CodeChar"/>
        </w:rPr>
        <w:t xml:space="preserve">HKLM\SOFTWARE\Policies\Microsoft\OneDrive\EnableODIgnoreListFromGPO</w:t>
      </w:r>
      <w:r>
        <w:t xml:space="preserve">. Admite nombres completos o comodines (</w:t>
      </w:r>
      <w:r>
        <w:rPr>
          <w:rStyle w:val="CodeChar"/>
        </w:rPr>
        <w:t xml:space="preserve">*</w:t>
      </w:r>
      <w:r>
        <w:t xml:space="preserve">) y no distingue mayúsculas.</w:t>
      </w:r>
    </w:p>
    <w:p>
      <w:pPr>
        <w:pStyle w:val="ListParagraph"/>
        <w:numPr>
          <w:ilvl w:val="0"/>
          <w:numId w:val="7"/>
        </w:numPr>
      </w:pPr>
      <w:r>
        <w:t xml:space="preserve">Los archivos excluidos </w:t>
      </w:r>
      <w:r>
        <w:rPr>
          <w:b/>
        </w:rPr>
        <w:t xml:space="preserve">se quedan en el equipo</w:t>
      </w:r>
      <w:r>
        <w:t xml:space="preserve"> con el ícono "Excluido de la sincronización" y no muestran error; el usuario ve un aviso en el centro de actividad.</w:t>
      </w:r>
    </w:p>
    <w:p>
      <w:pPr>
        <w:pStyle w:val="ListParagraph"/>
        <w:numPr>
          <w:ilvl w:val="0"/>
          <w:numId w:val="7"/>
        </w:numPr>
      </w:pPr>
      <w:r>
        <w:t xml:space="preserve">Solo aplica a archivos nuevos que coincidan. No retira lo que ya se subió, y un archivo existente que después se renombra para coincidir no queda bloqueado.</w:t>
      </w:r>
    </w:p>
    <w:p>
      <w:pPr>
        <w:pStyle w:val="ListParagraph"/>
        <w:numPr>
          <w:ilvl w:val="0"/>
          <w:numId w:val="7"/>
        </w:numPr>
      </w:pPr>
      <w:r>
        <w:t xml:space="preserve">Hay que reiniciar OneDrive en el equipo para que tome efecto.</w:t>
      </w:r>
    </w:p>
    <w:p>
      <w:pPr>
        <w:pStyle w:val="ListParagraph"/>
        <w:numPr>
          <w:ilvl w:val="0"/>
          <w:numId w:val="7"/>
        </w:numPr>
      </w:pPr>
      <w:r>
        <w:t xml:space="preserve">No sirve para excluir archivos de Office; para cualquier otro tipo sí funciona.</w:t>
      </w:r>
    </w:p>
    <w:p>
      <w:pPr>
        <w:pStyle w:val="ListParagraph"/>
        <w:numPr>
          <w:ilvl w:val="0"/>
          <w:numId w:val="7"/>
        </w:numPr>
      </w:pPr>
      <w:r>
        <w:t xml:space="preserve">El usuario aún puede subir el archivo desde OneDrive en la web.</w:t>
      </w:r>
    </w:p>
    <w:p>
      <w:pPr/>
      <w:r>
        <w:rPr>
          <w:b/>
        </w:rPr>
        <w:t xml:space="preserve">Advertencia importante:</w:t>
      </w:r>
      <w:r>
        <w:t xml:space="preserve"> un video excluido </w:t>
      </w:r>
      <w:r>
        <w:rPr>
          <w:b/>
        </w:rPr>
        <w:t xml:space="preserve">no queda respaldado</w:t>
      </w:r>
      <w:r>
        <w:t xml:space="preserve">. Si el equipo falla o se pierde, ese archivo se pierde. Conviene comunicarlo a los usuarios o definir otra ubicación para ese contenido.</w:t>
      </w:r>
    </w:p>
    <w:p>
      <w:pPr/>
      <w:r>
        <w:t xml:space="preserve">Opciones relacionadas:</w:t>
      </w:r>
    </w:p>
    <w:tbl>
      <w:tblPr>
        <w:tblStyle w:val="TableGrid"/>
        <w:tblW w:w="0" w:type="auto"/>
        <w:tblLayout w:type="fixed"/>
        <w:tblLook w:val="04A0" w:firstRow="1" w:lastRow="0" w:firstColumn="0" w:lastColumn="0" w:noHBand="0" w:noVBand="1"/>
      </w:tblPr>
      <w:tblGrid>
        <w:gridCol w:w="3991"/>
        <w:gridCol w:w="2331"/>
        <w:gridCol w:w="3038"/>
      </w:tblGrid>
      <w:tr>
        <w:trPr>
          <w:tblHeader/>
        </w:trPr>
        <w:tc>
          <w:tcPr>
            <w:tcW w:w="3991" w:type="dxa"/>
            <w:shd w:val="clear" w:color="auto" w:fill="F2F2F2"/>
          </w:tcPr>
          <w:p>
            <w:pPr/>
            <w:r>
              <w:t xml:space="preserve">Opción</w:t>
            </w:r>
          </w:p>
        </w:tc>
        <w:tc>
          <w:tcPr>
            <w:tcW w:w="2331" w:type="dxa"/>
            <w:shd w:val="clear" w:color="auto" w:fill="F2F2F2"/>
          </w:tcPr>
          <w:p>
            <w:pPr/>
            <w:r>
              <w:t xml:space="preserve">Alcance</w:t>
            </w:r>
          </w:p>
        </w:tc>
        <w:tc>
          <w:tcPr>
            <w:tcW w:w="3038" w:type="dxa"/>
            <w:shd w:val="clear" w:color="auto" w:fill="F2F2F2"/>
          </w:tcPr>
          <w:p>
            <w:pPr/>
            <w:r>
              <w:t xml:space="preserve">Diferencia</w:t>
            </w:r>
          </w:p>
        </w:tc>
      </w:tr>
      <w:tr>
        <w:tc>
          <w:tcPr>
            <w:tcW w:w="3991" w:type="dxa"/>
          </w:tcPr>
          <w:p>
            <w:pPr/>
            <w:r>
              <w:t xml:space="preserve">Excluir tipos específicos de archivos de la carga (GPO)</w:t>
            </w:r>
          </w:p>
        </w:tc>
        <w:tc>
          <w:tcPr>
            <w:tcW w:w="2331" w:type="dxa"/>
          </w:tcPr>
          <w:p>
            <w:pPr/>
            <w:r>
              <w:t xml:space="preserve">Equipos con la GPO</w:t>
            </w:r>
          </w:p>
        </w:tc>
        <w:tc>
          <w:tcPr>
            <w:tcW w:w="3038" w:type="dxa"/>
          </w:tcPr>
          <w:p>
            <w:pPr/>
            <w:r>
              <w:t xml:space="preserve">Silencioso, flexible, sin errores para el usuario</w:t>
            </w:r>
          </w:p>
        </w:tc>
      </w:tr>
      <w:tr>
        <w:tc>
          <w:tcPr>
            <w:tcW w:w="3991" w:type="dxa"/>
          </w:tcPr>
          <w:p>
            <w:pPr/>
            <w:r>
              <w:t xml:space="preserve">Excluir tipos específicos de carpetas de la carga (GPO)</w:t>
            </w:r>
          </w:p>
        </w:tc>
        <w:tc>
          <w:tcPr>
            <w:tcW w:w="2331" w:type="dxa"/>
          </w:tcPr>
          <w:p>
            <w:pPr/>
            <w:r>
              <w:t xml:space="preserve">Equipos con la GPO</w:t>
            </w:r>
          </w:p>
        </w:tc>
        <w:tc>
          <w:tcPr>
            <w:tcW w:w="3038" w:type="dxa"/>
          </w:tcPr>
          <w:p>
            <w:pPr/>
            <w:r>
              <w:t xml:space="preserve">Excluye carpetas por nombre exacto, sin comodines</w:t>
            </w:r>
          </w:p>
        </w:tc>
      </w:tr>
      <w:tr>
        <w:tc>
          <w:tcPr>
            <w:tcW w:w="3991" w:type="dxa"/>
          </w:tcPr>
          <w:p>
            <w:pPr/>
            <w:r>
              <w:t xml:space="preserve">Impedir que los usuarios cambien la lista de exclusiones (GPO)</w:t>
            </w:r>
          </w:p>
        </w:tc>
        <w:tc>
          <w:tcPr>
            <w:tcW w:w="2331" w:type="dxa"/>
          </w:tcPr>
          <w:p>
            <w:pPr/>
            <w:r>
              <w:t xml:space="preserve">Equipos con la GPO</w:t>
            </w:r>
          </w:p>
        </w:tc>
        <w:tc>
          <w:tcPr>
            <w:tcW w:w="3038" w:type="dxa"/>
          </w:tcPr>
          <w:p>
            <w:pPr/>
            <w:r>
              <w:t xml:space="preserve">Evita que el usuario agregue o quite exclusiones</w:t>
            </w:r>
          </w:p>
        </w:tc>
      </w:tr>
      <w:tr>
        <w:tc>
          <w:tcPr>
            <w:tcW w:w="3991" w:type="dxa"/>
          </w:tcPr>
          <w:p>
            <w:pPr/>
            <w:r>
              <w:t xml:space="preserve">Bloquear sincronización de tipos de archivo (centro de administración de SharePoint)</w:t>
            </w:r>
          </w:p>
        </w:tc>
        <w:tc>
          <w:tcPr>
            <w:tcW w:w="2331" w:type="dxa"/>
          </w:tcPr>
          <w:p>
            <w:pPr/>
            <w:r>
              <w:t xml:space="preserve">Todo el inquilino</w:t>
            </w:r>
          </w:p>
        </w:tc>
        <w:tc>
          <w:tcPr>
            <w:tcW w:w="3038" w:type="dxa"/>
          </w:tcPr>
          <w:p>
            <w:pPr/>
            <w:r>
              <w:t xml:space="preserve">Muestra errores al usuario; menos flexible</w:t>
            </w:r>
          </w:p>
        </w:tc>
      </w:tr>
    </w:tbl>
    <w:p>
      <w:pPr/>
      <w:r>
        <w:t xml:space="preserve">Fuente: </w:t>
      </w:r>
      <w:hyperlink r:id="rId3" w:history="1">
        <w:r>
          <w:rPr>
            <w:rStyle w:val="Hyperlink"/>
          </w:rPr>
          <w:t xml:space="preserve">directivas de OneDrive</w:t>
        </w:r>
      </w:hyperlink>
      <w:r>
        <w:t xml:space="preserve">.</w:t>
      </w:r>
    </w:p>
    <w:p>
      <w:pPr>
        <w:pStyle w:val="Heading2"/>
      </w:pPr>
      <w:r>
        <w:t xml:space="preserve">Lista de verificación previa</w:t>
      </w:r>
    </w:p>
    <w:p>
      <w:pPr>
        <w:pStyle w:val="ListParagraph"/>
        <w:numPr>
          <w:ilvl w:val="0"/>
          <w:numId w:val="8"/>
        </w:numPr>
      </w:pPr>
      <w:r>
        <w:t xml:space="preserve">☐ Versión de Entra Connect confirmada y actualizada a 2.6.84.0 o posterior.</w:t>
      </w:r>
    </w:p>
    <w:p>
      <w:pPr>
        <w:pStyle w:val="ListParagraph"/>
        <w:numPr>
          <w:ilvl w:val="0"/>
          <w:numId w:val="8"/>
        </w:numPr>
      </w:pPr>
      <w:r>
        <w:t xml:space="preserve">☐ Autenticación por aplicación activa (</w:t>
      </w:r>
      <w:r>
        <w:rPr>
          <w:rStyle w:val="CodeChar"/>
        </w:rPr>
        <w:t xml:space="preserve">Get-ADSyncEntraConnectorCredential</w:t>
      </w:r>
      <w:r>
        <w:t xml:space="preserve"> devuelve Application).</w:t>
      </w:r>
    </w:p>
    <w:p>
      <w:pPr>
        <w:pStyle w:val="ListParagraph"/>
        <w:numPr>
          <w:ilvl w:val="0"/>
          <w:numId w:val="8"/>
        </w:numPr>
      </w:pPr>
      <w:r>
        <w:t xml:space="preserve">☐ Sistema operativo del servidor de Entra Connect en Windows Server 2016 o posterior, con .NET 4.6.2+ y TLS 1.2.</w:t>
      </w:r>
    </w:p>
    <w:p>
      <w:pPr>
        <w:pStyle w:val="ListParagraph"/>
        <w:numPr>
          <w:ilvl w:val="0"/>
          <w:numId w:val="8"/>
        </w:numPr>
      </w:pPr>
      <w:r>
        <w:t xml:space="preserve">☐ OU del equipo piloto incluida en la sincronización, sin excluir OU de usuarios existentes.</w:t>
      </w:r>
    </w:p>
    <w:p>
      <w:pPr>
        <w:pStyle w:val="ListParagraph"/>
        <w:numPr>
          <w:ilvl w:val="0"/>
          <w:numId w:val="8"/>
        </w:numPr>
      </w:pPr>
      <w:r>
        <w:t xml:space="preserve">☐ Plantillas ADMX de OneDrive copiadas desde un cliente actual al almacén central.</w:t>
      </w:r>
    </w:p>
    <w:p>
      <w:pPr>
        <w:pStyle w:val="ListParagraph"/>
        <w:numPr>
          <w:ilvl w:val="0"/>
          <w:numId w:val="8"/>
        </w:numPr>
      </w:pPr>
      <w:r>
        <w:t xml:space="preserve">☐ Salida HTTPS a los dominios de registro y OneDrive validada en contexto SYSTEM.</w:t>
      </w:r>
    </w:p>
    <w:p>
      <w:pPr>
        <w:pStyle w:val="ListParagraph"/>
        <w:numPr>
          <w:ilvl w:val="0"/>
          <w:numId w:val="8"/>
        </w:numPr>
      </w:pPr>
      <w:r>
        <w:t xml:space="preserve">☐ Inspección TLS excluida para enterpriseregistration.windows.net y device.login.microsoftonline.com.</w:t>
      </w:r>
    </w:p>
    <w:p>
      <w:pPr>
        <w:pStyle w:val="ListParagraph"/>
        <w:numPr>
          <w:ilvl w:val="0"/>
          <w:numId w:val="8"/>
        </w:numPr>
      </w:pPr>
      <w:r>
        <w:t xml:space="preserve">☐ Volumen de Escritorio, Documentos e Imágenes medido en una muestra de equipos.</w:t>
      </w:r>
    </w:p>
    <w:p>
      <w:pPr>
        <w:pStyle w:val="ListParagraph"/>
        <w:numPr>
          <w:ilvl w:val="0"/>
          <w:numId w:val="8"/>
        </w:numPr>
      </w:pPr>
      <w:r>
        <w:t xml:space="preserve">☐ GPO de redirección de carpetas existente identificada y retirada para el piloto.</w:t>
      </w:r>
    </w:p>
    <w:p>
      <w:pPr>
        <w:pStyle w:val="ListParagraph"/>
        <w:numPr>
          <w:ilvl w:val="0"/>
          <w:numId w:val="8"/>
        </w:numPr>
      </w:pPr>
      <w:r>
        <w:t xml:space="preserve">☐ "Impedir que el usuario redirija manualmente las carpetas del perfil" en Deshabilitada o No configurada.</w:t>
      </w:r>
    </w:p>
    <w:p>
      <w:pPr>
        <w:pStyle w:val="ListParagraph"/>
        <w:numPr>
          <w:ilvl w:val="0"/>
          <w:numId w:val="8"/>
        </w:numPr>
      </w:pPr>
      <w:r>
        <w:t xml:space="preserve">☐ Lista de exclusiones de archivos acordada y comunicada a los usuarios (lo excluido no se respalda).</w:t>
      </w:r>
    </w:p>
    <w:p>
      <w:pPr>
        <w:pStyle w:val="ListParagraph"/>
        <w:numPr>
          <w:ilvl w:val="0"/>
          <w:numId w:val="8"/>
        </w:numPr>
      </w:pPr>
      <w:r>
        <w:t xml:space="preserve">☐ Antivirus/EDR validado con archivos solo en línea y con la tarea Automatic-Device-Join.</w:t>
      </w:r>
    </w:p>
    <w:p>
      <w:pPr>
        <w:pStyle w:val="ListParagraph"/>
        <w:numPr>
          <w:ilvl w:val="0"/>
          <w:numId w:val="8"/>
        </w:numPr>
      </w:pPr>
      <w:r>
        <w:t xml:space="preserve">☐ ID de inquilino a la mano para la directiva de movimiento silencioso.</w:t>
      </w:r>
    </w:p>
    <w:p>
      <w:pPr>
        <w:pStyle w:val="Heading2"/>
      </w:pPr>
      <w:r>
        <w:t xml:space="preserve">Fuentes</w:t>
      </w:r>
    </w:p>
    <w:p>
      <w:pPr>
        <w:pStyle w:val="ListParagraph"/>
        <w:numPr>
          <w:ilvl w:val="0"/>
          <w:numId w:val="9"/>
        </w:numPr>
      </w:pPr>
      <w:hyperlink r:id="rId5" w:history="1">
        <w:r>
          <w:rPr>
            <w:rStyle w:val="Hyperlink"/>
          </w:rPr>
          <w:t xml:space="preserve">Configurar la unión híbrida de Microsoft Entra</w:t>
        </w:r>
      </w:hyperlink>
    </w:p>
    <w:p>
      <w:pPr>
        <w:pStyle w:val="ListParagraph"/>
        <w:numPr>
          <w:ilvl w:val="0"/>
          <w:numId w:val="9"/>
        </w:numPr>
      </w:pPr>
      <w:hyperlink r:id="rId4" w:history="1">
        <w:r>
          <w:rPr>
            <w:rStyle w:val="Hyperlink"/>
          </w:rPr>
          <w:t xml:space="preserve">Requisitos previos de Microsoft Entra Connect</w:t>
        </w:r>
      </w:hyperlink>
    </w:p>
    <w:p>
      <w:pPr>
        <w:pStyle w:val="ListParagraph"/>
        <w:numPr>
          <w:ilvl w:val="0"/>
          <w:numId w:val="9"/>
        </w:numPr>
      </w:pPr>
      <w:hyperlink r:id="rId8" w:history="1">
        <w:r>
          <w:rPr>
            <w:rStyle w:val="Hyperlink"/>
          </w:rPr>
          <w:t xml:space="preserve">Puertos y protocolos de identidad híbrida</w:t>
        </w:r>
      </w:hyperlink>
    </w:p>
    <w:p>
      <w:pPr>
        <w:pStyle w:val="ListParagraph"/>
        <w:numPr>
          <w:ilvl w:val="0"/>
          <w:numId w:val="9"/>
        </w:numPr>
      </w:pPr>
      <w:hyperlink r:id="rId3" w:history="1">
        <w:r>
          <w:rPr>
            <w:rStyle w:val="Hyperlink"/>
          </w:rPr>
          <w:t xml:space="preserve">Directivas de OneDrive (GPO)</w:t>
        </w:r>
      </w:hyperlink>
    </w:p>
    <w:p>
      <w:pPr>
        <w:pStyle w:val="ListParagraph"/>
        <w:numPr>
          <w:ilvl w:val="0"/>
          <w:numId w:val="9"/>
        </w:numPr>
      </w:pPr>
      <w:hyperlink r:id="rId10" w:history="1">
        <w:r>
          <w:rPr>
            <w:rStyle w:val="Hyperlink"/>
          </w:rPr>
          <w:t xml:space="preserve">Mover carpetas conocidas de Windows a OneDrive</w:t>
        </w:r>
      </w:hyperlink>
    </w:p>
    <w:p>
      <w:pPr>
        <w:pStyle w:val="ListParagraph"/>
        <w:numPr>
          <w:ilvl w:val="0"/>
          <w:numId w:val="9"/>
        </w:numPr>
      </w:pPr>
      <w:hyperlink r:id="rId9" w:history="1">
        <w:r>
          <w:rPr>
            <w:rStyle w:val="Hyperlink"/>
          </w:rPr>
          <w:t xml:space="preserve">Planeación de uso de red de OneDrive</w:t>
        </w:r>
      </w:hyperlink>
    </w:p>
    <w:p>
      <w:pPr>
        <w:pStyle w:val="ListParagraph"/>
        <w:numPr>
          <w:ilvl w:val="0"/>
          <w:numId w:val="9"/>
        </w:numPr>
      </w:pPr>
      <w:hyperlink r:id="rId7" w:history="1">
        <w:r>
          <w:rPr>
            <w:rStyle w:val="Hyperlink"/>
          </w:rPr>
          <w:t xml:space="preserve">URL e intervalos IP de Microsoft 365</w:t>
        </w:r>
      </w:hyperlink>
    </w:p>
    <w:p>
      <w:pPr>
        <w:pStyle w:val="ListParagraph"/>
        <w:numPr>
          <w:ilvl w:val="0"/>
          <w:numId w:val="9"/>
        </w:numPr>
      </w:pPr>
      <w:hyperlink r:id="rId11" w:history="1">
        <w:r>
          <w:rPr>
            <w:rStyle w:val="Hyperlink"/>
          </w:rPr>
          <w:t xml:space="preserve">Nuevas fechas de Entra Connect Sync (IT-Connect)</w:t>
        </w:r>
      </w:hyperlink>
    </w:p>
    <w:p>
      <w:pPr>
        <w:pStyle w:val="ListParagraph"/>
        <w:numPr>
          <w:ilvl w:val="0"/>
          <w:numId w:val="9"/>
        </w:numPr>
      </w:pPr>
      <w:hyperlink r:id="rId6" w:history="1">
        <w:r>
          <w:rPr>
            <w:rStyle w:val="Hyperlink"/>
          </w:rPr>
          <w:t xml:space="preserve">Ciclo de vida de Windows 11 (Neowin)</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learn.microsoft.com/en-us/sharepoint/use-group-policy" TargetMode="External"/><Relationship Id="rId4" Type="http://schemas.openxmlformats.org/officeDocument/2006/relationships/hyperlink" Target="https://learn.microsoft.com/azure/active-directory/hybrid/how-to-connect-install-prerequisites" TargetMode="External"/><Relationship Id="rId5" Type="http://schemas.openxmlformats.org/officeDocument/2006/relationships/hyperlink" Target="https://learn.microsoft.com/en-us/entra/identity/devices/how-to-hybrid-join" TargetMode="External"/><Relationship Id="rId6" Type="http://schemas.openxmlformats.org/officeDocument/2006/relationships/hyperlink" Target="https://www.neowin.net/news/microsoft-reveals-details-about-unique-windows-11-version-support/" TargetMode="External"/><Relationship Id="rId7" Type="http://schemas.openxmlformats.org/officeDocument/2006/relationships/hyperlink" Target="https://learn.microsoft.com/en-us/microsoft-365/enterprise/urls-and-ip-address-ranges" TargetMode="External"/><Relationship Id="rId8" Type="http://schemas.openxmlformats.org/officeDocument/2006/relationships/hyperlink" Target="https://learn.microsoft.com/en-us/azure/active-directory/connect/active-directory-aadconnect-ports" TargetMode="External"/><Relationship Id="rId9" Type="http://schemas.openxmlformats.org/officeDocument/2006/relationships/hyperlink" Target="https://learn.microsoft.com/en-us/sharepoint/network-utilization-planning" TargetMode="External"/><Relationship Id="rId10" Type="http://schemas.openxmlformats.org/officeDocument/2006/relationships/hyperlink" Target="https://learn.microsoft.com/sharepoint/redirect-known-folders" TargetMode="External"/><Relationship Id="rId11" Type="http://schemas.openxmlformats.org/officeDocument/2006/relationships/hyperlink" Target="https://www.it-connect.fr/sspr-et-entra-connect-sync-microsoft-modifie-le-calendrier-les-nouvelles-dates-a-retenir/"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Anexo técnico requisitos para unión híbrida y GPO de OneDrive</dc:title>
  <dc:description>Claude Docs node/46623d67-8ac1@11 docx-w7</dc:description>
  <cp:revision>11</cp:revision>
</cp:coreProperties>
</file>