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80"/>
      </w:pPr>
      <w:r>
        <w:t xml:space="preserve"/>
      </w:r>
    </w:p>
    <w:p>
      <w:pPr>
        <w:spacing w:after="50" w:before="0"/>
        <w:jc w:val="center"/>
      </w:pPr>
      <w:r>
        <w:rPr>
          <w:rFonts w:ascii="Arial" w:cs="Arial" w:eastAsia="Arial" w:hAnsi="Arial"/>
          <w:b/>
          <w:bCs/>
          <w:color w:val="0B2545"/>
          <w:sz w:val="52"/>
          <w:szCs w:val="52"/>
        </w:rPr>
        <w:t xml:space="preserve">LEVANTAMIENTO DE REQUERIMIENTOS</w:t>
      </w:r>
    </w:p>
    <w:p>
      <w:pPr>
        <w:spacing w:after="40" w:before="0"/>
        <w:jc w:val="center"/>
      </w:pPr>
      <w:r>
        <w:rPr>
          <w:rFonts w:ascii="Arial" w:cs="Arial" w:eastAsia="Arial" w:hAnsi="Arial"/>
          <w:b/>
          <w:bCs/>
          <w:color w:val="0B2545"/>
          <w:sz w:val="44"/>
          <w:szCs w:val="44"/>
        </w:rPr>
        <w:t xml:space="preserve">&amp; ROAD MAP DE TRANSFORMACION DIGITAL</w:t>
      </w:r>
    </w:p>
    <w:p>
      <w:pPr>
        <w:pBdr>
          <w:bottom w:val="single" w:color="00838F" w:sz="8"/>
        </w:pBdr>
        <w:spacing w:after="40" w:before="0"/>
        <w:jc w:val="center"/>
      </w:pPr>
      <w:r>
        <w:rPr>
          <w:rFonts w:ascii="Arial" w:cs="Arial" w:eastAsia="Arial" w:hAnsi="Arial"/>
          <w:b/>
          <w:bCs/>
          <w:color w:val="1565C0"/>
          <w:sz w:val="28"/>
          <w:szCs w:val="28"/>
        </w:rPr>
        <w:t xml:space="preserve">Migracion a Azure | MFA | Firewall Perimetral | ISO 27001</w:t>
      </w:r>
    </w:p>
    <w:p>
      <w:pPr>
        <w:spacing w:after="0" w:before="60"/>
      </w:pPr>
      <w:r>
        <w:t xml:space="preserve"/>
      </w:r>
    </w:p>
    <w:p>
      <w:pPr>
        <w:spacing w:after="0" w:before="60"/>
        <w:jc w:val="center"/>
      </w:pPr>
      <w:r>
        <w:rPr>
          <w:rFonts w:ascii="Arial" w:cs="Arial" w:eastAsia="Arial" w:hAnsi="Arial"/>
          <w:color w:val="455A64"/>
          <w:sz w:val="22"/>
          <w:szCs w:val="22"/>
        </w:rPr>
        <w:t xml:space="preserve">Active Directory  |  File Server Hibrido  |  Azure Firewall  |  Check Point  |  Entra ID MFA</w:t>
      </w:r>
    </w:p>
    <w:p>
      <w:pPr>
        <w:spacing w:after="0" w:before="220"/>
      </w:pPr>
      <w:r>
        <w:t xml:space="preserve"/>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800"/>
        <w:gridCol w:w="4600"/>
      </w:tblGrid>
      <w:tr>
        <w:tc>
          <w:tcPr>
            <w:tcW w:type="dxa" w:w="2800"/>
            <w:tcBorders>
              <w:top w:val="single" w:color="AECBEA" w:sz="1"/>
              <w:left w:val="single" w:color="AECBEA" w:sz="1"/>
              <w:bottom w:val="single" w:color="AECBEA" w:sz="1"/>
              <w:right w:val="single" w:color="AECBEA" w:sz="1"/>
            </w:tcBorders>
            <w:shd w:fill="D0E4F7" w:val="clear"/>
            <w:tcMar>
              <w:top w:type="dxa" w:w="80"/>
              <w:left w:type="dxa" w:w="140"/>
              <w:bottom w:type="dxa" w:w="80"/>
              <w:right w:type="dxa" w:w="140"/>
            </w:tcMar>
          </w:tcPr>
          <w:p>
            <w:r>
              <w:rPr>
                <w:rFonts w:ascii="Arial" w:cs="Arial" w:eastAsia="Arial" w:hAnsi="Arial"/>
                <w:b/>
                <w:bCs/>
                <w:color w:val="0B2545"/>
                <w:sz w:val="19"/>
                <w:szCs w:val="19"/>
              </w:rPr>
              <w:t xml:space="preserve">Cliente:</w:t>
            </w:r>
          </w:p>
        </w:tc>
        <w:tc>
          <w:tcPr>
            <w:tcW w:type="dxa" w:w="46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[Nombre del Cliente]</w:t>
            </w:r>
          </w:p>
        </w:tc>
      </w:tr>
      <w:tr>
        <w:tc>
          <w:tcPr>
            <w:tcW w:type="dxa" w:w="2800"/>
            <w:tcBorders>
              <w:top w:val="single" w:color="AECBEA" w:sz="1"/>
              <w:left w:val="single" w:color="AECBEA" w:sz="1"/>
              <w:bottom w:val="single" w:color="AECBEA" w:sz="1"/>
              <w:right w:val="single" w:color="AECBEA" w:sz="1"/>
            </w:tcBorders>
            <w:shd w:fill="D0E4F7" w:val="clear"/>
            <w:tcMar>
              <w:top w:type="dxa" w:w="80"/>
              <w:left w:type="dxa" w:w="140"/>
              <w:bottom w:type="dxa" w:w="80"/>
              <w:right w:type="dxa" w:w="140"/>
            </w:tcMar>
          </w:tcPr>
          <w:p>
            <w:r>
              <w:rPr>
                <w:rFonts w:ascii="Arial" w:cs="Arial" w:eastAsia="Arial" w:hAnsi="Arial"/>
                <w:b/>
                <w:bCs/>
                <w:color w:val="0B2545"/>
                <w:sz w:val="19"/>
                <w:szCs w:val="19"/>
              </w:rPr>
              <w:t xml:space="preserve">Preparado por:</w:t>
            </w:r>
          </w:p>
        </w:tc>
        <w:tc>
          <w:tcPr>
            <w:tcW w:type="dxa" w:w="46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[Nombre del Consultor]</w:t>
            </w:r>
          </w:p>
        </w:tc>
      </w:tr>
      <w:tr>
        <w:tc>
          <w:tcPr>
            <w:tcW w:type="dxa" w:w="2800"/>
            <w:tcBorders>
              <w:top w:val="single" w:color="AECBEA" w:sz="1"/>
              <w:left w:val="single" w:color="AECBEA" w:sz="1"/>
              <w:bottom w:val="single" w:color="AECBEA" w:sz="1"/>
              <w:right w:val="single" w:color="AECBEA" w:sz="1"/>
            </w:tcBorders>
            <w:shd w:fill="D0E4F7" w:val="clear"/>
            <w:tcMar>
              <w:top w:type="dxa" w:w="80"/>
              <w:left w:type="dxa" w:w="140"/>
              <w:bottom w:type="dxa" w:w="80"/>
              <w:right w:type="dxa" w:w="140"/>
            </w:tcMar>
          </w:tcPr>
          <w:p>
            <w:r>
              <w:rPr>
                <w:rFonts w:ascii="Arial" w:cs="Arial" w:eastAsia="Arial" w:hAnsi="Arial"/>
                <w:b/>
                <w:bCs/>
                <w:color w:val="0B2545"/>
                <w:sz w:val="19"/>
                <w:szCs w:val="19"/>
              </w:rPr>
              <w:t xml:space="preserve">Tipo de documento:</w:t>
            </w:r>
          </w:p>
        </w:tc>
        <w:tc>
          <w:tcPr>
            <w:tcW w:type="dxa" w:w="46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Cuestionario + Road Map</w:t>
            </w:r>
          </w:p>
        </w:tc>
      </w:tr>
      <w:tr>
        <w:tc>
          <w:tcPr>
            <w:tcW w:type="dxa" w:w="2800"/>
            <w:tcBorders>
              <w:top w:val="single" w:color="AECBEA" w:sz="1"/>
              <w:left w:val="single" w:color="AECBEA" w:sz="1"/>
              <w:bottom w:val="single" w:color="AECBEA" w:sz="1"/>
              <w:right w:val="single" w:color="AECBEA" w:sz="1"/>
            </w:tcBorders>
            <w:shd w:fill="D0E4F7" w:val="clear"/>
            <w:tcMar>
              <w:top w:type="dxa" w:w="80"/>
              <w:left w:type="dxa" w:w="140"/>
              <w:bottom w:type="dxa" w:w="80"/>
              <w:right w:type="dxa" w:w="140"/>
            </w:tcMar>
          </w:tcPr>
          <w:p>
            <w:r>
              <w:rPr>
                <w:rFonts w:ascii="Arial" w:cs="Arial" w:eastAsia="Arial" w:hAnsi="Arial"/>
                <w:b/>
                <w:bCs/>
                <w:color w:val="0B2545"/>
                <w:sz w:val="19"/>
                <w:szCs w:val="19"/>
              </w:rPr>
              <w:t xml:space="preserve">Version:</w:t>
            </w:r>
          </w:p>
        </w:tc>
        <w:tc>
          <w:tcPr>
            <w:tcW w:type="dxa" w:w="46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1.0</w:t>
            </w:r>
          </w:p>
        </w:tc>
      </w:tr>
      <w:tr>
        <w:tc>
          <w:tcPr>
            <w:tcW w:type="dxa" w:w="2800"/>
            <w:tcBorders>
              <w:top w:val="single" w:color="AECBEA" w:sz="1"/>
              <w:left w:val="single" w:color="AECBEA" w:sz="1"/>
              <w:bottom w:val="single" w:color="AECBEA" w:sz="1"/>
              <w:right w:val="single" w:color="AECBEA" w:sz="1"/>
            </w:tcBorders>
            <w:shd w:fill="D0E4F7" w:val="clear"/>
            <w:tcMar>
              <w:top w:type="dxa" w:w="80"/>
              <w:left w:type="dxa" w:w="140"/>
              <w:bottom w:type="dxa" w:w="80"/>
              <w:right w:type="dxa" w:w="140"/>
            </w:tcMar>
          </w:tcPr>
          <w:p>
            <w:r>
              <w:rPr>
                <w:rFonts w:ascii="Arial" w:cs="Arial" w:eastAsia="Arial" w:hAnsi="Arial"/>
                <w:b/>
                <w:bCs/>
                <w:color w:val="0B2545"/>
                <w:sz w:val="19"/>
                <w:szCs w:val="19"/>
              </w:rPr>
              <w:t xml:space="preserve">Fecha:</w:t>
            </w:r>
          </w:p>
        </w:tc>
        <w:tc>
          <w:tcPr>
            <w:tcW w:type="dxa" w:w="46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Marzo 2026</w:t>
            </w:r>
          </w:p>
        </w:tc>
      </w:tr>
      <w:tr>
        <w:tc>
          <w:tcPr>
            <w:tcW w:type="dxa" w:w="2800"/>
            <w:tcBorders>
              <w:top w:val="single" w:color="AECBEA" w:sz="1"/>
              <w:left w:val="single" w:color="AECBEA" w:sz="1"/>
              <w:bottom w:val="single" w:color="AECBEA" w:sz="1"/>
              <w:right w:val="single" w:color="AECBEA" w:sz="1"/>
            </w:tcBorders>
            <w:shd w:fill="D0E4F7" w:val="clear"/>
            <w:tcMar>
              <w:top w:type="dxa" w:w="80"/>
              <w:left w:type="dxa" w:w="140"/>
              <w:bottom w:type="dxa" w:w="80"/>
              <w:right w:type="dxa" w:w="140"/>
            </w:tcMar>
          </w:tcPr>
          <w:p>
            <w:r>
              <w:rPr>
                <w:rFonts w:ascii="Arial" w:cs="Arial" w:eastAsia="Arial" w:hAnsi="Arial"/>
                <w:b/>
                <w:bCs/>
                <w:color w:val="0B2545"/>
                <w:sz w:val="19"/>
                <w:szCs w:val="19"/>
              </w:rPr>
              <w:t xml:space="preserve">Marco Normativo:</w:t>
            </w:r>
          </w:p>
        </w:tc>
        <w:tc>
          <w:tcPr>
            <w:tcW w:type="dxa" w:w="46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ISO/IEC 27001:2022</w:t>
            </w:r>
          </w:p>
        </w:tc>
      </w:tr>
      <w:tr>
        <w:tc>
          <w:tcPr>
            <w:tcW w:type="dxa" w:w="2800"/>
            <w:tcBorders>
              <w:top w:val="single" w:color="AECBEA" w:sz="1"/>
              <w:left w:val="single" w:color="AECBEA" w:sz="1"/>
              <w:bottom w:val="single" w:color="AECBEA" w:sz="1"/>
              <w:right w:val="single" w:color="AECBEA" w:sz="1"/>
            </w:tcBorders>
            <w:shd w:fill="D0E4F7" w:val="clear"/>
            <w:tcMar>
              <w:top w:type="dxa" w:w="80"/>
              <w:left w:type="dxa" w:w="140"/>
              <w:bottom w:type="dxa" w:w="80"/>
              <w:right w:type="dxa" w:w="140"/>
            </w:tcMar>
          </w:tcPr>
          <w:p>
            <w:r>
              <w:rPr>
                <w:rFonts w:ascii="Arial" w:cs="Arial" w:eastAsia="Arial" w:hAnsi="Arial"/>
                <w:b/>
                <w:bCs/>
                <w:color w:val="0B2545"/>
                <w:sz w:val="19"/>
                <w:szCs w:val="19"/>
              </w:rPr>
              <w:t xml:space="preserve">Confidencialidad:</w:t>
            </w:r>
          </w:p>
        </w:tc>
        <w:tc>
          <w:tcPr>
            <w:tcW w:type="dxa" w:w="46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Documento Confidencial</w:t>
            </w:r>
          </w:p>
        </w:tc>
      </w:tr>
    </w:tbl>
    <w:p>
      <w:pPr>
        <w:spacing w:after="0" w:before="260"/>
      </w:pPr>
      <w:r>
        <w:t xml:space="preserve"/>
      </w:r>
    </w:p>
    <w:p>
      <w:pPr>
        <w:shd w:fill="00838F" w:val="clear"/>
        <w:spacing w:after="60" w:before="100"/>
        <w:jc w:val="center"/>
      </w:pPr>
      <w:r>
        <w:rPr>
          <w:rFonts w:ascii="Arial" w:cs="Arial" w:eastAsia="Arial" w:hAnsi="Arial"/>
          <w:b/>
          <w:bCs/>
          <w:color w:val="FFFFFF"/>
          <w:sz w:val="20"/>
          <w:szCs w:val="20"/>
        </w:rPr>
        <w:t xml:space="preserve">  DOCUMENTO DE USO INTERNO — PROYECTO DE TRANSFORMACION DIGITAL  </w:t>
      </w:r>
    </w:p>
    <w:p>
      <w:pPr>
        <w:shd w:fill="0B2545" w:val="clear"/>
        <w:spacing w:after="0" w:before="0"/>
        <w:jc w:val="center"/>
      </w:pPr>
      <w:r>
        <w:rPr>
          <w:rFonts w:ascii="Arial" w:cs="Arial" w:eastAsia="Arial" w:hAnsi="Arial"/>
          <w:b/>
          <w:bCs/>
          <w:color w:val="FFFFFF"/>
          <w:sz w:val="18"/>
          <w:szCs w:val="18"/>
        </w:rPr>
        <w:t xml:space="preserve">  CONFIDENCIAL — USO EXCLUSIVO DEL CLIENTE  </w:t>
      </w:r>
    </w:p>
    <w:p>
      <w:pPr>
        <w:spacing w:after="0" w:before="0"/>
      </w:pPr>
      <w:r>
        <w:br/>
      </w:r>
    </w:p>
    <w:p>
      <w:pPr>
        <w:shd w:fill="0B2545" w:val="clear"/>
        <w:spacing w:after="160" w:before="360"/>
        <w:ind w:left="200" w:right="200"/>
      </w:pPr>
      <w:r>
        <w:rPr>
          <w:rFonts w:ascii="Arial" w:cs="Arial" w:eastAsia="Arial" w:hAnsi="Arial"/>
          <w:b/>
          <w:bCs/>
          <w:color w:val="00838F"/>
          <w:sz w:val="30"/>
          <w:szCs w:val="30"/>
        </w:rPr>
        <w:t xml:space="preserve">01  </w:t>
      </w:r>
      <w:r>
        <w:rPr>
          <w:rFonts w:ascii="Arial" w:cs="Arial" w:eastAsia="Arial" w:hAnsi="Arial"/>
          <w:b/>
          <w:bCs/>
          <w:color w:val="FFFFFF"/>
          <w:sz w:val="30"/>
          <w:szCs w:val="30"/>
        </w:rPr>
        <w:t xml:space="preserve">CONTEXTO ACTUAL DEL CLIENTE</w:t>
      </w:r>
    </w:p>
    <w:p>
      <w:pPr>
        <w:spacing w:after="0" w:before="120"/>
      </w:pPr>
      <w:r>
        <w:t xml:space="preserve"/>
      </w:r>
    </w:p>
    <w:p>
      <w:pPr>
        <w:spacing w:after="80" w:before="80"/>
      </w:pPr>
      <w:r>
        <w:rPr>
          <w:rFonts w:ascii="Arial" w:cs="Arial" w:eastAsia="Arial" w:hAnsi="Arial"/>
          <w:i w:val="false"/>
          <w:iCs w:val="false"/>
          <w:color w:val="1A1A2E"/>
          <w:sz w:val="20"/>
          <w:szCs w:val="20"/>
        </w:rPr>
        <w:t xml:space="preserve">Con base en la informacion preliminar proporcionada, se ha identificado el siguiente estado actual del entorno tecnologico del cliente. Esta seccion servira como referencia para validar, completar y precisar los datos durante el proceso de levantamiento.</w:t>
      </w:r>
    </w:p>
    <w:p>
      <w:pPr>
        <w:spacing w:after="0" w:before="100"/>
      </w:pPr>
      <w:r>
        <w:t xml:space="preserve"/>
      </w:r>
    </w:p>
    <w:p>
      <w:pPr>
        <w:pBdr>
          <w:bottom w:val="single" w:color="D0E4F7" w:sz="3"/>
        </w:pBdr>
        <w:spacing w:after="100" w:before="240"/>
      </w:pPr>
      <w:r>
        <w:rPr>
          <w:rFonts w:ascii="Arial" w:cs="Arial" w:eastAsia="Arial" w:hAnsi="Arial"/>
          <w:b/>
          <w:bCs/>
          <w:color w:val="1565C0"/>
          <w:sz w:val="24"/>
          <w:szCs w:val="24"/>
        </w:rPr>
        <w:t xml:space="preserve">Estado Actual — Resumen Ejecutivo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80"/>
        <w:gridCol w:w="3080"/>
      </w:tblGrid>
      <w:tr>
        <w:trPr>
          <w:tblHeader/>
        </w:trPr>
        <w:tc>
          <w:tcPr>
            <w:tcW w:type="dxa" w:w="28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Servicio / Componente</w:t>
            </w:r>
          </w:p>
        </w:tc>
        <w:tc>
          <w:tcPr>
            <w:tcW w:type="dxa" w:w="348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Estado Actual</w:t>
            </w:r>
          </w:p>
        </w:tc>
        <w:tc>
          <w:tcPr>
            <w:tcW w:type="dxa" w:w="308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Destino Objetivo</w:t>
            </w:r>
          </w:p>
        </w:tc>
      </w:tr>
      <w:tr>
        <w:tc>
          <w:tcPr>
            <w:tcW w:type="dxa" w:w="28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VPN Corporativa</w:t>
            </w:r>
          </w:p>
        </w:tc>
        <w:tc>
          <w:tcPr>
            <w:tcW w:type="dxa" w:w="348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Check Point (cliente on-premise, acceso a red local)</w:t>
            </w:r>
          </w:p>
        </w:tc>
        <w:tc>
          <w:tcPr>
            <w:tcW w:type="dxa" w:w="308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Azure VPN P2S + MFA Entra ID</w:t>
            </w:r>
          </w:p>
        </w:tc>
      </w:tr>
      <w:tr>
        <w:tc>
          <w:tcPr>
            <w:tcW w:type="dxa" w:w="28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Active Directory</w:t>
            </w:r>
          </w:p>
        </w:tc>
        <w:tc>
          <w:tcPr>
            <w:tcW w:type="dxa" w:w="348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On-Premise (AD DS local)</w:t>
            </w:r>
          </w:p>
        </w:tc>
        <w:tc>
          <w:tcPr>
            <w:tcW w:type="dxa" w:w="308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Azure AD / Entra ID + AD hibrido o full cloud</w:t>
            </w:r>
          </w:p>
        </w:tc>
      </w:tr>
      <w:tr>
        <w:tc>
          <w:tcPr>
            <w:tcW w:type="dxa" w:w="28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File Server</w:t>
            </w:r>
          </w:p>
        </w:tc>
        <w:tc>
          <w:tcPr>
            <w:tcW w:type="dxa" w:w="348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Servidor local, protocolo SMB, 4 TB de datos</w:t>
            </w:r>
          </w:p>
        </w:tc>
        <w:tc>
          <w:tcPr>
            <w:tcW w:type="dxa" w:w="308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Azure Files hibrido: 90% cloud + 10% on-premise cifrado</w:t>
            </w:r>
          </w:p>
        </w:tc>
      </w:tr>
      <w:tr>
        <w:tc>
          <w:tcPr>
            <w:tcW w:type="dxa" w:w="28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Datos sensibles (10%)</w:t>
            </w:r>
          </w:p>
        </w:tc>
        <w:tc>
          <w:tcPr>
            <w:tcW w:type="dxa" w:w="348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On-premise sin clasificacion formal</w:t>
            </w:r>
          </w:p>
        </w:tc>
        <w:tc>
          <w:tcPr>
            <w:tcW w:type="dxa" w:w="308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On-premise cifrado (BitLocker/EFS) + Azure Files Premium cifrado</w:t>
            </w:r>
          </w:p>
        </w:tc>
      </w:tr>
      <w:tr>
        <w:tc>
          <w:tcPr>
            <w:tcW w:type="dxa" w:w="28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Firewall Perimetral</w:t>
            </w:r>
          </w:p>
        </w:tc>
        <w:tc>
          <w:tcPr>
            <w:tcW w:type="dxa" w:w="348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Check Point (VPN + Firewall on-premise)</w:t>
            </w:r>
          </w:p>
        </w:tc>
        <w:tc>
          <w:tcPr>
            <w:tcW w:type="dxa" w:w="308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Azure Firewall (nube) + Nuevo FW on-premise (perimetral)</w:t>
            </w:r>
          </w:p>
        </w:tc>
      </w:tr>
      <w:tr>
        <w:tc>
          <w:tcPr>
            <w:tcW w:type="dxa" w:w="28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MFA / Autenticacion</w:t>
            </w:r>
          </w:p>
        </w:tc>
        <w:tc>
          <w:tcPr>
            <w:tcW w:type="dxa" w:w="348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No implementado formalmente</w:t>
            </w:r>
          </w:p>
        </w:tc>
        <w:tc>
          <w:tcPr>
            <w:tcW w:type="dxa" w:w="308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Azure AD MFA + Conditional Access (Entra ID)</w:t>
            </w:r>
          </w:p>
        </w:tc>
      </w:tr>
      <w:tr>
        <w:tc>
          <w:tcPr>
            <w:tcW w:type="dxa" w:w="28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Disponibilidad electrica</w:t>
            </w:r>
          </w:p>
        </w:tc>
        <w:tc>
          <w:tcPr>
            <w:tcW w:type="dxa" w:w="348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Problema recurrente en sitio principal</w:t>
            </w:r>
          </w:p>
        </w:tc>
        <w:tc>
          <w:tcPr>
            <w:tcW w:type="dxa" w:w="308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Mitigado al mover servicios criticos a Azure</w:t>
            </w:r>
          </w:p>
        </w:tc>
      </w:tr>
      <w:tr>
        <w:tc>
          <w:tcPr>
            <w:tcW w:type="dxa" w:w="28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Marco normativo</w:t>
            </w:r>
          </w:p>
        </w:tc>
        <w:tc>
          <w:tcPr>
            <w:tcW w:type="dxa" w:w="348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ISO 27001 en evaluacion/implementacion</w:t>
            </w:r>
          </w:p>
        </w:tc>
        <w:tc>
          <w:tcPr>
            <w:tcW w:type="dxa" w:w="308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ISO 27001:2022 — Controles A.8, A.9, A.12, A.13</w:t>
            </w:r>
          </w:p>
        </w:tc>
      </w:tr>
    </w:tbl>
    <w:p>
      <w:pPr>
        <w:spacing w:after="0" w:before="100"/>
      </w:pPr>
      <w:r>
        <w:t xml:space="preserve"/>
      </w:r>
    </w:p>
    <w:p>
      <w:pPr>
        <w:shd w:fill="EBF4FD" w:val="clear"/>
        <w:spacing w:after="80" w:before="80"/>
        <w:ind w:left="140" w:right="140"/>
      </w:pPr>
      <w:r>
        <w:rPr>
          <w:rFonts w:ascii="Arial" w:cs="Arial" w:eastAsia="Arial" w:hAnsi="Arial"/>
          <w:i/>
          <w:iCs/>
          <w:color w:val="1565C0"/>
          <w:sz w:val="18"/>
          <w:szCs w:val="18"/>
        </w:rPr>
        <w:t xml:space="preserve">  Hallazgo critico: Los cortes electricos recurrentes en el sitio principal representan un riesgo operacional clasificable como amenaza de disponibilidad bajo ISO 27001 (Control A.8.14 — Redundancia de instalaciones de procesamiento de informacion). La migracion a Azure es la respuesta directa a este riesgo.</w:t>
      </w:r>
    </w:p>
    <w:p>
      <w:pPr>
        <w:spacing w:after="0" w:before="200"/>
      </w:pPr>
      <w:r>
        <w:t xml:space="preserve"/>
      </w:r>
    </w:p>
    <w:p>
      <w:pPr>
        <w:shd w:fill="0B2545" w:val="clear"/>
        <w:spacing w:after="160" w:before="360"/>
        <w:ind w:left="200" w:right="200"/>
      </w:pPr>
      <w:r>
        <w:rPr>
          <w:rFonts w:ascii="Arial" w:cs="Arial" w:eastAsia="Arial" w:hAnsi="Arial"/>
          <w:b/>
          <w:bCs/>
          <w:color w:val="00838F"/>
          <w:sz w:val="30"/>
          <w:szCs w:val="30"/>
        </w:rPr>
        <w:t xml:space="preserve">02  </w:t>
      </w:r>
      <w:r>
        <w:rPr>
          <w:rFonts w:ascii="Arial" w:cs="Arial" w:eastAsia="Arial" w:hAnsi="Arial"/>
          <w:b/>
          <w:bCs/>
          <w:color w:val="FFFFFF"/>
          <w:sz w:val="30"/>
          <w:szCs w:val="30"/>
        </w:rPr>
        <w:t xml:space="preserve">CUESTIONARIO DE LEVANTAMIENTO DE REQUERIMIENTOS</w:t>
      </w:r>
    </w:p>
    <w:p>
      <w:pPr>
        <w:spacing w:after="0" w:before="120"/>
      </w:pPr>
      <w:r>
        <w:t xml:space="preserve"/>
      </w:r>
    </w:p>
    <w:p>
      <w:pPr>
        <w:spacing w:after="80" w:before="80"/>
      </w:pPr>
      <w:r>
        <w:rPr>
          <w:rFonts w:ascii="Arial" w:cs="Arial" w:eastAsia="Arial" w:hAnsi="Arial"/>
          <w:i w:val="false"/>
          <w:iCs w:val="false"/>
          <w:color w:val="1A1A2E"/>
          <w:sz w:val="20"/>
          <w:szCs w:val="20"/>
        </w:rPr>
        <w:t xml:space="preserve">El siguiente cuestionario esta organizado por area tecnologica. Cada seccion contiene preguntas especificas necesarias para disenar la arquitectura, el plan de migracion y el roadmap de transformacion digital. Se recomienda completarlo con el responsable tecnico y el responsable de seguridad de la informacion del cliente.</w:t>
      </w:r>
    </w:p>
    <w:p>
      <w:pPr>
        <w:spacing w:after="0" w:before="80"/>
      </w:pPr>
      <w:r>
        <w:t xml:space="preserve"/>
      </w:r>
    </w:p>
    <w:p>
      <w:pPr>
        <w:shd w:fill="FFF3E0" w:val="clear"/>
        <w:spacing w:after="80" w:before="80"/>
        <w:ind w:left="140" w:right="140"/>
      </w:pPr>
      <w:r>
        <w:rPr>
          <w:rFonts w:ascii="Arial" w:cs="Arial" w:eastAsia="Arial" w:hAnsi="Arial"/>
          <w:i/>
          <w:iCs/>
          <w:color w:val="E65100"/>
          <w:sz w:val="18"/>
          <w:szCs w:val="18"/>
        </w:rPr>
        <w:t xml:space="preserve">  Instrucciones: Seleccione la opcion que aplique en la columna 'Opciones de Respuesta' o proporcione su respuesta en 'Notas / Comentarios'. Si una pregunta no aplica, indique N/A.</w:t>
      </w:r>
    </w:p>
    <w:p>
      <w:pPr>
        <w:spacing w:after="0" w:before="120"/>
      </w:pPr>
      <w:r>
        <w:t xml:space="preserve"/>
      </w:r>
    </w:p>
    <w:p>
      <w:pPr>
        <w:pBdr>
          <w:bottom w:val="single" w:color="D0E4F7" w:sz="3"/>
        </w:pBdr>
        <w:spacing w:after="100" w:before="240"/>
      </w:pPr>
      <w:r>
        <w:rPr>
          <w:rFonts w:ascii="Arial" w:cs="Arial" w:eastAsia="Arial" w:hAnsi="Arial"/>
          <w:b/>
          <w:bCs/>
          <w:color w:val="1565C0"/>
          <w:sz w:val="24"/>
          <w:szCs w:val="24"/>
        </w:rPr>
        <w:t xml:space="preserve">Seccion A — Informacion General y Organizacional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60"/>
        <w:gridCol w:w="2200"/>
        <w:gridCol w:w="1500"/>
      </w:tblGrid>
      <w:tr>
        <w:trPr>
          <w:tblHeader/>
        </w:trPr>
        <w:tc>
          <w:tcPr>
            <w:tcW w:type="dxa" w:w="4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t>
            </w:r>
          </w:p>
        </w:tc>
        <w:tc>
          <w:tcPr>
            <w:tcW w:type="dxa" w:w="526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Pregunta</w:t>
            </w:r>
          </w:p>
        </w:tc>
        <w:tc>
          <w:tcPr>
            <w:tcW w:type="dxa" w:w="22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Opciones de Respuesta</w:t>
            </w:r>
          </w:p>
        </w:tc>
        <w:tc>
          <w:tcPr>
            <w:tcW w:type="dxa" w:w="15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Notas / Comentarios</w:t>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1</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¿Cuantos usuarios tiene la organizacion en total?</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&lt; 50 / 50-100 / 100-250 / &gt; 250</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2</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¿Cuantos usuarios utilizan actualmente la VPN de Check Point?</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Numero exacto: ____</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3</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¿Cuantos sitios fisicos (oficinas, sucursales) tiene la organizacion?</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1 / 2-5 / 6-10 / &gt; 10</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4</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¿Cual es el giro o industria de la organizacion?</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Respuesta abierta</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5</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¿Existe un responsable formal de Seguridad de la Informacion (CISO o equivalente)?</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Si / No / En proceso de designar</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6</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¿La organizacion ya inicio un proceso de certificacion ISO 27001?</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Si, certificada / Si, en proceso / No, evaluando / No</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7</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¿Existe un SGSI (Sistema de Gestion de Seguridad de la Informacion) documentado?</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Si, completo / Si, parcial / No</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8</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¿Se han realizado analisis de riesgos de seguridad de la informacion anteriormente?</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Si, formal / Si, informal / No</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9</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¿Existe presupuesto aprobado o en proceso de aprobacion para este proyecto?</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Si, aprobado / En aprobacion / No definido</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10</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¿Cual es la fecha objetivo para completar la transformacion (si existe)?</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Respuesta abierta / Sin fecha definida</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bl>
    <w:p>
      <w:pPr>
        <w:spacing w:after="0" w:before="160"/>
      </w:pPr>
      <w:r>
        <w:t xml:space="preserve"/>
      </w:r>
    </w:p>
    <w:p>
      <w:pPr>
        <w:pBdr>
          <w:bottom w:val="single" w:color="D0E4F7" w:sz="3"/>
        </w:pBdr>
        <w:spacing w:after="100" w:before="240"/>
      </w:pPr>
      <w:r>
        <w:rPr>
          <w:rFonts w:ascii="Arial" w:cs="Arial" w:eastAsia="Arial" w:hAnsi="Arial"/>
          <w:b/>
          <w:bCs/>
          <w:color w:val="1565C0"/>
          <w:sz w:val="24"/>
          <w:szCs w:val="24"/>
        </w:rPr>
        <w:t xml:space="preserve">Seccion B — Active Directory On-Premise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60"/>
        <w:gridCol w:w="2200"/>
        <w:gridCol w:w="1500"/>
      </w:tblGrid>
      <w:tr>
        <w:trPr>
          <w:tblHeader/>
        </w:trPr>
        <w:tc>
          <w:tcPr>
            <w:tcW w:type="dxa" w:w="4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t>
            </w:r>
          </w:p>
        </w:tc>
        <w:tc>
          <w:tcPr>
            <w:tcW w:type="dxa" w:w="526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Pregunta</w:t>
            </w:r>
          </w:p>
        </w:tc>
        <w:tc>
          <w:tcPr>
            <w:tcW w:type="dxa" w:w="22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Opciones de Respuesta</w:t>
            </w:r>
          </w:p>
        </w:tc>
        <w:tc>
          <w:tcPr>
            <w:tcW w:type="dxa" w:w="15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Notas / Comentarios</w:t>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1</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¿Cual es la version actual del Active Directory (Windows Server)?</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2012 / 2016 / 2019 / 2022 / Mixto</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2</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¿Cuantos Domain Controllers (DCs) existen actualmente?</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1 / 2 / 3 o mas</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3</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¿El AD esta en un unico dominio o tiene estructura de bosque/multiples dominios?</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Un dominio / Multiples dominios / Bosque con subdominios</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4</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¿Cual es el nombre del dominio interno (FQDN)?</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Respuesta abierta (ej. empresa.local)</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5</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¿Existe Azure AD Connect ya instalado o configurado?</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Si, sincronizado / Si, sin sincronizar / No</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6</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¿Los usuarios de AD tienen cuentas de correo en Microsoft 365 o Exchange on-premise?</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M365 / Exchange on-prem / Ambos / Ninguno</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7</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¿Cuantas cuentas de usuario activas existen en AD?</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Numero exacto: ____</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8</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¿Cuantas OUs (Unidades Organizativas) principales tiene el AD?</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&lt; 5 / 5-15 / &gt; 15</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9</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¿Existen Group Policy Objects (GPOs) criticos para la operacion del negocio?</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Si, muchas / Si, pocas / No / No se sabe</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10</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¿Existen aplicaciones internas que dependen de autenticacion NTLM o Kerberos con AD on-premise?</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Si / No / No se sabe — listar si es posible</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11</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¿El AD on-premise sera reemplazado completamente o mantendra coexistencia hibrida con Azure AD?</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Reemplazo completo / Hibrido permanente / No definido</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12</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¿Se requiere sincronizacion de contrasenas (Password Hash Sync) o autenticacion passtrought (PTA)?</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Password Hash Sync / PTA / ADFS / No se sabe</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bl>
    <w:p>
      <w:pPr>
        <w:spacing w:after="0" w:before="160"/>
      </w:pPr>
      <w:r>
        <w:t xml:space="preserve"/>
      </w:r>
    </w:p>
    <w:p>
      <w:pPr>
        <w:pBdr>
          <w:bottom w:val="single" w:color="D0E4F7" w:sz="3"/>
        </w:pBdr>
        <w:spacing w:after="100" w:before="240"/>
      </w:pPr>
      <w:r>
        <w:rPr>
          <w:rFonts w:ascii="Arial" w:cs="Arial" w:eastAsia="Arial" w:hAnsi="Arial"/>
          <w:b/>
          <w:bCs/>
          <w:color w:val="1565C0"/>
          <w:sz w:val="24"/>
          <w:szCs w:val="24"/>
        </w:rPr>
        <w:t xml:space="preserve">Seccion C — File Server y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60"/>
        <w:gridCol w:w="2200"/>
        <w:gridCol w:w="1500"/>
      </w:tblGrid>
      <w:tr>
        <w:trPr>
          <w:tblHeader/>
        </w:trPr>
        <w:tc>
          <w:tcPr>
            <w:tcW w:type="dxa" w:w="4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t>
            </w:r>
          </w:p>
        </w:tc>
        <w:tc>
          <w:tcPr>
            <w:tcW w:type="dxa" w:w="526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Pregunta</w:t>
            </w:r>
          </w:p>
        </w:tc>
        <w:tc>
          <w:tcPr>
            <w:tcW w:type="dxa" w:w="22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Opciones de Respuesta</w:t>
            </w:r>
          </w:p>
        </w:tc>
        <w:tc>
          <w:tcPr>
            <w:tcW w:type="dxa" w:w="15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Notas / Comentarios</w:t>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1</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¿Cual es el sistema operativo actual del File Server?</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WS 2012 / 2016 / 2019 / 2022 / NAS</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2</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¿Cuantos shares (carpetas compartidas) existen actualmente?</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&lt; 10 / 10-30 / 30-50 / &gt; 50</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3</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¿Cual es el tamano total actual de datos almacenados (confirmado)?</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Aproximado: ____ TB</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4</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¿A que tasa crecen los datos aproximadamente por mes/ano?</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&lt; 5% / 5-10% / 10-20% / &gt; 20% anual</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5</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¿Los 4 TB incluyen archivos de Office, PDFs, imagenes, videos u otros tipos?</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Listar tipos principales</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6</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¿Ya se ha identificado formalmente cual es el 10% de datos sensibles (no pueden ir a la nube)?</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Si, clasificados / Si, estimado / No, hay que clasificar</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7</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¿Bajo que criterio se considera que un dato es sensible (no puede ir a la nube)?</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Dato personal / Secreto industrial / Regulacion / Contrato / Otro</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8</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¿Existe actualmente una politica de clasificacion de la informacion?</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Si, formal / Si, informal / No</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9</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¿Los datos sensibles on-premise requieren cifrado en reposo?</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Si, ya estan cifrados / Si, se requiere / No definido</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10</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¿Que herramienta de cifrado se considera para los datos sensibles on-premise?</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BitLocker / EFS / VeraCrypt / No definido</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11</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¿Cuantos usuarios acceden al File Server diariamente?</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&lt; 20 / 20-50 / 50-100 / &gt; 100</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12</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¿El acceso al File Server es solo desde la LAN o tambien de forma remota (VPN)?</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Solo LAN / LAN + VPN / Solo VPN remoto</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13</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¿Existe alguna aplicacion de negocio que lea/escriba directamente en el File Server por SMB?</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Si (listar) / No / No se sabe</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14</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¿Se utiliza DFS (Distributed File System) actualmente para los shares?</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Si / No</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15</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¿Existe politica de respaldo actual para el File Server? ¿Con que herramienta?</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Si (herramienta: ____) / No / Incompleta</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16</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¿Se ha evaluado Azure File Sync para mantener sincronizados el on-premise y Azure Files?</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Si / No / Quiero que me lo expliquen</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17</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¿El File Server on-premise (10% datos sensibles) tendra continuidad o se apagara eventualmente?</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Continuara activo / Se apagara cuando se pueda / No definido</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bl>
    <w:p>
      <w:pPr>
        <w:spacing w:after="0" w:before="160"/>
      </w:pPr>
      <w:r>
        <w:t xml:space="preserve"/>
      </w:r>
    </w:p>
    <w:p>
      <w:pPr>
        <w:pBdr>
          <w:bottom w:val="single" w:color="D0E4F7" w:sz="3"/>
        </w:pBdr>
        <w:spacing w:after="100" w:before="240"/>
      </w:pPr>
      <w:r>
        <w:rPr>
          <w:rFonts w:ascii="Arial" w:cs="Arial" w:eastAsia="Arial" w:hAnsi="Arial"/>
          <w:b/>
          <w:bCs/>
          <w:color w:val="1565C0"/>
          <w:sz w:val="24"/>
          <w:szCs w:val="24"/>
        </w:rPr>
        <w:t xml:space="preserve">Seccion D — Firewall y Seguridad Perimetral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60"/>
        <w:gridCol w:w="2200"/>
        <w:gridCol w:w="1500"/>
      </w:tblGrid>
      <w:tr>
        <w:trPr>
          <w:tblHeader/>
        </w:trPr>
        <w:tc>
          <w:tcPr>
            <w:tcW w:type="dxa" w:w="4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t>
            </w:r>
          </w:p>
        </w:tc>
        <w:tc>
          <w:tcPr>
            <w:tcW w:type="dxa" w:w="526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Pregunta</w:t>
            </w:r>
          </w:p>
        </w:tc>
        <w:tc>
          <w:tcPr>
            <w:tcW w:type="dxa" w:w="22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Opciones de Respuesta</w:t>
            </w:r>
          </w:p>
        </w:tc>
        <w:tc>
          <w:tcPr>
            <w:tcW w:type="dxa" w:w="15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Notas / Comentarios</w:t>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1</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¿Que version/modelo de Check Point tiene actualmente?</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Respuesta abierta (modelo + R version)</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2</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¿Check Point esta siendo usado solo como VPN o tambien como Firewall perimetral de red?</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Solo VPN / Solo FW / Ambos (VPN + FW)</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3</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¿El Check Point esta en hardware fisico dedicado, VM o appliance cloud?</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Hardware fisico / VM on-prem / Appliance virtual</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4</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¿Cuantas politicas/reglas de firewall existen actualmente en Check Point?</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&lt; 20 / 20-50 / 50-100 / &gt; 100</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5</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¿Existe un inventario actualizado de las reglas de firewall de Check Point?</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Si, actualizado / Si, desactualizado / No</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6</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¿Check Point realiza inspeccion SSL/TLS del trafico actualmente?</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Si / No / No se sabe</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7</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¿Check Point tiene habilitadas capas de IPS/IDS actualmente?</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Si / No / No se sabe</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8</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¿Existe un perimetro de red bien definido (DMZ, segmentos internos)?</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Si, bien definido / Si, parcial / No</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9</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¿Cuantas IPs publicas tiene el cliente actualmente asignadas?</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1 / 2-5 / &gt; 5</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10</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¿Existen servicios publicados hacia Internet desde el sitio on-premise (web, correo, etc.)?</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Si (listar) / No</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11</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¿Se tiene preferencia por algun fabricante de FW on-premise para reemplazar Check Point?</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Fortinet / Palo Alto / Cisco / Sophos / Sin preferencia</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12</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¿Se desea evaluar Azure Firewall como capa adicional en la nube (ademas del FW on-premise)?</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Si, definitivamente / Si, evaluar / No</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13</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¿El nuevo firewall on-premise debe soportar VPN SSL/TLS para los usuarios remotos?</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Si / No — los usuarios migraran a Azure VPN P2S</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14</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¿El firewall on-premise debe soportar SD-WAN para multiples sucursales?</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Si / No / A evaluar</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bl>
    <w:p>
      <w:pPr>
        <w:spacing w:after="0" w:before="160"/>
      </w:pPr>
      <w:r>
        <w:t xml:space="preserve"/>
      </w:r>
    </w:p>
    <w:p>
      <w:pPr>
        <w:pBdr>
          <w:bottom w:val="single" w:color="D0E4F7" w:sz="3"/>
        </w:pBdr>
        <w:spacing w:after="100" w:before="240"/>
      </w:pPr>
      <w:r>
        <w:rPr>
          <w:rFonts w:ascii="Arial" w:cs="Arial" w:eastAsia="Arial" w:hAnsi="Arial"/>
          <w:b/>
          <w:bCs/>
          <w:color w:val="1565C0"/>
          <w:sz w:val="24"/>
          <w:szCs w:val="24"/>
        </w:rPr>
        <w:t xml:space="preserve">Seccion E — MFA y Gestion de Identidades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60"/>
        <w:gridCol w:w="2200"/>
        <w:gridCol w:w="1500"/>
      </w:tblGrid>
      <w:tr>
        <w:trPr>
          <w:tblHeader/>
        </w:trPr>
        <w:tc>
          <w:tcPr>
            <w:tcW w:type="dxa" w:w="4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t>
            </w:r>
          </w:p>
        </w:tc>
        <w:tc>
          <w:tcPr>
            <w:tcW w:type="dxa" w:w="526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Pregunta</w:t>
            </w:r>
          </w:p>
        </w:tc>
        <w:tc>
          <w:tcPr>
            <w:tcW w:type="dxa" w:w="22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Opciones de Respuesta</w:t>
            </w:r>
          </w:p>
        </w:tc>
        <w:tc>
          <w:tcPr>
            <w:tcW w:type="dxa" w:w="15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Notas / Comentarios</w:t>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1</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¿Los usuarios tienen actualmente licencias de Microsoft 365? ¿Que plan?</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M365 BP / M365 E3 / M365 E5 / Sin M365</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2</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¿Existe algun sistema de MFA activo actualmente (aunque sea parcial)?</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Si (cual: ____) / No</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3</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¿Check Point actualmente ofrece algun tipo de MFA para la VPN?</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Si (metodo: ____) / No</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4</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¿Todos los usuarios tienen smartphone corporativo o personal disponible para instalar Authenticator?</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Todos / La mayoria / Algunos / Ninguno</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5</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¿Se requiere MFA solo para la VPN o tambien para aplicaciones internas?</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Solo VPN / VPN + Apps / Todas las aplicaciones</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6</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¿Se desea implementar Conditional Access (acceso por riesgo, dispositivo, ubicacion)?</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Si / No / Quiero que me lo expliquen</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7</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¿Los equipos de los usuarios son corporativos (administrados por TI) o personales?</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Todos corporativos / Mixto / Todos personales</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8</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¿Se maneja o planea usar Intune para la gestion de dispositivos?</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Si, ya se usa / Si, planea / No</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9</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¿Existe algun requisito especifico de ISO 27001 que MFA deba satisfacer en el SGSI?</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Si (control: ____) / No / En evaluacion</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10</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¿Se desea implementar SSPR (Self-Service Password Reset) para usuarios?</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Si / No / Evaluar</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bl>
    <w:p>
      <w:pPr>
        <w:spacing w:after="0" w:before="160"/>
      </w:pPr>
      <w:r>
        <w:t xml:space="preserve"/>
      </w:r>
    </w:p>
    <w:p>
      <w:pPr>
        <w:pBdr>
          <w:bottom w:val="single" w:color="D0E4F7" w:sz="3"/>
        </w:pBdr>
        <w:spacing w:after="100" w:before="240"/>
      </w:pPr>
      <w:r>
        <w:rPr>
          <w:rFonts w:ascii="Arial" w:cs="Arial" w:eastAsia="Arial" w:hAnsi="Arial"/>
          <w:b/>
          <w:bCs/>
          <w:color w:val="1565C0"/>
          <w:sz w:val="24"/>
          <w:szCs w:val="24"/>
        </w:rPr>
        <w:t xml:space="preserve">Seccion F — VPN y Conectividad Hibrida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60"/>
        <w:gridCol w:w="2200"/>
        <w:gridCol w:w="1500"/>
      </w:tblGrid>
      <w:tr>
        <w:trPr>
          <w:tblHeader/>
        </w:trPr>
        <w:tc>
          <w:tcPr>
            <w:tcW w:type="dxa" w:w="4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t>
            </w:r>
          </w:p>
        </w:tc>
        <w:tc>
          <w:tcPr>
            <w:tcW w:type="dxa" w:w="526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Pregunta</w:t>
            </w:r>
          </w:p>
        </w:tc>
        <w:tc>
          <w:tcPr>
            <w:tcW w:type="dxa" w:w="22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Opciones de Respuesta</w:t>
            </w:r>
          </w:p>
        </w:tc>
        <w:tc>
          <w:tcPr>
            <w:tcW w:type="dxa" w:w="15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Notas / Comentarios</w:t>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1</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¿Se desea mantener conectividad hibrida permanente on-premise &lt;-&gt; Azure (tunel S2S)?</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Si / No / Solo mientras dure la migracion</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2</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¿El router/firewall on-premise que reemplazara a Check Point soportara VPN IPsec hacia Azure?</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Si / No / No definido aun</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3</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¿Los usuarios remotos se conectaran 100% por Azure VPN P2S o mantendran Check Point durante la transicion?</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100% Azure P2S / Convivencia temporal / No definido</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4</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¿Cuantos usuarios se conectan de forma remota (VPN) simultaneamente en hora pico?</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&lt; 10 / 10-30 / 30-80 / &gt; 80</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5</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¿Se tiene acceso a Internet de banda ancha en el sitio on-premise? ¿Cuanto ancho de banda?</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Ancho de banda: ____ Mbps</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6</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¿Se requiere que el tunel S2S sea redundante (dos tuneles hacia Azure en diferentes IPs)?</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Si / No / Evaluar</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bl>
    <w:p>
      <w:pPr>
        <w:spacing w:after="0" w:before="160"/>
      </w:pPr>
      <w:r>
        <w:t xml:space="preserve"/>
      </w:r>
    </w:p>
    <w:p>
      <w:pPr>
        <w:pBdr>
          <w:bottom w:val="single" w:color="D0E4F7" w:sz="3"/>
        </w:pBdr>
        <w:spacing w:after="100" w:before="240"/>
      </w:pPr>
      <w:r>
        <w:rPr>
          <w:rFonts w:ascii="Arial" w:cs="Arial" w:eastAsia="Arial" w:hAnsi="Arial"/>
          <w:b/>
          <w:bCs/>
          <w:color w:val="1565C0"/>
          <w:sz w:val="24"/>
          <w:szCs w:val="24"/>
        </w:rPr>
        <w:t xml:space="preserve">Seccion G — ISO 27001 y Cumplimiento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60"/>
        <w:gridCol w:w="2200"/>
        <w:gridCol w:w="1500"/>
      </w:tblGrid>
      <w:tr>
        <w:trPr>
          <w:tblHeader/>
        </w:trPr>
        <w:tc>
          <w:tcPr>
            <w:tcW w:type="dxa" w:w="4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t>
            </w:r>
          </w:p>
        </w:tc>
        <w:tc>
          <w:tcPr>
            <w:tcW w:type="dxa" w:w="526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Pregunta</w:t>
            </w:r>
          </w:p>
        </w:tc>
        <w:tc>
          <w:tcPr>
            <w:tcW w:type="dxa" w:w="22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Opciones de Respuesta</w:t>
            </w:r>
          </w:p>
        </w:tc>
        <w:tc>
          <w:tcPr>
            <w:tcW w:type="dxa" w:w="15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Notas / Comentarios</w:t>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1</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¿En que fase del ciclo ISO 27001 se encuentra el cliente actualmente?</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Gap Analysis / Implementacion / Auditoria interna / Certificacion / Mantenimiento</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2</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¿Se tiene identificado el alcance del SGSI (sistemas, procesos, ubicaciones)?</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Si, documentado / Si, parcial / No</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3</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¿Se ha realizado un analisis de riesgos formal (metodologia)?</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ISO 27005 / MAGERIT / OCTAVE / Otra / No</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4</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¿Los controles del Anexo A que aplican al proyecto (A.8, A.9, A.12, A.13) han sido evaluados?</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Si / Parcialmente / No</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5</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¿Existe un registro de activos de informacion (inventario) actualizado?</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Si, completo / Si, parcial / No</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6</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¿Se tiene politica formal de clasificacion y manejo de la informacion?</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Si / No / En elaboracion</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7</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¿Existe un plan de continuidad de negocio (BCP) o plan de recuperacion ante desastres (DRP)?</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Si, ambos / Solo BCP / Solo DRP / Ninguno</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8</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¿Los cortes electricos han sido registrados como incidentes en el SGSI?</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Si / No / No hay registro formal de incidentes</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9</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¿Se require que los logs generados en Azure (Firewall, VPN, AD, File Server) sean parte de la evidencia para ISO 27001?</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Si / No / A evaluar</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10</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¿Se tiene cuerpo auditor externo definido para la certificacion ISO 27001?</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Si (quien: ____) / No / Evaluando</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11</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¿Existen requisitos de retencion de logs definidos por politica o normativa local?</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30 dias / 90 dias / 1 ano / Mas / No definido</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12</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¿Se requiere implementar un SIEM para ISO 27001 (Microsoft Sentinel u otro)?</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Si / No / Evaluar</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bl>
    <w:p>
      <w:pPr>
        <w:spacing w:after="0" w:before="160"/>
      </w:pPr>
      <w:r>
        <w:t xml:space="preserve"/>
      </w:r>
    </w:p>
    <w:p>
      <w:pPr>
        <w:pBdr>
          <w:bottom w:val="single" w:color="D0E4F7" w:sz="3"/>
        </w:pBdr>
        <w:spacing w:after="100" w:before="240"/>
      </w:pPr>
      <w:r>
        <w:rPr>
          <w:rFonts w:ascii="Arial" w:cs="Arial" w:eastAsia="Arial" w:hAnsi="Arial"/>
          <w:b/>
          <w:bCs/>
          <w:color w:val="1565C0"/>
          <w:sz w:val="24"/>
          <w:szCs w:val="24"/>
        </w:rPr>
        <w:t xml:space="preserve">Seccion H — Infraestructura Actual y Azure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60"/>
        <w:gridCol w:w="2200"/>
        <w:gridCol w:w="1500"/>
      </w:tblGrid>
      <w:tr>
        <w:trPr>
          <w:tblHeader/>
        </w:trPr>
        <w:tc>
          <w:tcPr>
            <w:tcW w:type="dxa" w:w="4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t>
            </w:r>
          </w:p>
        </w:tc>
        <w:tc>
          <w:tcPr>
            <w:tcW w:type="dxa" w:w="526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Pregunta</w:t>
            </w:r>
          </w:p>
        </w:tc>
        <w:tc>
          <w:tcPr>
            <w:tcW w:type="dxa" w:w="22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Opciones de Respuesta</w:t>
            </w:r>
          </w:p>
        </w:tc>
        <w:tc>
          <w:tcPr>
            <w:tcW w:type="dxa" w:w="15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Notas / Comentarios</w:t>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1</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¿Existe actualmente una suscripcion de Azure activa?</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Si / No / Solo trial</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2</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¿Existe un tenant de Azure AD (Entra ID) configurado?</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Si, con usuarios / Si, vacio / No</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3</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¿Se tiene experiencia previa con servicios de Azure o es el primer proyecto?</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Experiencia avanzada / Basica / Primera vez</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4</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¿Cual es el inventario de servidores fisicos on-premise actualmente?</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Respuesta abierta (cantidad + funcion)</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5</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¿El sitio on-premise tiene generador electrico o UPS?</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Generador + UPS / Solo UPS / Solo generador / Ninguno</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6</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¿Cual es la frecuencia aproximada de los cortes electricos?</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Diario / Semanal / Mensual / Esporadico</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7</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¿Cuanto tiempo dura tipicamente un corte electrico?</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Minutos / Horas / Dia o mas</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8</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¿Existe contrato de soporte activo con Check Point o su distribuidor?</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Si, vigente / Si, vencido / No</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FFFFF"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9</w:t>
            </w:r>
          </w:p>
        </w:tc>
        <w:tc>
          <w:tcPr>
            <w:tcW w:type="dxa" w:w="52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¿Se tiene preferencia por un modelo de despliegue en Azure: IaaS (VMs) o PaaS (servicios administrados)?</w:t>
            </w:r>
          </w:p>
        </w:tc>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i/>
                <w:iCs/>
                <w:color w:val="455A64"/>
                <w:sz w:val="18"/>
                <w:szCs w:val="18"/>
              </w:rPr>
              <w:t xml:space="preserve">IaaS preferido / PaaS preferido / Sin preferencia / Mixto</w:t>
            </w:r>
          </w:p>
        </w:tc>
        <w:tc>
          <w:tcPr>
            <w:tcW w:type="dxa" w:w="15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400"/>
            <w:tcBorders>
              <w:top w:val="single" w:color="AECBEA" w:sz="1"/>
              <w:left w:val="single" w:color="AECBEA" w:sz="1"/>
              <w:bottom w:val="single" w:color="AECBEA" w:sz="1"/>
              <w:right w:val="single" w:color="AECBEA" w:sz="1"/>
            </w:tcBorders>
            <w:shd w:fill="F5F7FA" w:val="clear"/>
            <w:tcMar>
              <w:top w:type="dxa" w:w="80"/>
              <w:left w:type="dxa" w:w="100"/>
              <w:bottom w:type="dxa" w:w="80"/>
              <w:right w:type="dxa" w:w="100"/>
            </w:tcMar>
          </w:tcPr>
          <w:p>
            <w:pPr>
              <w:jc w:val="center"/>
            </w:pPr>
            <w:r>
              <w:rPr>
                <w:rFonts w:ascii="Arial" w:cs="Arial" w:eastAsia="Arial" w:hAnsi="Arial"/>
                <w:b/>
                <w:bCs/>
                <w:color w:val="0B2545"/>
                <w:sz w:val="19"/>
                <w:szCs w:val="19"/>
              </w:rPr>
              <w:t xml:space="preserve">10</w:t>
            </w:r>
          </w:p>
        </w:tc>
        <w:tc>
          <w:tcPr>
            <w:tcW w:type="dxa" w:w="52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¿Existe restriccion de pais/region para almacenar los datos en Azure?</w:t>
            </w:r>
          </w:p>
        </w:tc>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i/>
                <w:iCs/>
                <w:color w:val="455A64"/>
                <w:sz w:val="18"/>
                <w:szCs w:val="18"/>
              </w:rPr>
              <w:t xml:space="preserve">Solo Mexico / LATAM / Sin restriccion / No sabe</w:t>
            </w:r>
          </w:p>
        </w:tc>
        <w:tc>
          <w:tcPr>
            <w:tcW w:type="dxa" w:w="15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sz w:val="18"/>
                <w:szCs w:val="18"/>
              </w:rPr>
              <w:t xml:space="preserve"/>
            </w:r>
          </w:p>
        </w:tc>
      </w:tr>
    </w:tbl>
    <w:p>
      <w:pPr>
        <w:spacing w:after="0" w:before="0"/>
      </w:pPr>
      <w:r>
        <w:br/>
      </w:r>
    </w:p>
    <w:p>
      <w:pPr>
        <w:shd w:fill="0B2545" w:val="clear"/>
        <w:spacing w:after="160" w:before="360"/>
        <w:ind w:left="200" w:right="200"/>
      </w:pPr>
      <w:r>
        <w:rPr>
          <w:rFonts w:ascii="Arial" w:cs="Arial" w:eastAsia="Arial" w:hAnsi="Arial"/>
          <w:b/>
          <w:bCs/>
          <w:color w:val="00838F"/>
          <w:sz w:val="30"/>
          <w:szCs w:val="30"/>
        </w:rPr>
        <w:t xml:space="preserve">03  </w:t>
      </w:r>
      <w:r>
        <w:rPr>
          <w:rFonts w:ascii="Arial" w:cs="Arial" w:eastAsia="Arial" w:hAnsi="Arial"/>
          <w:b/>
          <w:bCs/>
          <w:color w:val="FFFFFF"/>
          <w:sz w:val="30"/>
          <w:szCs w:val="30"/>
        </w:rPr>
        <w:t xml:space="preserve">ROAD MAP DE TRANSFORMACION DIGITAL</w:t>
      </w:r>
    </w:p>
    <w:p>
      <w:pPr>
        <w:spacing w:after="0" w:before="120"/>
      </w:pPr>
      <w:r>
        <w:t xml:space="preserve"/>
      </w:r>
    </w:p>
    <w:p>
      <w:pPr>
        <w:spacing w:after="80" w:before="80"/>
      </w:pPr>
      <w:r>
        <w:rPr>
          <w:rFonts w:ascii="Arial" w:cs="Arial" w:eastAsia="Arial" w:hAnsi="Arial"/>
          <w:i w:val="false"/>
          <w:iCs w:val="false"/>
          <w:color w:val="1A1A2E"/>
          <w:sz w:val="20"/>
          <w:szCs w:val="20"/>
        </w:rPr>
        <w:t xml:space="preserve">El siguiente Road Map propone una secuencia logica de implementacion organizada en 5 fases, disenada para minimizar el impacto operacional, mantener la continuidad del negocio y alinear cada paso con los controles de ISO 27001:2022. La duracion total estimada es de 12 a 18 meses dependiendo de la complejidad del entorno y la disponibilidad de recursos.</w:t>
      </w:r>
    </w:p>
    <w:p>
      <w:pPr>
        <w:spacing w:after="0" w:before="80"/>
      </w:pPr>
      <w:r>
        <w:t xml:space="preserve"/>
      </w:r>
    </w:p>
    <w:p>
      <w:pPr>
        <w:shd w:fill="EBF4FD" w:val="clear"/>
        <w:spacing w:after="80" w:before="80"/>
        <w:ind w:left="140" w:right="140"/>
      </w:pPr>
      <w:r>
        <w:rPr>
          <w:rFonts w:ascii="Arial" w:cs="Arial" w:eastAsia="Arial" w:hAnsi="Arial"/>
          <w:i/>
          <w:iCs/>
          <w:color w:val="1565C0"/>
          <w:sz w:val="18"/>
          <w:szCs w:val="18"/>
        </w:rPr>
        <w:t xml:space="preserve">  Principio guia: Cada fase deja al cliente en un estado funcional y mas seguro que el anterior. No se elimina el servicio anterior hasta que el nuevo este probado y aceptado. Enfoque Zero Trust desde la Fase 1.</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ECBEA" w:sz="1"/>
              <w:left w:val="single" w:color="AECBEA" w:sz="1"/>
              <w:bottom w:val="single" w:color="AECBEA" w:sz="1"/>
              <w:right w:val="single" w:color="AECBEA" w:sz="1"/>
            </w:tcBorders>
            <w:shd w:fill="1565C0" w:val="clear"/>
            <w:tcMar>
              <w:top w:type="dxa" w:w="120"/>
              <w:left w:type="dxa" w:w="100"/>
              <w:bottom w:type="dxa" w:w="120"/>
              <w:right w:type="dxa" w:w="100"/>
            </w:tcMar>
          </w:tcPr>
          <w:p>
            <w:pPr>
              <w:jc w:val="center"/>
            </w:pPr>
            <w:r>
              <w:rPr>
                <w:rFonts w:ascii="Arial" w:cs="Arial" w:eastAsia="Arial" w:hAnsi="Arial"/>
                <w:b/>
                <w:bCs/>
                <w:color w:val="FFFFFF"/>
                <w:sz w:val="20"/>
                <w:szCs w:val="20"/>
              </w:rPr>
              <w:t xml:space="preserve">FASE 1</w:t>
            </w:r>
          </w:p>
          <w:p>
            <w:pPr>
              <w:jc w:val="center"/>
            </w:pPr>
            <w:r>
              <w:rPr>
                <w:rFonts w:ascii="Arial" w:cs="Arial" w:eastAsia="Arial" w:hAnsi="Arial"/>
                <w:color w:val="D0E4F7"/>
                <w:sz w:val="18"/>
                <w:szCs w:val="18"/>
              </w:rPr>
              <w:t xml:space="preserve">Fundamentos</w:t>
            </w:r>
          </w:p>
          <w:p>
            <w:pPr>
              <w:jc w:val="center"/>
            </w:pPr>
            <w:r>
              <w:rPr>
                <w:rFonts w:ascii="Arial" w:cs="Arial" w:eastAsia="Arial" w:hAnsi="Arial"/>
                <w:i/>
                <w:iCs/>
                <w:color w:val="FFFFFF"/>
                <w:sz w:val="17"/>
                <w:szCs w:val="17"/>
              </w:rPr>
              <w:t xml:space="preserve">Sem 1-6</w:t>
            </w:r>
          </w:p>
        </w:tc>
        <w:tc>
          <w:tcPr>
            <w:tcW w:type="dxa" w:w="1872"/>
            <w:tcBorders>
              <w:top w:val="single" w:color="AECBEA" w:sz="1"/>
              <w:left w:val="single" w:color="AECBEA" w:sz="1"/>
              <w:bottom w:val="single" w:color="AECBEA" w:sz="1"/>
              <w:right w:val="single" w:color="AECBEA" w:sz="1"/>
            </w:tcBorders>
            <w:shd w:fill="00838F" w:val="clear"/>
            <w:tcMar>
              <w:top w:type="dxa" w:w="120"/>
              <w:left w:type="dxa" w:w="100"/>
              <w:bottom w:type="dxa" w:w="120"/>
              <w:right w:type="dxa" w:w="100"/>
            </w:tcMar>
          </w:tcPr>
          <w:p>
            <w:pPr>
              <w:jc w:val="center"/>
            </w:pPr>
            <w:r>
              <w:rPr>
                <w:rFonts w:ascii="Arial" w:cs="Arial" w:eastAsia="Arial" w:hAnsi="Arial"/>
                <w:b/>
                <w:bCs/>
                <w:color w:val="FFFFFF"/>
                <w:sz w:val="20"/>
                <w:szCs w:val="20"/>
              </w:rPr>
              <w:t xml:space="preserve">FASE 2</w:t>
            </w:r>
          </w:p>
          <w:p>
            <w:pPr>
              <w:jc w:val="center"/>
            </w:pPr>
            <w:r>
              <w:rPr>
                <w:rFonts w:ascii="Arial" w:cs="Arial" w:eastAsia="Arial" w:hAnsi="Arial"/>
                <w:color w:val="FFFFFF"/>
                <w:sz w:val="18"/>
                <w:szCs w:val="18"/>
              </w:rPr>
              <w:t xml:space="preserve">Identidad Cloud</w:t>
            </w:r>
          </w:p>
          <w:p>
            <w:pPr>
              <w:jc w:val="center"/>
            </w:pPr>
            <w:r>
              <w:rPr>
                <w:rFonts w:ascii="Arial" w:cs="Arial" w:eastAsia="Arial" w:hAnsi="Arial"/>
                <w:i/>
                <w:iCs/>
                <w:color w:val="FFFFFF"/>
                <w:sz w:val="17"/>
                <w:szCs w:val="17"/>
              </w:rPr>
              <w:t xml:space="preserve">Sem 5-10</w:t>
            </w:r>
          </w:p>
        </w:tc>
        <w:tc>
          <w:tcPr>
            <w:tcW w:type="dxa" w:w="1872"/>
            <w:tcBorders>
              <w:top w:val="single" w:color="AECBEA" w:sz="1"/>
              <w:left w:val="single" w:color="AECBEA" w:sz="1"/>
              <w:bottom w:val="single" w:color="AECBEA" w:sz="1"/>
              <w:right w:val="single" w:color="AECBEA" w:sz="1"/>
            </w:tcBorders>
            <w:shd w:fill="1976D2" w:val="clear"/>
            <w:tcMar>
              <w:top w:type="dxa" w:w="120"/>
              <w:left w:type="dxa" w:w="100"/>
              <w:bottom w:type="dxa" w:w="120"/>
              <w:right w:type="dxa" w:w="100"/>
            </w:tcMar>
          </w:tcPr>
          <w:p>
            <w:pPr>
              <w:jc w:val="center"/>
            </w:pPr>
            <w:r>
              <w:rPr>
                <w:rFonts w:ascii="Arial" w:cs="Arial" w:eastAsia="Arial" w:hAnsi="Arial"/>
                <w:b/>
                <w:bCs/>
                <w:color w:val="FFFFFF"/>
                <w:sz w:val="20"/>
                <w:szCs w:val="20"/>
              </w:rPr>
              <w:t xml:space="preserve">FASE 3</w:t>
            </w:r>
          </w:p>
          <w:p>
            <w:pPr>
              <w:jc w:val="center"/>
            </w:pPr>
            <w:r>
              <w:rPr>
                <w:rFonts w:ascii="Arial" w:cs="Arial" w:eastAsia="Arial" w:hAnsi="Arial"/>
                <w:color w:val="D0E4F7"/>
                <w:sz w:val="18"/>
                <w:szCs w:val="18"/>
              </w:rPr>
              <w:t xml:space="preserve">File Server Hibrido</w:t>
            </w:r>
          </w:p>
          <w:p>
            <w:pPr>
              <w:jc w:val="center"/>
            </w:pPr>
            <w:r>
              <w:rPr>
                <w:rFonts w:ascii="Arial" w:cs="Arial" w:eastAsia="Arial" w:hAnsi="Arial"/>
                <w:i/>
                <w:iCs/>
                <w:color w:val="FFFFFF"/>
                <w:sz w:val="17"/>
                <w:szCs w:val="17"/>
              </w:rPr>
              <w:t xml:space="preserve">Sem 9-16</w:t>
            </w:r>
          </w:p>
        </w:tc>
        <w:tc>
          <w:tcPr>
            <w:tcW w:type="dxa" w:w="1872"/>
            <w:tcBorders>
              <w:top w:val="single" w:color="AECBEA" w:sz="1"/>
              <w:left w:val="single" w:color="AECBEA" w:sz="1"/>
              <w:bottom w:val="single" w:color="AECBEA" w:sz="1"/>
              <w:right w:val="single" w:color="AECBEA" w:sz="1"/>
            </w:tcBorders>
            <w:shd w:fill="BF360C" w:val="clear"/>
            <w:tcMar>
              <w:top w:type="dxa" w:w="120"/>
              <w:left w:type="dxa" w:w="100"/>
              <w:bottom w:type="dxa" w:w="120"/>
              <w:right w:type="dxa" w:w="100"/>
            </w:tcMar>
          </w:tcPr>
          <w:p>
            <w:pPr>
              <w:jc w:val="center"/>
            </w:pPr>
            <w:r>
              <w:rPr>
                <w:rFonts w:ascii="Arial" w:cs="Arial" w:eastAsia="Arial" w:hAnsi="Arial"/>
                <w:b/>
                <w:bCs/>
                <w:color w:val="FFFFFF"/>
                <w:sz w:val="20"/>
                <w:szCs w:val="20"/>
              </w:rPr>
              <w:t xml:space="preserve">FASE 4</w:t>
            </w:r>
          </w:p>
          <w:p>
            <w:pPr>
              <w:jc w:val="center"/>
            </w:pPr>
            <w:r>
              <w:rPr>
                <w:rFonts w:ascii="Arial" w:cs="Arial" w:eastAsia="Arial" w:hAnsi="Arial"/>
                <w:color w:val="FFFFFF"/>
                <w:sz w:val="18"/>
                <w:szCs w:val="18"/>
              </w:rPr>
              <w:t xml:space="preserve">Seguridad Red</w:t>
            </w:r>
          </w:p>
          <w:p>
            <w:pPr>
              <w:jc w:val="center"/>
            </w:pPr>
            <w:r>
              <w:rPr>
                <w:rFonts w:ascii="Arial" w:cs="Arial" w:eastAsia="Arial" w:hAnsi="Arial"/>
                <w:i/>
                <w:iCs/>
                <w:color w:val="FFFFFF"/>
                <w:sz w:val="17"/>
                <w:szCs w:val="17"/>
              </w:rPr>
              <w:t xml:space="preserve">Sem 13-20</w:t>
            </w:r>
          </w:p>
        </w:tc>
        <w:tc>
          <w:tcPr>
            <w:tcW w:type="dxa" w:w="1872"/>
            <w:tcBorders>
              <w:top w:val="single" w:color="AECBEA" w:sz="1"/>
              <w:left w:val="single" w:color="AECBEA" w:sz="1"/>
              <w:bottom w:val="single" w:color="AECBEA" w:sz="1"/>
              <w:right w:val="single" w:color="AECBEA" w:sz="1"/>
            </w:tcBorders>
            <w:shd w:fill="6A1B9A" w:val="clear"/>
            <w:tcMar>
              <w:top w:type="dxa" w:w="120"/>
              <w:left w:type="dxa" w:w="100"/>
              <w:bottom w:type="dxa" w:w="120"/>
              <w:right w:type="dxa" w:w="100"/>
            </w:tcMar>
          </w:tcPr>
          <w:p>
            <w:pPr>
              <w:jc w:val="center"/>
            </w:pPr>
            <w:r>
              <w:rPr>
                <w:rFonts w:ascii="Arial" w:cs="Arial" w:eastAsia="Arial" w:hAnsi="Arial"/>
                <w:b/>
                <w:bCs/>
                <w:color w:val="FFFFFF"/>
                <w:sz w:val="20"/>
                <w:szCs w:val="20"/>
              </w:rPr>
              <w:t xml:space="preserve">FASE 5</w:t>
            </w:r>
          </w:p>
          <w:p>
            <w:pPr>
              <w:jc w:val="center"/>
            </w:pPr>
            <w:r>
              <w:rPr>
                <w:rFonts w:ascii="Arial" w:cs="Arial" w:eastAsia="Arial" w:hAnsi="Arial"/>
                <w:color w:val="F3E5F5"/>
                <w:sz w:val="18"/>
                <w:szCs w:val="18"/>
              </w:rPr>
              <w:t xml:space="preserve">ISO 27001 + Ops</w:t>
            </w:r>
          </w:p>
          <w:p>
            <w:pPr>
              <w:jc w:val="center"/>
            </w:pPr>
            <w:r>
              <w:rPr>
                <w:rFonts w:ascii="Arial" w:cs="Arial" w:eastAsia="Arial" w:hAnsi="Arial"/>
                <w:i/>
                <w:iCs/>
                <w:color w:val="FFFFFF"/>
                <w:sz w:val="17"/>
                <w:szCs w:val="17"/>
              </w:rPr>
              <w:t xml:space="preserve">Sem 18-24</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140"/>
              <w:left w:type="dxa" w:w="160"/>
              <w:bottom w:type="dxa" w:w="80"/>
              <w:right w:type="dxa" w:w="160"/>
            </w:tcMar>
          </w:tcPr>
          <w:p>
            <w:r>
              <w:rPr>
                <w:rFonts w:ascii="Arial" w:cs="Arial" w:eastAsia="Arial" w:hAnsi="Arial"/>
                <w:b/>
                <w:bCs/>
                <w:color w:val="FFFFFF"/>
                <w:sz w:val="24"/>
                <w:szCs w:val="24"/>
              </w:rPr>
              <w:t xml:space="preserve">FASE 1 — </w:t>
            </w:r>
            <w:r>
              <w:rPr>
                <w:rFonts w:ascii="Arial" w:cs="Arial" w:eastAsia="Arial" w:hAnsi="Arial"/>
                <w:b/>
                <w:bCs/>
                <w:color w:val="FFFFFF"/>
                <w:sz w:val="24"/>
                <w:szCs w:val="24"/>
              </w:rPr>
              <w:t xml:space="preserve">FUNDAMENTOS AZURE Y ANALISIS DE RIESGOS</w:t>
            </w:r>
            <w:r>
              <w:rPr>
                <w:rFonts w:ascii="Arial" w:cs="Arial" w:eastAsia="Arial" w:hAnsi="Arial"/>
                <w:i/>
                <w:iCs/>
                <w:color w:val="FFFFFF"/>
                <w:sz w:val="20"/>
                <w:szCs w:val="20"/>
              </w:rPr>
              <w:t xml:space="preserve">   [ Semanas 1 — 6 ]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b/>
                <w:bCs/>
                <w:color w:val="1565C0"/>
                <w:sz w:val="20"/>
                <w:szCs w:val="20"/>
              </w:rPr>
              <w:t xml:space="preserve">➔</w:t>
            </w:r>
          </w:p>
        </w:tc>
        <w:tc>
          <w:tcPr>
            <w:tcW w:type="dxa" w:w="90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2E"/>
                <w:sz w:val="19"/>
                <w:szCs w:val="19"/>
              </w:rPr>
              <w:t xml:space="preserve">KICK-OFF y definicion formal del alcance del proyecto y del SGSI ISO 27001.</w:t>
            </w:r>
          </w:p>
        </w:tc>
      </w:tr>
      <w:tr>
        <w:tc>
          <w:tcPr>
            <w:tcW w:type="dxa" w:w="340"/>
            <w:tcBorders>
              <w:top w:val="none" w:color="FFFFFF" w:sz="0"/>
              <w:left w:val="none" w:color="FFFFFF" w:sz="0"/>
              <w:bottom w:val="none" w:color="FFFFFF" w:sz="0"/>
              <w:right w:val="none" w:color="FFFFFF" w:sz="0"/>
            </w:tcBorders>
            <w:shd w:fill="F5F7FA" w:val="clear"/>
            <w:tcMar>
              <w:top w:type="dxa" w:w="80"/>
              <w:left w:type="dxa" w:w="80"/>
              <w:bottom w:type="dxa" w:w="80"/>
              <w:right w:type="dxa" w:w="80"/>
            </w:tcMar>
          </w:tcPr>
          <w:p>
            <w:pPr>
              <w:jc w:val="center"/>
            </w:pPr>
            <w:r>
              <w:rPr>
                <w:rFonts w:ascii="Arial" w:cs="Arial" w:eastAsia="Arial" w:hAnsi="Arial"/>
                <w:b/>
                <w:bCs/>
                <w:color w:val="1565C0"/>
                <w:sz w:val="20"/>
                <w:szCs w:val="20"/>
              </w:rPr>
              <w:t xml:space="preserve">➔</w:t>
            </w:r>
          </w:p>
        </w:tc>
        <w:tc>
          <w:tcPr>
            <w:tcW w:type="dxa" w:w="9020"/>
            <w:tcBorders>
              <w:top w:val="none" w:color="FFFFFF" w:sz="0"/>
              <w:left w:val="none" w:color="FFFFFF" w:sz="0"/>
              <w:bottom w:val="none" w:color="FFFFFF" w:sz="0"/>
              <w:right w:val="none" w:color="FFFFFF" w:sz="0"/>
            </w:tcBorders>
            <w:shd w:fill="F5F7FA" w:val="clear"/>
            <w:tcMar>
              <w:top w:type="dxa" w:w="80"/>
              <w:left w:type="dxa" w:w="120"/>
              <w:bottom w:type="dxa" w:w="80"/>
              <w:right w:type="dxa" w:w="120"/>
            </w:tcMar>
          </w:tcPr>
          <w:p>
            <w:r>
              <w:rPr>
                <w:rFonts w:ascii="Arial" w:cs="Arial" w:eastAsia="Arial" w:hAnsi="Arial"/>
                <w:color w:val="1A1A2E"/>
                <w:sz w:val="19"/>
                <w:szCs w:val="19"/>
              </w:rPr>
              <w:t xml:space="preserve">Levantamiento detallado con base en el cuestionario de este documento.</w:t>
            </w:r>
          </w:p>
        </w:tc>
      </w:tr>
      <w:tr>
        <w:tc>
          <w:tcPr>
            <w:tcW w:type="dxa" w:w="34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b/>
                <w:bCs/>
                <w:color w:val="1565C0"/>
                <w:sz w:val="20"/>
                <w:szCs w:val="20"/>
              </w:rPr>
              <w:t xml:space="preserve">➔</w:t>
            </w:r>
          </w:p>
        </w:tc>
        <w:tc>
          <w:tcPr>
            <w:tcW w:type="dxa" w:w="90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2E"/>
                <w:sz w:val="19"/>
                <w:szCs w:val="19"/>
              </w:rPr>
              <w:t xml:space="preserve">Analisis GAP ISO 27001: identificar brechas actuales vs controles del Anexo A aplicables.</w:t>
            </w:r>
          </w:p>
        </w:tc>
      </w:tr>
      <w:tr>
        <w:tc>
          <w:tcPr>
            <w:tcW w:type="dxa" w:w="340"/>
            <w:tcBorders>
              <w:top w:val="none" w:color="FFFFFF" w:sz="0"/>
              <w:left w:val="none" w:color="FFFFFF" w:sz="0"/>
              <w:bottom w:val="none" w:color="FFFFFF" w:sz="0"/>
              <w:right w:val="none" w:color="FFFFFF" w:sz="0"/>
            </w:tcBorders>
            <w:shd w:fill="F5F7FA" w:val="clear"/>
            <w:tcMar>
              <w:top w:type="dxa" w:w="80"/>
              <w:left w:type="dxa" w:w="80"/>
              <w:bottom w:type="dxa" w:w="80"/>
              <w:right w:type="dxa" w:w="80"/>
            </w:tcMar>
          </w:tcPr>
          <w:p>
            <w:pPr>
              <w:jc w:val="center"/>
            </w:pPr>
            <w:r>
              <w:rPr>
                <w:rFonts w:ascii="Arial" w:cs="Arial" w:eastAsia="Arial" w:hAnsi="Arial"/>
                <w:b/>
                <w:bCs/>
                <w:color w:val="1565C0"/>
                <w:sz w:val="20"/>
                <w:szCs w:val="20"/>
              </w:rPr>
              <w:t xml:space="preserve">➔</w:t>
            </w:r>
          </w:p>
        </w:tc>
        <w:tc>
          <w:tcPr>
            <w:tcW w:type="dxa" w:w="9020"/>
            <w:tcBorders>
              <w:top w:val="none" w:color="FFFFFF" w:sz="0"/>
              <w:left w:val="none" w:color="FFFFFF" w:sz="0"/>
              <w:bottom w:val="none" w:color="FFFFFF" w:sz="0"/>
              <w:right w:val="none" w:color="FFFFFF" w:sz="0"/>
            </w:tcBorders>
            <w:shd w:fill="F5F7FA" w:val="clear"/>
            <w:tcMar>
              <w:top w:type="dxa" w:w="80"/>
              <w:left w:type="dxa" w:w="120"/>
              <w:bottom w:type="dxa" w:w="80"/>
              <w:right w:type="dxa" w:w="120"/>
            </w:tcMar>
          </w:tcPr>
          <w:p>
            <w:r>
              <w:rPr>
                <w:rFonts w:ascii="Arial" w:cs="Arial" w:eastAsia="Arial" w:hAnsi="Arial"/>
                <w:color w:val="1A1A2E"/>
                <w:sz w:val="19"/>
                <w:szCs w:val="19"/>
              </w:rPr>
              <w:t xml:space="preserve">Inventario y clasificacion formal de datos: identificar y documentar el 10% de datos sensibles con criterios objetivos (Dato Personal / Secreto Comercial / Regulado).</w:t>
            </w:r>
          </w:p>
        </w:tc>
      </w:tr>
      <w:tr>
        <w:tc>
          <w:tcPr>
            <w:tcW w:type="dxa" w:w="34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b/>
                <w:bCs/>
                <w:color w:val="1565C0"/>
                <w:sz w:val="20"/>
                <w:szCs w:val="20"/>
              </w:rPr>
              <w:t xml:space="preserve">➔</w:t>
            </w:r>
          </w:p>
        </w:tc>
        <w:tc>
          <w:tcPr>
            <w:tcW w:type="dxa" w:w="90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2E"/>
                <w:sz w:val="19"/>
                <w:szCs w:val="19"/>
              </w:rPr>
              <w:t xml:space="preserve">Creacion/validacion del tenant Azure AD (Entra ID) y suscripcion de Azure.</w:t>
            </w:r>
          </w:p>
        </w:tc>
      </w:tr>
      <w:tr>
        <w:tc>
          <w:tcPr>
            <w:tcW w:type="dxa" w:w="340"/>
            <w:tcBorders>
              <w:top w:val="none" w:color="FFFFFF" w:sz="0"/>
              <w:left w:val="none" w:color="FFFFFF" w:sz="0"/>
              <w:bottom w:val="none" w:color="FFFFFF" w:sz="0"/>
              <w:right w:val="none" w:color="FFFFFF" w:sz="0"/>
            </w:tcBorders>
            <w:shd w:fill="F5F7FA" w:val="clear"/>
            <w:tcMar>
              <w:top w:type="dxa" w:w="80"/>
              <w:left w:type="dxa" w:w="80"/>
              <w:bottom w:type="dxa" w:w="80"/>
              <w:right w:type="dxa" w:w="80"/>
            </w:tcMar>
          </w:tcPr>
          <w:p>
            <w:pPr>
              <w:jc w:val="center"/>
            </w:pPr>
            <w:r>
              <w:rPr>
                <w:rFonts w:ascii="Arial" w:cs="Arial" w:eastAsia="Arial" w:hAnsi="Arial"/>
                <w:b/>
                <w:bCs/>
                <w:color w:val="1565C0"/>
                <w:sz w:val="20"/>
                <w:szCs w:val="20"/>
              </w:rPr>
              <w:t xml:space="preserve">➔</w:t>
            </w:r>
          </w:p>
        </w:tc>
        <w:tc>
          <w:tcPr>
            <w:tcW w:type="dxa" w:w="9020"/>
            <w:tcBorders>
              <w:top w:val="none" w:color="FFFFFF" w:sz="0"/>
              <w:left w:val="none" w:color="FFFFFF" w:sz="0"/>
              <w:bottom w:val="none" w:color="FFFFFF" w:sz="0"/>
              <w:right w:val="none" w:color="FFFFFF" w:sz="0"/>
            </w:tcBorders>
            <w:shd w:fill="F5F7FA" w:val="clear"/>
            <w:tcMar>
              <w:top w:type="dxa" w:w="80"/>
              <w:left w:type="dxa" w:w="120"/>
              <w:bottom w:type="dxa" w:w="80"/>
              <w:right w:type="dxa" w:w="120"/>
            </w:tcMar>
          </w:tcPr>
          <w:p>
            <w:r>
              <w:rPr>
                <w:rFonts w:ascii="Arial" w:cs="Arial" w:eastAsia="Arial" w:hAnsi="Arial"/>
                <w:color w:val="1A1A2E"/>
                <w:sz w:val="19"/>
                <w:szCs w:val="19"/>
              </w:rPr>
              <w:t xml:space="preserve">Diseno de la arquitectura target: Hub-and-Spoke en Azure, red hibrida, plan de IPs sin solapamiento.</w:t>
            </w:r>
          </w:p>
        </w:tc>
      </w:tr>
      <w:tr>
        <w:tc>
          <w:tcPr>
            <w:tcW w:type="dxa" w:w="34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b/>
                <w:bCs/>
                <w:color w:val="1565C0"/>
                <w:sz w:val="20"/>
                <w:szCs w:val="20"/>
              </w:rPr>
              <w:t xml:space="preserve">➔</w:t>
            </w:r>
          </w:p>
        </w:tc>
        <w:tc>
          <w:tcPr>
            <w:tcW w:type="dxa" w:w="90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2E"/>
                <w:sz w:val="19"/>
                <w:szCs w:val="19"/>
              </w:rPr>
              <w:t xml:space="preserve">Instalacion y configuracion de Azure AD Connect para sincronizacion hibrida AD on-premise &lt;-&gt; Entra ID.</w:t>
            </w:r>
          </w:p>
        </w:tc>
      </w:tr>
      <w:tr>
        <w:tc>
          <w:tcPr>
            <w:tcW w:type="dxa" w:w="340"/>
            <w:tcBorders>
              <w:top w:val="none" w:color="FFFFFF" w:sz="0"/>
              <w:left w:val="none" w:color="FFFFFF" w:sz="0"/>
              <w:bottom w:val="none" w:color="FFFFFF" w:sz="0"/>
              <w:right w:val="none" w:color="FFFFFF" w:sz="0"/>
            </w:tcBorders>
            <w:shd w:fill="F5F7FA" w:val="clear"/>
            <w:tcMar>
              <w:top w:type="dxa" w:w="80"/>
              <w:left w:type="dxa" w:w="80"/>
              <w:bottom w:type="dxa" w:w="80"/>
              <w:right w:type="dxa" w:w="80"/>
            </w:tcMar>
          </w:tcPr>
          <w:p>
            <w:pPr>
              <w:jc w:val="center"/>
            </w:pPr>
            <w:r>
              <w:rPr>
                <w:rFonts w:ascii="Arial" w:cs="Arial" w:eastAsia="Arial" w:hAnsi="Arial"/>
                <w:b/>
                <w:bCs/>
                <w:color w:val="1565C0"/>
                <w:sz w:val="20"/>
                <w:szCs w:val="20"/>
              </w:rPr>
              <w:t xml:space="preserve">➔</w:t>
            </w:r>
          </w:p>
        </w:tc>
        <w:tc>
          <w:tcPr>
            <w:tcW w:type="dxa" w:w="9020"/>
            <w:tcBorders>
              <w:top w:val="none" w:color="FFFFFF" w:sz="0"/>
              <w:left w:val="none" w:color="FFFFFF" w:sz="0"/>
              <w:bottom w:val="none" w:color="FFFFFF" w:sz="0"/>
              <w:right w:val="none" w:color="FFFFFF" w:sz="0"/>
            </w:tcBorders>
            <w:shd w:fill="F5F7FA" w:val="clear"/>
            <w:tcMar>
              <w:top w:type="dxa" w:w="80"/>
              <w:left w:type="dxa" w:w="120"/>
              <w:bottom w:type="dxa" w:w="80"/>
              <w:right w:type="dxa" w:w="120"/>
            </w:tcMar>
          </w:tcPr>
          <w:p>
            <w:r>
              <w:rPr>
                <w:rFonts w:ascii="Arial" w:cs="Arial" w:eastAsia="Arial" w:hAnsi="Arial"/>
                <w:color w:val="1A1A2E"/>
                <w:sz w:val="19"/>
                <w:szCs w:val="19"/>
              </w:rPr>
              <w:t xml:space="preserve">Configuracion del tunel VPN Site-to-Site (S2S) temporal entre el sitio on-premise y Azure (mientras dura la migracion).</w:t>
            </w:r>
          </w:p>
        </w:tc>
      </w:tr>
      <w:tr>
        <w:tc>
          <w:tcPr>
            <w:tcW w:type="dxa" w:w="34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b/>
                <w:bCs/>
                <w:color w:val="1565C0"/>
                <w:sz w:val="20"/>
                <w:szCs w:val="20"/>
              </w:rPr>
              <w:t xml:space="preserve">➔</w:t>
            </w:r>
          </w:p>
        </w:tc>
        <w:tc>
          <w:tcPr>
            <w:tcW w:type="dxa" w:w="90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2E"/>
                <w:sz w:val="19"/>
                <w:szCs w:val="19"/>
              </w:rPr>
              <w:t xml:space="preserve">Habilitacion de Azure Monitor, Log Analytics Workspace y politicas de diagnostico base.</w:t>
            </w:r>
          </w:p>
        </w:tc>
      </w:tr>
      <w:tr>
        <w:tc>
          <w:tcPr>
            <w:tcW w:type="dxa" w:w="340"/>
            <w:tcBorders>
              <w:top w:val="none" w:color="FFFFFF" w:sz="0"/>
              <w:left w:val="none" w:color="FFFFFF" w:sz="0"/>
              <w:bottom w:val="none" w:color="FFFFFF" w:sz="0"/>
              <w:right w:val="none" w:color="FFFFFF" w:sz="0"/>
            </w:tcBorders>
            <w:shd w:fill="F5F7FA" w:val="clear"/>
            <w:tcMar>
              <w:top w:type="dxa" w:w="80"/>
              <w:left w:type="dxa" w:w="80"/>
              <w:bottom w:type="dxa" w:w="80"/>
              <w:right w:type="dxa" w:w="80"/>
            </w:tcMar>
          </w:tcPr>
          <w:p>
            <w:pPr>
              <w:jc w:val="center"/>
            </w:pPr>
            <w:r>
              <w:rPr>
                <w:rFonts w:ascii="Arial" w:cs="Arial" w:eastAsia="Arial" w:hAnsi="Arial"/>
                <w:b/>
                <w:bCs/>
                <w:color w:val="1565C0"/>
                <w:sz w:val="20"/>
                <w:szCs w:val="20"/>
              </w:rPr>
              <w:t xml:space="preserve">➔</w:t>
            </w:r>
          </w:p>
        </w:tc>
        <w:tc>
          <w:tcPr>
            <w:tcW w:type="dxa" w:w="9020"/>
            <w:tcBorders>
              <w:top w:val="none" w:color="FFFFFF" w:sz="0"/>
              <w:left w:val="none" w:color="FFFFFF" w:sz="0"/>
              <w:bottom w:val="none" w:color="FFFFFF" w:sz="0"/>
              <w:right w:val="none" w:color="FFFFFF" w:sz="0"/>
            </w:tcBorders>
            <w:shd w:fill="F5F7FA" w:val="clear"/>
            <w:tcMar>
              <w:top w:type="dxa" w:w="80"/>
              <w:left w:type="dxa" w:w="120"/>
              <w:bottom w:type="dxa" w:w="80"/>
              <w:right w:type="dxa" w:w="120"/>
            </w:tcMar>
          </w:tcPr>
          <w:p>
            <w:r>
              <w:rPr>
                <w:rFonts w:ascii="Arial" w:cs="Arial" w:eastAsia="Arial" w:hAnsi="Arial"/>
                <w:color w:val="1A1A2E"/>
                <w:sz w:val="19"/>
                <w:szCs w:val="19"/>
              </w:rPr>
              <w:t xml:space="preserve">Entregables: Documento de arquitectura aprobado, inventario de datos clasificado, GAP ISO 27001, plan detallado de las fases siguientes.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1"/>
              <w:left w:val="single" w:color="00838F" w:sz="1"/>
              <w:bottom w:val="single" w:color="00838F" w:sz="1"/>
              <w:right w:val="single" w:color="00838F" w:sz="1"/>
            </w:tcBorders>
            <w:shd w:fill="00838F" w:val="clear"/>
            <w:tcMar>
              <w:top w:type="dxa" w:w="140"/>
              <w:left w:type="dxa" w:w="160"/>
              <w:bottom w:type="dxa" w:w="80"/>
              <w:right w:type="dxa" w:w="160"/>
            </w:tcMar>
          </w:tcPr>
          <w:p>
            <w:r>
              <w:rPr>
                <w:rFonts w:ascii="Arial" w:cs="Arial" w:eastAsia="Arial" w:hAnsi="Arial"/>
                <w:b/>
                <w:bCs/>
                <w:color w:val="FFFFFF"/>
                <w:sz w:val="24"/>
                <w:szCs w:val="24"/>
              </w:rPr>
              <w:t xml:space="preserve">FASE 2 — </w:t>
            </w:r>
            <w:r>
              <w:rPr>
                <w:rFonts w:ascii="Arial" w:cs="Arial" w:eastAsia="Arial" w:hAnsi="Arial"/>
                <w:b/>
                <w:bCs/>
                <w:color w:val="FFFFFF"/>
                <w:sz w:val="24"/>
                <w:szCs w:val="24"/>
              </w:rPr>
              <w:t xml:space="preserve">MIGRACION DE IDENTIDADES — ACTIVE DIRECTORY A AZURE / ENTRA ID</w:t>
            </w:r>
            <w:r>
              <w:rPr>
                <w:rFonts w:ascii="Arial" w:cs="Arial" w:eastAsia="Arial" w:hAnsi="Arial"/>
                <w:i/>
                <w:iCs/>
                <w:color w:val="FFFFFF"/>
                <w:sz w:val="20"/>
                <w:szCs w:val="20"/>
              </w:rPr>
              <w:t xml:space="preserve">   [ Semanas 5 — 10 ]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b/>
                <w:bCs/>
                <w:color w:val="00838F"/>
                <w:sz w:val="20"/>
                <w:szCs w:val="20"/>
              </w:rPr>
              <w:t xml:space="preserve">➔</w:t>
            </w:r>
          </w:p>
        </w:tc>
        <w:tc>
          <w:tcPr>
            <w:tcW w:type="dxa" w:w="90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2E"/>
                <w:sz w:val="19"/>
                <w:szCs w:val="19"/>
              </w:rPr>
              <w:t xml:space="preserve">Evaluacion de la estrategia de AD: IaaS (VM con AD DS en Azure) vs Entra ID nativo vs Entra ID + AD hibrido.</w:t>
            </w:r>
          </w:p>
        </w:tc>
      </w:tr>
      <w:tr>
        <w:tc>
          <w:tcPr>
            <w:tcW w:type="dxa" w:w="340"/>
            <w:tcBorders>
              <w:top w:val="none" w:color="FFFFFF" w:sz="0"/>
              <w:left w:val="none" w:color="FFFFFF" w:sz="0"/>
              <w:bottom w:val="none" w:color="FFFFFF" w:sz="0"/>
              <w:right w:val="none" w:color="FFFFFF" w:sz="0"/>
            </w:tcBorders>
            <w:shd w:fill="F5F7FA" w:val="clear"/>
            <w:tcMar>
              <w:top w:type="dxa" w:w="80"/>
              <w:left w:type="dxa" w:w="80"/>
              <w:bottom w:type="dxa" w:w="80"/>
              <w:right w:type="dxa" w:w="80"/>
            </w:tcMar>
          </w:tcPr>
          <w:p>
            <w:pPr>
              <w:jc w:val="center"/>
            </w:pPr>
            <w:r>
              <w:rPr>
                <w:rFonts w:ascii="Arial" w:cs="Arial" w:eastAsia="Arial" w:hAnsi="Arial"/>
                <w:b/>
                <w:bCs/>
                <w:color w:val="00838F"/>
                <w:sz w:val="20"/>
                <w:szCs w:val="20"/>
              </w:rPr>
              <w:t xml:space="preserve">➔</w:t>
            </w:r>
          </w:p>
        </w:tc>
        <w:tc>
          <w:tcPr>
            <w:tcW w:type="dxa" w:w="9020"/>
            <w:tcBorders>
              <w:top w:val="none" w:color="FFFFFF" w:sz="0"/>
              <w:left w:val="none" w:color="FFFFFF" w:sz="0"/>
              <w:bottom w:val="none" w:color="FFFFFF" w:sz="0"/>
              <w:right w:val="none" w:color="FFFFFF" w:sz="0"/>
            </w:tcBorders>
            <w:shd w:fill="F5F7FA" w:val="clear"/>
            <w:tcMar>
              <w:top w:type="dxa" w:w="80"/>
              <w:left w:type="dxa" w:w="120"/>
              <w:bottom w:type="dxa" w:w="80"/>
              <w:right w:type="dxa" w:w="120"/>
            </w:tcMar>
          </w:tcPr>
          <w:p>
            <w:r>
              <w:rPr>
                <w:rFonts w:ascii="Arial" w:cs="Arial" w:eastAsia="Arial" w:hAnsi="Arial"/>
                <w:color w:val="1A1A2E"/>
                <w:sz w:val="19"/>
                <w:szCs w:val="19"/>
              </w:rPr>
              <w:t xml:space="preserve">OPCION RECOMENDADA — Hibrido permanente: AD DS on-premise sincronizado con Entra ID via Azure AD Connect (permite coexistencia y migracion gradual de aplicaciones).</w:t>
            </w:r>
          </w:p>
        </w:tc>
      </w:tr>
      <w:tr>
        <w:tc>
          <w:tcPr>
            <w:tcW w:type="dxa" w:w="34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b/>
                <w:bCs/>
                <w:color w:val="00838F"/>
                <w:sz w:val="20"/>
                <w:szCs w:val="20"/>
              </w:rPr>
              <w:t xml:space="preserve">➔</w:t>
            </w:r>
          </w:p>
        </w:tc>
        <w:tc>
          <w:tcPr>
            <w:tcW w:type="dxa" w:w="90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2E"/>
                <w:sz w:val="19"/>
                <w:szCs w:val="19"/>
              </w:rPr>
              <w:t xml:space="preserve">OPCION ALTERNATIVA — Full Cloud: Si no hay aplicaciones que requieran Kerberos/NTLM on-prem, migrar completamente a Entra ID con Entra Domain Services (PaaS).</w:t>
            </w:r>
          </w:p>
        </w:tc>
      </w:tr>
      <w:tr>
        <w:tc>
          <w:tcPr>
            <w:tcW w:type="dxa" w:w="340"/>
            <w:tcBorders>
              <w:top w:val="none" w:color="FFFFFF" w:sz="0"/>
              <w:left w:val="none" w:color="FFFFFF" w:sz="0"/>
              <w:bottom w:val="none" w:color="FFFFFF" w:sz="0"/>
              <w:right w:val="none" w:color="FFFFFF" w:sz="0"/>
            </w:tcBorders>
            <w:shd w:fill="F5F7FA" w:val="clear"/>
            <w:tcMar>
              <w:top w:type="dxa" w:w="80"/>
              <w:left w:type="dxa" w:w="80"/>
              <w:bottom w:type="dxa" w:w="80"/>
              <w:right w:type="dxa" w:w="80"/>
            </w:tcMar>
          </w:tcPr>
          <w:p>
            <w:pPr>
              <w:jc w:val="center"/>
            </w:pPr>
            <w:r>
              <w:rPr>
                <w:rFonts w:ascii="Arial" w:cs="Arial" w:eastAsia="Arial" w:hAnsi="Arial"/>
                <w:b/>
                <w:bCs/>
                <w:color w:val="00838F"/>
                <w:sz w:val="20"/>
                <w:szCs w:val="20"/>
              </w:rPr>
              <w:t xml:space="preserve">➔</w:t>
            </w:r>
          </w:p>
        </w:tc>
        <w:tc>
          <w:tcPr>
            <w:tcW w:type="dxa" w:w="9020"/>
            <w:tcBorders>
              <w:top w:val="none" w:color="FFFFFF" w:sz="0"/>
              <w:left w:val="none" w:color="FFFFFF" w:sz="0"/>
              <w:bottom w:val="none" w:color="FFFFFF" w:sz="0"/>
              <w:right w:val="none" w:color="FFFFFF" w:sz="0"/>
            </w:tcBorders>
            <w:shd w:fill="F5F7FA" w:val="clear"/>
            <w:tcMar>
              <w:top w:type="dxa" w:w="80"/>
              <w:left w:type="dxa" w:w="120"/>
              <w:bottom w:type="dxa" w:w="80"/>
              <w:right w:type="dxa" w:w="120"/>
            </w:tcMar>
          </w:tcPr>
          <w:p>
            <w:r>
              <w:rPr>
                <w:rFonts w:ascii="Arial" w:cs="Arial" w:eastAsia="Arial" w:hAnsi="Arial"/>
                <w:color w:val="1A1A2E"/>
                <w:sz w:val="19"/>
                <w:szCs w:val="19"/>
              </w:rPr>
              <w:t xml:space="preserve">Si se elige IaaS: despliegue de 2 VMs Windows Server 2022 como Domain Controllers en Azure (zona de disponibilidad), replicacion AD con DC on-premise.</w:t>
            </w:r>
          </w:p>
        </w:tc>
      </w:tr>
      <w:tr>
        <w:tc>
          <w:tcPr>
            <w:tcW w:type="dxa" w:w="34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b/>
                <w:bCs/>
                <w:color w:val="00838F"/>
                <w:sz w:val="20"/>
                <w:szCs w:val="20"/>
              </w:rPr>
              <w:t xml:space="preserve">➔</w:t>
            </w:r>
          </w:p>
        </w:tc>
        <w:tc>
          <w:tcPr>
            <w:tcW w:type="dxa" w:w="90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2E"/>
                <w:sz w:val="19"/>
                <w:szCs w:val="19"/>
              </w:rPr>
              <w:t xml:space="preserve">Sincronizacion de todos los usuarios, grupos y atributos hacia Entra ID (Azure AD Connect Health para monitoreo).</w:t>
            </w:r>
          </w:p>
        </w:tc>
      </w:tr>
      <w:tr>
        <w:tc>
          <w:tcPr>
            <w:tcW w:type="dxa" w:w="340"/>
            <w:tcBorders>
              <w:top w:val="none" w:color="FFFFFF" w:sz="0"/>
              <w:left w:val="none" w:color="FFFFFF" w:sz="0"/>
              <w:bottom w:val="none" w:color="FFFFFF" w:sz="0"/>
              <w:right w:val="none" w:color="FFFFFF" w:sz="0"/>
            </w:tcBorders>
            <w:shd w:fill="F5F7FA" w:val="clear"/>
            <w:tcMar>
              <w:top w:type="dxa" w:w="80"/>
              <w:left w:type="dxa" w:w="80"/>
              <w:bottom w:type="dxa" w:w="80"/>
              <w:right w:type="dxa" w:w="80"/>
            </w:tcMar>
          </w:tcPr>
          <w:p>
            <w:pPr>
              <w:jc w:val="center"/>
            </w:pPr>
            <w:r>
              <w:rPr>
                <w:rFonts w:ascii="Arial" w:cs="Arial" w:eastAsia="Arial" w:hAnsi="Arial"/>
                <w:b/>
                <w:bCs/>
                <w:color w:val="00838F"/>
                <w:sz w:val="20"/>
                <w:szCs w:val="20"/>
              </w:rPr>
              <w:t xml:space="preserve">➔</w:t>
            </w:r>
          </w:p>
        </w:tc>
        <w:tc>
          <w:tcPr>
            <w:tcW w:type="dxa" w:w="9020"/>
            <w:tcBorders>
              <w:top w:val="none" w:color="FFFFFF" w:sz="0"/>
              <w:left w:val="none" w:color="FFFFFF" w:sz="0"/>
              <w:bottom w:val="none" w:color="FFFFFF" w:sz="0"/>
              <w:right w:val="none" w:color="FFFFFF" w:sz="0"/>
            </w:tcBorders>
            <w:shd w:fill="F5F7FA" w:val="clear"/>
            <w:tcMar>
              <w:top w:type="dxa" w:w="80"/>
              <w:left w:type="dxa" w:w="120"/>
              <w:bottom w:type="dxa" w:w="80"/>
              <w:right w:type="dxa" w:w="120"/>
            </w:tcMar>
          </w:tcPr>
          <w:p>
            <w:r>
              <w:rPr>
                <w:rFonts w:ascii="Arial" w:cs="Arial" w:eastAsia="Arial" w:hAnsi="Arial"/>
                <w:color w:val="1A1A2E"/>
                <w:sz w:val="19"/>
                <w:szCs w:val="19"/>
              </w:rPr>
              <w:t xml:space="preserve">Habilitacion de MFA obligatorio para el 100% de usuarios via Entra ID — metodo principal: Microsoft Authenticator App.</w:t>
            </w:r>
          </w:p>
        </w:tc>
      </w:tr>
      <w:tr>
        <w:tc>
          <w:tcPr>
            <w:tcW w:type="dxa" w:w="34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b/>
                <w:bCs/>
                <w:color w:val="00838F"/>
                <w:sz w:val="20"/>
                <w:szCs w:val="20"/>
              </w:rPr>
              <w:t xml:space="preserve">➔</w:t>
            </w:r>
          </w:p>
        </w:tc>
        <w:tc>
          <w:tcPr>
            <w:tcW w:type="dxa" w:w="90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2E"/>
                <w:sz w:val="19"/>
                <w:szCs w:val="19"/>
              </w:rPr>
              <w:t xml:space="preserve">Configuracion de politicas de Acceso Condicional (Conditional Access): MFA siempre, bloqueo por riesgo alto, bloqueo por paises no permitidos, frecuencia de re-autenticacion.</w:t>
            </w:r>
          </w:p>
        </w:tc>
      </w:tr>
      <w:tr>
        <w:tc>
          <w:tcPr>
            <w:tcW w:type="dxa" w:w="340"/>
            <w:tcBorders>
              <w:top w:val="none" w:color="FFFFFF" w:sz="0"/>
              <w:left w:val="none" w:color="FFFFFF" w:sz="0"/>
              <w:bottom w:val="none" w:color="FFFFFF" w:sz="0"/>
              <w:right w:val="none" w:color="FFFFFF" w:sz="0"/>
            </w:tcBorders>
            <w:shd w:fill="F5F7FA" w:val="clear"/>
            <w:tcMar>
              <w:top w:type="dxa" w:w="80"/>
              <w:left w:type="dxa" w:w="80"/>
              <w:bottom w:type="dxa" w:w="80"/>
              <w:right w:type="dxa" w:w="80"/>
            </w:tcMar>
          </w:tcPr>
          <w:p>
            <w:pPr>
              <w:jc w:val="center"/>
            </w:pPr>
            <w:r>
              <w:rPr>
                <w:rFonts w:ascii="Arial" w:cs="Arial" w:eastAsia="Arial" w:hAnsi="Arial"/>
                <w:b/>
                <w:bCs/>
                <w:color w:val="00838F"/>
                <w:sz w:val="20"/>
                <w:szCs w:val="20"/>
              </w:rPr>
              <w:t xml:space="preserve">➔</w:t>
            </w:r>
          </w:p>
        </w:tc>
        <w:tc>
          <w:tcPr>
            <w:tcW w:type="dxa" w:w="9020"/>
            <w:tcBorders>
              <w:top w:val="none" w:color="FFFFFF" w:sz="0"/>
              <w:left w:val="none" w:color="FFFFFF" w:sz="0"/>
              <w:bottom w:val="none" w:color="FFFFFF" w:sz="0"/>
              <w:right w:val="none" w:color="FFFFFF" w:sz="0"/>
            </w:tcBorders>
            <w:shd w:fill="F5F7FA" w:val="clear"/>
            <w:tcMar>
              <w:top w:type="dxa" w:w="80"/>
              <w:left w:type="dxa" w:w="120"/>
              <w:bottom w:type="dxa" w:w="80"/>
              <w:right w:type="dxa" w:w="120"/>
            </w:tcMar>
          </w:tcPr>
          <w:p>
            <w:r>
              <w:rPr>
                <w:rFonts w:ascii="Arial" w:cs="Arial" w:eastAsia="Arial" w:hAnsi="Arial"/>
                <w:color w:val="1A1A2E"/>
                <w:sz w:val="19"/>
                <w:szCs w:val="19"/>
              </w:rPr>
              <w:t xml:space="preserve">Habilitacion de SSPR (Self-Service Password Reset) para reducir carga al helpdesk.</w:t>
            </w:r>
          </w:p>
        </w:tc>
      </w:tr>
      <w:tr>
        <w:tc>
          <w:tcPr>
            <w:tcW w:type="dxa" w:w="34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b/>
                <w:bCs/>
                <w:color w:val="00838F"/>
                <w:sz w:val="20"/>
                <w:szCs w:val="20"/>
              </w:rPr>
              <w:t xml:space="preserve">➔</w:t>
            </w:r>
          </w:p>
        </w:tc>
        <w:tc>
          <w:tcPr>
            <w:tcW w:type="dxa" w:w="90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2E"/>
                <w:sz w:val="19"/>
                <w:szCs w:val="19"/>
              </w:rPr>
              <w:t xml:space="preserve">Registro y onboarding de todos los usuarios en MFA: sesiones grupales coordinadas.</w:t>
            </w:r>
          </w:p>
        </w:tc>
      </w:tr>
      <w:tr>
        <w:tc>
          <w:tcPr>
            <w:tcW w:type="dxa" w:w="340"/>
            <w:tcBorders>
              <w:top w:val="none" w:color="FFFFFF" w:sz="0"/>
              <w:left w:val="none" w:color="FFFFFF" w:sz="0"/>
              <w:bottom w:val="none" w:color="FFFFFF" w:sz="0"/>
              <w:right w:val="none" w:color="FFFFFF" w:sz="0"/>
            </w:tcBorders>
            <w:shd w:fill="F5F7FA" w:val="clear"/>
            <w:tcMar>
              <w:top w:type="dxa" w:w="80"/>
              <w:left w:type="dxa" w:w="80"/>
              <w:bottom w:type="dxa" w:w="80"/>
              <w:right w:type="dxa" w:w="80"/>
            </w:tcMar>
          </w:tcPr>
          <w:p>
            <w:pPr>
              <w:jc w:val="center"/>
            </w:pPr>
            <w:r>
              <w:rPr>
                <w:rFonts w:ascii="Arial" w:cs="Arial" w:eastAsia="Arial" w:hAnsi="Arial"/>
                <w:b/>
                <w:bCs/>
                <w:color w:val="00838F"/>
                <w:sz w:val="20"/>
                <w:szCs w:val="20"/>
              </w:rPr>
              <w:t xml:space="preserve">➔</w:t>
            </w:r>
          </w:p>
        </w:tc>
        <w:tc>
          <w:tcPr>
            <w:tcW w:type="dxa" w:w="9020"/>
            <w:tcBorders>
              <w:top w:val="none" w:color="FFFFFF" w:sz="0"/>
              <w:left w:val="none" w:color="FFFFFF" w:sz="0"/>
              <w:bottom w:val="none" w:color="FFFFFF" w:sz="0"/>
              <w:right w:val="none" w:color="FFFFFF" w:sz="0"/>
            </w:tcBorders>
            <w:shd w:fill="F5F7FA" w:val="clear"/>
            <w:tcMar>
              <w:top w:type="dxa" w:w="80"/>
              <w:left w:type="dxa" w:w="120"/>
              <w:bottom w:type="dxa" w:w="80"/>
              <w:right w:type="dxa" w:w="120"/>
            </w:tcMar>
          </w:tcPr>
          <w:p>
            <w:r>
              <w:rPr>
                <w:rFonts w:ascii="Arial" w:cs="Arial" w:eastAsia="Arial" w:hAnsi="Arial"/>
                <w:color w:val="1A1A2E"/>
                <w:sz w:val="19"/>
                <w:szCs w:val="19"/>
              </w:rPr>
              <w:t xml:space="preserve">Pruebas de autenticacion: aplicaciones, VPN, File Server accediendo via Entra ID + MFA.</w:t>
            </w:r>
          </w:p>
        </w:tc>
      </w:tr>
      <w:tr>
        <w:tc>
          <w:tcPr>
            <w:tcW w:type="dxa" w:w="34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b/>
                <w:bCs/>
                <w:color w:val="00838F"/>
                <w:sz w:val="20"/>
                <w:szCs w:val="20"/>
              </w:rPr>
              <w:t xml:space="preserve">➔</w:t>
            </w:r>
          </w:p>
        </w:tc>
        <w:tc>
          <w:tcPr>
            <w:tcW w:type="dxa" w:w="90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2E"/>
                <w:sz w:val="19"/>
                <w:szCs w:val="19"/>
              </w:rPr>
              <w:t xml:space="preserve">Entregables: AD sincronizado o migrado, MFA activo 100% usuarios, CA policies documentadas, reporte de pruebas.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1"/>
              <w:left w:val="single" w:color="1976D2" w:sz="1"/>
              <w:bottom w:val="single" w:color="1976D2" w:sz="1"/>
              <w:right w:val="single" w:color="1976D2" w:sz="1"/>
            </w:tcBorders>
            <w:shd w:fill="1976D2" w:val="clear"/>
            <w:tcMar>
              <w:top w:type="dxa" w:w="140"/>
              <w:left w:type="dxa" w:w="160"/>
              <w:bottom w:type="dxa" w:w="80"/>
              <w:right w:type="dxa" w:w="160"/>
            </w:tcMar>
          </w:tcPr>
          <w:p>
            <w:r>
              <w:rPr>
                <w:rFonts w:ascii="Arial" w:cs="Arial" w:eastAsia="Arial" w:hAnsi="Arial"/>
                <w:b/>
                <w:bCs/>
                <w:color w:val="FFFFFF"/>
                <w:sz w:val="24"/>
                <w:szCs w:val="24"/>
              </w:rPr>
              <w:t xml:space="preserve">FASE 3 — </w:t>
            </w:r>
            <w:r>
              <w:rPr>
                <w:rFonts w:ascii="Arial" w:cs="Arial" w:eastAsia="Arial" w:hAnsi="Arial"/>
                <w:b/>
                <w:bCs/>
                <w:color w:val="FFFFFF"/>
                <w:sz w:val="24"/>
                <w:szCs w:val="24"/>
              </w:rPr>
              <w:t xml:space="preserve">MIGRACION DEL FILE SERVER — AZURE FILES HIBRIDO + AZURE FILE SYNC</w:t>
            </w:r>
            <w:r>
              <w:rPr>
                <w:rFonts w:ascii="Arial" w:cs="Arial" w:eastAsia="Arial" w:hAnsi="Arial"/>
                <w:i/>
                <w:iCs/>
                <w:color w:val="FFFFFF"/>
                <w:sz w:val="20"/>
                <w:szCs w:val="20"/>
              </w:rPr>
              <w:t xml:space="preserve">   [ Semanas 9 — 16 ]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b/>
                <w:bCs/>
                <w:color w:val="1976D2"/>
                <w:sz w:val="20"/>
                <w:szCs w:val="20"/>
              </w:rPr>
              <w:t xml:space="preserve">➔</w:t>
            </w:r>
          </w:p>
        </w:tc>
        <w:tc>
          <w:tcPr>
            <w:tcW w:type="dxa" w:w="90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2E"/>
                <w:sz w:val="19"/>
                <w:szCs w:val="19"/>
              </w:rPr>
              <w:t xml:space="preserve">Diseno de la estructura de Azure Files: Storage Account, File Share SMB 3.0, nivel de rendimiento (Standard o Premium segun carga).</w:t>
            </w:r>
          </w:p>
        </w:tc>
      </w:tr>
      <w:tr>
        <w:tc>
          <w:tcPr>
            <w:tcW w:type="dxa" w:w="340"/>
            <w:tcBorders>
              <w:top w:val="none" w:color="FFFFFF" w:sz="0"/>
              <w:left w:val="none" w:color="FFFFFF" w:sz="0"/>
              <w:bottom w:val="none" w:color="FFFFFF" w:sz="0"/>
              <w:right w:val="none" w:color="FFFFFF" w:sz="0"/>
            </w:tcBorders>
            <w:shd w:fill="F5F7FA" w:val="clear"/>
            <w:tcMar>
              <w:top w:type="dxa" w:w="80"/>
              <w:left w:type="dxa" w:w="80"/>
              <w:bottom w:type="dxa" w:w="80"/>
              <w:right w:type="dxa" w:w="80"/>
            </w:tcMar>
          </w:tcPr>
          <w:p>
            <w:pPr>
              <w:jc w:val="center"/>
            </w:pPr>
            <w:r>
              <w:rPr>
                <w:rFonts w:ascii="Arial" w:cs="Arial" w:eastAsia="Arial" w:hAnsi="Arial"/>
                <w:b/>
                <w:bCs/>
                <w:color w:val="1976D2"/>
                <w:sz w:val="20"/>
                <w:szCs w:val="20"/>
              </w:rPr>
              <w:t xml:space="preserve">➔</w:t>
            </w:r>
          </w:p>
        </w:tc>
        <w:tc>
          <w:tcPr>
            <w:tcW w:type="dxa" w:w="9020"/>
            <w:tcBorders>
              <w:top w:val="none" w:color="FFFFFF" w:sz="0"/>
              <w:left w:val="none" w:color="FFFFFF" w:sz="0"/>
              <w:bottom w:val="none" w:color="FFFFFF" w:sz="0"/>
              <w:right w:val="none" w:color="FFFFFF" w:sz="0"/>
            </w:tcBorders>
            <w:shd w:fill="F5F7FA" w:val="clear"/>
            <w:tcMar>
              <w:top w:type="dxa" w:w="80"/>
              <w:left w:type="dxa" w:w="120"/>
              <w:bottom w:type="dxa" w:w="80"/>
              <w:right w:type="dxa" w:w="120"/>
            </w:tcMar>
          </w:tcPr>
          <w:p>
            <w:r>
              <w:rPr>
                <w:rFonts w:ascii="Arial" w:cs="Arial" w:eastAsia="Arial" w:hAnsi="Arial"/>
                <w:color w:val="1A1A2E"/>
                <w:sz w:val="19"/>
                <w:szCs w:val="19"/>
              </w:rPr>
              <w:t xml:space="preserve">AZURE FILE SYNC — Como funciona: Se instala el agente 'Azure File Sync Agent' en el File Server on-premise. Las carpetas del 90% (datos no sensibles) se sincronizan automaticamente hacia Azure Files. Los archivos menos usados se convierten en 'cloud tiering' (punteros locales, archivo real en Azure). Los usuarios siguen accediendo por SMB desde la red local sin cambios en su experiencia.</w:t>
            </w:r>
          </w:p>
        </w:tc>
      </w:tr>
      <w:tr>
        <w:tc>
          <w:tcPr>
            <w:tcW w:type="dxa" w:w="34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b/>
                <w:bCs/>
                <w:color w:val="1976D2"/>
                <w:sz w:val="20"/>
                <w:szCs w:val="20"/>
              </w:rPr>
              <w:t xml:space="preserve">➔</w:t>
            </w:r>
          </w:p>
        </w:tc>
        <w:tc>
          <w:tcPr>
            <w:tcW w:type="dxa" w:w="90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2E"/>
                <w:sz w:val="19"/>
                <w:szCs w:val="19"/>
              </w:rPr>
              <w:t xml:space="preserve">Clasificacion y separacion fisica de los datos: crear estructura de carpetas clara — 'DATOS-CLOUD' (90%) y 'DATOS-SENSIBLES-LOCAL' (10%).</w:t>
            </w:r>
          </w:p>
        </w:tc>
      </w:tr>
      <w:tr>
        <w:tc>
          <w:tcPr>
            <w:tcW w:type="dxa" w:w="340"/>
            <w:tcBorders>
              <w:top w:val="none" w:color="FFFFFF" w:sz="0"/>
              <w:left w:val="none" w:color="FFFFFF" w:sz="0"/>
              <w:bottom w:val="none" w:color="FFFFFF" w:sz="0"/>
              <w:right w:val="none" w:color="FFFFFF" w:sz="0"/>
            </w:tcBorders>
            <w:shd w:fill="F5F7FA" w:val="clear"/>
            <w:tcMar>
              <w:top w:type="dxa" w:w="80"/>
              <w:left w:type="dxa" w:w="80"/>
              <w:bottom w:type="dxa" w:w="80"/>
              <w:right w:type="dxa" w:w="80"/>
            </w:tcMar>
          </w:tcPr>
          <w:p>
            <w:pPr>
              <w:jc w:val="center"/>
            </w:pPr>
            <w:r>
              <w:rPr>
                <w:rFonts w:ascii="Arial" w:cs="Arial" w:eastAsia="Arial" w:hAnsi="Arial"/>
                <w:b/>
                <w:bCs/>
                <w:color w:val="1976D2"/>
                <w:sz w:val="20"/>
                <w:szCs w:val="20"/>
              </w:rPr>
              <w:t xml:space="preserve">➔</w:t>
            </w:r>
          </w:p>
        </w:tc>
        <w:tc>
          <w:tcPr>
            <w:tcW w:type="dxa" w:w="9020"/>
            <w:tcBorders>
              <w:top w:val="none" w:color="FFFFFF" w:sz="0"/>
              <w:left w:val="none" w:color="FFFFFF" w:sz="0"/>
              <w:bottom w:val="none" w:color="FFFFFF" w:sz="0"/>
              <w:right w:val="none" w:color="FFFFFF" w:sz="0"/>
            </w:tcBorders>
            <w:shd w:fill="F5F7FA" w:val="clear"/>
            <w:tcMar>
              <w:top w:type="dxa" w:w="80"/>
              <w:left w:type="dxa" w:w="120"/>
              <w:bottom w:type="dxa" w:w="80"/>
              <w:right w:type="dxa" w:w="120"/>
            </w:tcMar>
          </w:tcPr>
          <w:p>
            <w:r>
              <w:rPr>
                <w:rFonts w:ascii="Arial" w:cs="Arial" w:eastAsia="Arial" w:hAnsi="Arial"/>
                <w:color w:val="1A1A2E"/>
                <w:sz w:val="19"/>
                <w:szCs w:val="19"/>
              </w:rPr>
              <w:t xml:space="preserve">Cifrado de los datos sensibles on-premise: implementacion de BitLocker en el volumen/disco que contiene el 10% de datos sensibles. Gestion de claves con Azure Key Vault (la clave de BitLocker se custodia en la nube).</w:t>
            </w:r>
          </w:p>
        </w:tc>
      </w:tr>
      <w:tr>
        <w:tc>
          <w:tcPr>
            <w:tcW w:type="dxa" w:w="34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b/>
                <w:bCs/>
                <w:color w:val="1976D2"/>
                <w:sz w:val="20"/>
                <w:szCs w:val="20"/>
              </w:rPr>
              <w:t xml:space="preserve">➔</w:t>
            </w:r>
          </w:p>
        </w:tc>
        <w:tc>
          <w:tcPr>
            <w:tcW w:type="dxa" w:w="90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2E"/>
                <w:sz w:val="19"/>
                <w:szCs w:val="19"/>
              </w:rPr>
              <w:t xml:space="preserve">Migracion inicial: copia de los 3.6 TB (90%) hacia Azure Files via Storage Migration Service o Robocopy con verificacion de integridad.</w:t>
            </w:r>
          </w:p>
        </w:tc>
      </w:tr>
      <w:tr>
        <w:tc>
          <w:tcPr>
            <w:tcW w:type="dxa" w:w="340"/>
            <w:tcBorders>
              <w:top w:val="none" w:color="FFFFFF" w:sz="0"/>
              <w:left w:val="none" w:color="FFFFFF" w:sz="0"/>
              <w:bottom w:val="none" w:color="FFFFFF" w:sz="0"/>
              <w:right w:val="none" w:color="FFFFFF" w:sz="0"/>
            </w:tcBorders>
            <w:shd w:fill="F5F7FA" w:val="clear"/>
            <w:tcMar>
              <w:top w:type="dxa" w:w="80"/>
              <w:left w:type="dxa" w:w="80"/>
              <w:bottom w:type="dxa" w:w="80"/>
              <w:right w:type="dxa" w:w="80"/>
            </w:tcMar>
          </w:tcPr>
          <w:p>
            <w:pPr>
              <w:jc w:val="center"/>
            </w:pPr>
            <w:r>
              <w:rPr>
                <w:rFonts w:ascii="Arial" w:cs="Arial" w:eastAsia="Arial" w:hAnsi="Arial"/>
                <w:b/>
                <w:bCs/>
                <w:color w:val="1976D2"/>
                <w:sz w:val="20"/>
                <w:szCs w:val="20"/>
              </w:rPr>
              <w:t xml:space="preserve">➔</w:t>
            </w:r>
          </w:p>
        </w:tc>
        <w:tc>
          <w:tcPr>
            <w:tcW w:type="dxa" w:w="9020"/>
            <w:tcBorders>
              <w:top w:val="none" w:color="FFFFFF" w:sz="0"/>
              <w:left w:val="none" w:color="FFFFFF" w:sz="0"/>
              <w:bottom w:val="none" w:color="FFFFFF" w:sz="0"/>
              <w:right w:val="none" w:color="FFFFFF" w:sz="0"/>
            </w:tcBorders>
            <w:shd w:fill="F5F7FA" w:val="clear"/>
            <w:tcMar>
              <w:top w:type="dxa" w:w="80"/>
              <w:left w:type="dxa" w:w="120"/>
              <w:bottom w:type="dxa" w:w="80"/>
              <w:right w:type="dxa" w:w="120"/>
            </w:tcMar>
          </w:tcPr>
          <w:p>
            <w:r>
              <w:rPr>
                <w:rFonts w:ascii="Arial" w:cs="Arial" w:eastAsia="Arial" w:hAnsi="Arial"/>
                <w:color w:val="1A1A2E"/>
                <w:sz w:val="19"/>
                <w:szCs w:val="19"/>
              </w:rPr>
              <w:t xml:space="preserve">Validacion de permisos NTFS: los permisos de las carpetas deben migrarse y validarse en Azure Files (soporte nativo de permisos NTFS/ACL via Kerberos con AD sincronizado).</w:t>
            </w:r>
          </w:p>
        </w:tc>
      </w:tr>
      <w:tr>
        <w:tc>
          <w:tcPr>
            <w:tcW w:type="dxa" w:w="34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b/>
                <w:bCs/>
                <w:color w:val="1976D2"/>
                <w:sz w:val="20"/>
                <w:szCs w:val="20"/>
              </w:rPr>
              <w:t xml:space="preserve">➔</w:t>
            </w:r>
          </w:p>
        </w:tc>
        <w:tc>
          <w:tcPr>
            <w:tcW w:type="dxa" w:w="90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2E"/>
                <w:sz w:val="19"/>
                <w:szCs w:val="19"/>
              </w:rPr>
              <w:t xml:space="preserve">Configuracion de NSG y Azure Firewall (Fase 4) para que solo los usuarios autenticados por VPN puedan acceder a Azure Files por SMB sobre puerto 445.</w:t>
            </w:r>
          </w:p>
        </w:tc>
      </w:tr>
      <w:tr>
        <w:tc>
          <w:tcPr>
            <w:tcW w:type="dxa" w:w="340"/>
            <w:tcBorders>
              <w:top w:val="none" w:color="FFFFFF" w:sz="0"/>
              <w:left w:val="none" w:color="FFFFFF" w:sz="0"/>
              <w:bottom w:val="none" w:color="FFFFFF" w:sz="0"/>
              <w:right w:val="none" w:color="FFFFFF" w:sz="0"/>
            </w:tcBorders>
            <w:shd w:fill="F5F7FA" w:val="clear"/>
            <w:tcMar>
              <w:top w:type="dxa" w:w="80"/>
              <w:left w:type="dxa" w:w="80"/>
              <w:bottom w:type="dxa" w:w="80"/>
              <w:right w:type="dxa" w:w="80"/>
            </w:tcMar>
          </w:tcPr>
          <w:p>
            <w:pPr>
              <w:jc w:val="center"/>
            </w:pPr>
            <w:r>
              <w:rPr>
                <w:rFonts w:ascii="Arial" w:cs="Arial" w:eastAsia="Arial" w:hAnsi="Arial"/>
                <w:b/>
                <w:bCs/>
                <w:color w:val="1976D2"/>
                <w:sz w:val="20"/>
                <w:szCs w:val="20"/>
              </w:rPr>
              <w:t xml:space="preserve">➔</w:t>
            </w:r>
          </w:p>
        </w:tc>
        <w:tc>
          <w:tcPr>
            <w:tcW w:type="dxa" w:w="9020"/>
            <w:tcBorders>
              <w:top w:val="none" w:color="FFFFFF" w:sz="0"/>
              <w:left w:val="none" w:color="FFFFFF" w:sz="0"/>
              <w:bottom w:val="none" w:color="FFFFFF" w:sz="0"/>
              <w:right w:val="none" w:color="FFFFFF" w:sz="0"/>
            </w:tcBorders>
            <w:shd w:fill="F5F7FA" w:val="clear"/>
            <w:tcMar>
              <w:top w:type="dxa" w:w="80"/>
              <w:left w:type="dxa" w:w="120"/>
              <w:bottom w:type="dxa" w:w="80"/>
              <w:right w:type="dxa" w:w="120"/>
            </w:tcMar>
          </w:tcPr>
          <w:p>
            <w:r>
              <w:rPr>
                <w:rFonts w:ascii="Arial" w:cs="Arial" w:eastAsia="Arial" w:hAnsi="Arial"/>
                <w:color w:val="1A1A2E"/>
                <w:sz w:val="19"/>
                <w:szCs w:val="19"/>
              </w:rPr>
              <w:t xml:space="preserve">Configuracion de Azure Backup para el File Server en Azure (politica de retencion segun ISO 27001: minimo 30 dias, recomendado 90 dias).</w:t>
            </w:r>
          </w:p>
        </w:tc>
      </w:tr>
      <w:tr>
        <w:tc>
          <w:tcPr>
            <w:tcW w:type="dxa" w:w="34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b/>
                <w:bCs/>
                <w:color w:val="1976D2"/>
                <w:sz w:val="20"/>
                <w:szCs w:val="20"/>
              </w:rPr>
              <w:t xml:space="preserve">➔</w:t>
            </w:r>
          </w:p>
        </w:tc>
        <w:tc>
          <w:tcPr>
            <w:tcW w:type="dxa" w:w="90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2E"/>
                <w:sz w:val="19"/>
                <w:szCs w:val="19"/>
              </w:rPr>
              <w:t xml:space="preserve">Pruebas de acceso: usuarios acceden a Azure Files via VPN P2S con la misma experiencia que el File Server local.</w:t>
            </w:r>
          </w:p>
        </w:tc>
      </w:tr>
      <w:tr>
        <w:tc>
          <w:tcPr>
            <w:tcW w:type="dxa" w:w="340"/>
            <w:tcBorders>
              <w:top w:val="none" w:color="FFFFFF" w:sz="0"/>
              <w:left w:val="none" w:color="FFFFFF" w:sz="0"/>
              <w:bottom w:val="none" w:color="FFFFFF" w:sz="0"/>
              <w:right w:val="none" w:color="FFFFFF" w:sz="0"/>
            </w:tcBorders>
            <w:shd w:fill="F5F7FA" w:val="clear"/>
            <w:tcMar>
              <w:top w:type="dxa" w:w="80"/>
              <w:left w:type="dxa" w:w="80"/>
              <w:bottom w:type="dxa" w:w="80"/>
              <w:right w:type="dxa" w:w="80"/>
            </w:tcMar>
          </w:tcPr>
          <w:p>
            <w:pPr>
              <w:jc w:val="center"/>
            </w:pPr>
            <w:r>
              <w:rPr>
                <w:rFonts w:ascii="Arial" w:cs="Arial" w:eastAsia="Arial" w:hAnsi="Arial"/>
                <w:b/>
                <w:bCs/>
                <w:color w:val="1976D2"/>
                <w:sz w:val="20"/>
                <w:szCs w:val="20"/>
              </w:rPr>
              <w:t xml:space="preserve">➔</w:t>
            </w:r>
          </w:p>
        </w:tc>
        <w:tc>
          <w:tcPr>
            <w:tcW w:type="dxa" w:w="9020"/>
            <w:tcBorders>
              <w:top w:val="none" w:color="FFFFFF" w:sz="0"/>
              <w:left w:val="none" w:color="FFFFFF" w:sz="0"/>
              <w:bottom w:val="none" w:color="FFFFFF" w:sz="0"/>
              <w:right w:val="none" w:color="FFFFFF" w:sz="0"/>
            </w:tcBorders>
            <w:shd w:fill="F5F7FA" w:val="clear"/>
            <w:tcMar>
              <w:top w:type="dxa" w:w="80"/>
              <w:left w:type="dxa" w:w="120"/>
              <w:bottom w:type="dxa" w:w="80"/>
              <w:right w:type="dxa" w:w="120"/>
            </w:tcMar>
          </w:tcPr>
          <w:p>
            <w:r>
              <w:rPr>
                <w:rFonts w:ascii="Arial" w:cs="Arial" w:eastAsia="Arial" w:hAnsi="Arial"/>
                <w:color w:val="1A1A2E"/>
                <w:sz w:val="19"/>
                <w:szCs w:val="19"/>
              </w:rPr>
              <w:t xml:space="preserve">Plan de contingencia: el File Server on-premise permanece activo en modo lectura durante 30 dias post-migracion antes de desactivarlo.</w:t>
            </w:r>
          </w:p>
        </w:tc>
      </w:tr>
      <w:tr>
        <w:tc>
          <w:tcPr>
            <w:tcW w:type="dxa" w:w="34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b/>
                <w:bCs/>
                <w:color w:val="1976D2"/>
                <w:sz w:val="20"/>
                <w:szCs w:val="20"/>
              </w:rPr>
              <w:t xml:space="preserve">➔</w:t>
            </w:r>
          </w:p>
        </w:tc>
        <w:tc>
          <w:tcPr>
            <w:tcW w:type="dxa" w:w="90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2E"/>
                <w:sz w:val="19"/>
                <w:szCs w:val="19"/>
              </w:rPr>
              <w:t xml:space="preserve">Entregables: Azure Files operativo con 90% de datos migrados, BitLocker activo en datos sensibles, Azure File Sync configurado, Azure Backup activo, pruebas de acceso documentadas.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360C" w:sz="1"/>
              <w:left w:val="single" w:color="BF360C" w:sz="1"/>
              <w:bottom w:val="single" w:color="BF360C" w:sz="1"/>
              <w:right w:val="single" w:color="BF360C" w:sz="1"/>
            </w:tcBorders>
            <w:shd w:fill="BF360C" w:val="clear"/>
            <w:tcMar>
              <w:top w:type="dxa" w:w="140"/>
              <w:left w:type="dxa" w:w="160"/>
              <w:bottom w:type="dxa" w:w="80"/>
              <w:right w:type="dxa" w:w="160"/>
            </w:tcMar>
          </w:tcPr>
          <w:p>
            <w:r>
              <w:rPr>
                <w:rFonts w:ascii="Arial" w:cs="Arial" w:eastAsia="Arial" w:hAnsi="Arial"/>
                <w:b/>
                <w:bCs/>
                <w:color w:val="FFFFFF"/>
                <w:sz w:val="24"/>
                <w:szCs w:val="24"/>
              </w:rPr>
              <w:t xml:space="preserve">FASE 4 — </w:t>
            </w:r>
            <w:r>
              <w:rPr>
                <w:rFonts w:ascii="Arial" w:cs="Arial" w:eastAsia="Arial" w:hAnsi="Arial"/>
                <w:b/>
                <w:bCs/>
                <w:color w:val="FFFFFF"/>
                <w:sz w:val="24"/>
                <w:szCs w:val="24"/>
              </w:rPr>
              <w:t xml:space="preserve">SEGURIDAD DE RED — NUEVO FIREWALL ON-PREMISE + AZURE FIREWALL + VPN P2S</w:t>
            </w:r>
            <w:r>
              <w:rPr>
                <w:rFonts w:ascii="Arial" w:cs="Arial" w:eastAsia="Arial" w:hAnsi="Arial"/>
                <w:i/>
                <w:iCs/>
                <w:color w:val="FFFFFF"/>
                <w:sz w:val="20"/>
                <w:szCs w:val="20"/>
              </w:rPr>
              <w:t xml:space="preserve">   [ Semanas 13 — 20 ]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b/>
                <w:bCs/>
                <w:color w:val="BF360C"/>
                <w:sz w:val="20"/>
                <w:szCs w:val="20"/>
              </w:rPr>
              <w:t xml:space="preserve">➔</w:t>
            </w:r>
          </w:p>
        </w:tc>
        <w:tc>
          <w:tcPr>
            <w:tcW w:type="dxa" w:w="90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2E"/>
                <w:sz w:val="19"/>
                <w:szCs w:val="19"/>
              </w:rPr>
              <w:t xml:space="preserve">Seleccion e implementacion del nuevo Firewall on-premise (reemplazo de Check Point): se recomienda Fortinet FortiGate o Palo Alto PA-Series por su integracion nativa con Azure, soporte ZTNA y capacidades de SD-WAN.</w:t>
            </w:r>
          </w:p>
        </w:tc>
      </w:tr>
      <w:tr>
        <w:tc>
          <w:tcPr>
            <w:tcW w:type="dxa" w:w="340"/>
            <w:tcBorders>
              <w:top w:val="none" w:color="FFFFFF" w:sz="0"/>
              <w:left w:val="none" w:color="FFFFFF" w:sz="0"/>
              <w:bottom w:val="none" w:color="FFFFFF" w:sz="0"/>
              <w:right w:val="none" w:color="FFFFFF" w:sz="0"/>
            </w:tcBorders>
            <w:shd w:fill="F5F7FA" w:val="clear"/>
            <w:tcMar>
              <w:top w:type="dxa" w:w="80"/>
              <w:left w:type="dxa" w:w="80"/>
              <w:bottom w:type="dxa" w:w="80"/>
              <w:right w:type="dxa" w:w="80"/>
            </w:tcMar>
          </w:tcPr>
          <w:p>
            <w:pPr>
              <w:jc w:val="center"/>
            </w:pPr>
            <w:r>
              <w:rPr>
                <w:rFonts w:ascii="Arial" w:cs="Arial" w:eastAsia="Arial" w:hAnsi="Arial"/>
                <w:b/>
                <w:bCs/>
                <w:color w:val="BF360C"/>
                <w:sz w:val="20"/>
                <w:szCs w:val="20"/>
              </w:rPr>
              <w:t xml:space="preserve">➔</w:t>
            </w:r>
          </w:p>
        </w:tc>
        <w:tc>
          <w:tcPr>
            <w:tcW w:type="dxa" w:w="9020"/>
            <w:tcBorders>
              <w:top w:val="none" w:color="FFFFFF" w:sz="0"/>
              <w:left w:val="none" w:color="FFFFFF" w:sz="0"/>
              <w:bottom w:val="none" w:color="FFFFFF" w:sz="0"/>
              <w:right w:val="none" w:color="FFFFFF" w:sz="0"/>
            </w:tcBorders>
            <w:shd w:fill="F5F7FA" w:val="clear"/>
            <w:tcMar>
              <w:top w:type="dxa" w:w="80"/>
              <w:left w:type="dxa" w:w="120"/>
              <w:bottom w:type="dxa" w:w="80"/>
              <w:right w:type="dxa" w:w="120"/>
            </w:tcMar>
          </w:tcPr>
          <w:p>
            <w:r>
              <w:rPr>
                <w:rFonts w:ascii="Arial" w:cs="Arial" w:eastAsia="Arial" w:hAnsi="Arial"/>
                <w:color w:val="1A1A2E"/>
                <w:sz w:val="19"/>
                <w:szCs w:val="19"/>
              </w:rPr>
              <w:t xml:space="preserve">Migracion de reglas de Check Point al nuevo firewall: inventario, limpieza de reglas obsoletas y traduccion al nuevo formato. Este proceso debe documentarse como evidencia para ISO 27001 (Control A.8.20).</w:t>
            </w:r>
          </w:p>
        </w:tc>
      </w:tr>
      <w:tr>
        <w:tc>
          <w:tcPr>
            <w:tcW w:type="dxa" w:w="34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b/>
                <w:bCs/>
                <w:color w:val="BF360C"/>
                <w:sz w:val="20"/>
                <w:szCs w:val="20"/>
              </w:rPr>
              <w:t xml:space="preserve">➔</w:t>
            </w:r>
          </w:p>
        </w:tc>
        <w:tc>
          <w:tcPr>
            <w:tcW w:type="dxa" w:w="90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2E"/>
                <w:sz w:val="19"/>
                <w:szCs w:val="19"/>
              </w:rPr>
              <w:t xml:space="preserve">Configuracion del nuevo firewall on-premise con VPN IPsec/IKEv2 hacia Azure VPN Gateway (S2S) para conectividad hibrida permanente.</w:t>
            </w:r>
          </w:p>
        </w:tc>
      </w:tr>
      <w:tr>
        <w:tc>
          <w:tcPr>
            <w:tcW w:type="dxa" w:w="340"/>
            <w:tcBorders>
              <w:top w:val="none" w:color="FFFFFF" w:sz="0"/>
              <w:left w:val="none" w:color="FFFFFF" w:sz="0"/>
              <w:bottom w:val="none" w:color="FFFFFF" w:sz="0"/>
              <w:right w:val="none" w:color="FFFFFF" w:sz="0"/>
            </w:tcBorders>
            <w:shd w:fill="F5F7FA" w:val="clear"/>
            <w:tcMar>
              <w:top w:type="dxa" w:w="80"/>
              <w:left w:type="dxa" w:w="80"/>
              <w:bottom w:type="dxa" w:w="80"/>
              <w:right w:type="dxa" w:w="80"/>
            </w:tcMar>
          </w:tcPr>
          <w:p>
            <w:pPr>
              <w:jc w:val="center"/>
            </w:pPr>
            <w:r>
              <w:rPr>
                <w:rFonts w:ascii="Arial" w:cs="Arial" w:eastAsia="Arial" w:hAnsi="Arial"/>
                <w:b/>
                <w:bCs/>
                <w:color w:val="BF360C"/>
                <w:sz w:val="20"/>
                <w:szCs w:val="20"/>
              </w:rPr>
              <w:t xml:space="preserve">➔</w:t>
            </w:r>
          </w:p>
        </w:tc>
        <w:tc>
          <w:tcPr>
            <w:tcW w:type="dxa" w:w="9020"/>
            <w:tcBorders>
              <w:top w:val="none" w:color="FFFFFF" w:sz="0"/>
              <w:left w:val="none" w:color="FFFFFF" w:sz="0"/>
              <w:bottom w:val="none" w:color="FFFFFF" w:sz="0"/>
              <w:right w:val="none" w:color="FFFFFF" w:sz="0"/>
            </w:tcBorders>
            <w:shd w:fill="F5F7FA" w:val="clear"/>
            <w:tcMar>
              <w:top w:type="dxa" w:w="80"/>
              <w:left w:type="dxa" w:w="120"/>
              <w:bottom w:type="dxa" w:w="80"/>
              <w:right w:type="dxa" w:w="120"/>
            </w:tcMar>
          </w:tcPr>
          <w:p>
            <w:r>
              <w:rPr>
                <w:rFonts w:ascii="Arial" w:cs="Arial" w:eastAsia="Arial" w:hAnsi="Arial"/>
                <w:color w:val="1A1A2E"/>
                <w:sz w:val="19"/>
                <w:szCs w:val="19"/>
              </w:rPr>
              <w:t xml:space="preserve">Despliegue de Azure VPN Gateway (VpnGw1) en Azure con configuracion P2S (OpenVPN + Entra ID MFA) para los usuarios remotos.</w:t>
            </w:r>
          </w:p>
        </w:tc>
      </w:tr>
      <w:tr>
        <w:tc>
          <w:tcPr>
            <w:tcW w:type="dxa" w:w="34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b/>
                <w:bCs/>
                <w:color w:val="BF360C"/>
                <w:sz w:val="20"/>
                <w:szCs w:val="20"/>
              </w:rPr>
              <w:t xml:space="preserve">➔</w:t>
            </w:r>
          </w:p>
        </w:tc>
        <w:tc>
          <w:tcPr>
            <w:tcW w:type="dxa" w:w="90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2E"/>
                <w:sz w:val="19"/>
                <w:szCs w:val="19"/>
              </w:rPr>
              <w:t xml:space="preserve">Despliegue de Azure Firewall Premium en arquitectura Hub-and-Spoke: inspeccion de todo el trafico entrante/saliente en Azure con IDPS, Threat Intelligence y TLS Inspection.</w:t>
            </w:r>
          </w:p>
        </w:tc>
      </w:tr>
      <w:tr>
        <w:tc>
          <w:tcPr>
            <w:tcW w:type="dxa" w:w="340"/>
            <w:tcBorders>
              <w:top w:val="none" w:color="FFFFFF" w:sz="0"/>
              <w:left w:val="none" w:color="FFFFFF" w:sz="0"/>
              <w:bottom w:val="none" w:color="FFFFFF" w:sz="0"/>
              <w:right w:val="none" w:color="FFFFFF" w:sz="0"/>
            </w:tcBorders>
            <w:shd w:fill="F5F7FA" w:val="clear"/>
            <w:tcMar>
              <w:top w:type="dxa" w:w="80"/>
              <w:left w:type="dxa" w:w="80"/>
              <w:bottom w:type="dxa" w:w="80"/>
              <w:right w:type="dxa" w:w="80"/>
            </w:tcMar>
          </w:tcPr>
          <w:p>
            <w:pPr>
              <w:jc w:val="center"/>
            </w:pPr>
            <w:r>
              <w:rPr>
                <w:rFonts w:ascii="Arial" w:cs="Arial" w:eastAsia="Arial" w:hAnsi="Arial"/>
                <w:b/>
                <w:bCs/>
                <w:color w:val="BF360C"/>
                <w:sz w:val="20"/>
                <w:szCs w:val="20"/>
              </w:rPr>
              <w:t xml:space="preserve">➔</w:t>
            </w:r>
          </w:p>
        </w:tc>
        <w:tc>
          <w:tcPr>
            <w:tcW w:type="dxa" w:w="9020"/>
            <w:tcBorders>
              <w:top w:val="none" w:color="FFFFFF" w:sz="0"/>
              <w:left w:val="none" w:color="FFFFFF" w:sz="0"/>
              <w:bottom w:val="none" w:color="FFFFFF" w:sz="0"/>
              <w:right w:val="none" w:color="FFFFFF" w:sz="0"/>
            </w:tcBorders>
            <w:shd w:fill="F5F7FA" w:val="clear"/>
            <w:tcMar>
              <w:top w:type="dxa" w:w="80"/>
              <w:left w:type="dxa" w:w="120"/>
              <w:bottom w:type="dxa" w:w="80"/>
              <w:right w:type="dxa" w:w="120"/>
            </w:tcMar>
          </w:tcPr>
          <w:p>
            <w:r>
              <w:rPr>
                <w:rFonts w:ascii="Arial" w:cs="Arial" w:eastAsia="Arial" w:hAnsi="Arial"/>
                <w:color w:val="1A1A2E"/>
                <w:sz w:val="19"/>
                <w:szCs w:val="19"/>
              </w:rPr>
              <w:t xml:space="preserve">Configuracion de User Defined Routes (UDR) para forzar el trafico VPN de usuarios P2S a traves del Azure Firewall antes de llegar al File Server o DCs en Azure.</w:t>
            </w:r>
          </w:p>
        </w:tc>
      </w:tr>
      <w:tr>
        <w:tc>
          <w:tcPr>
            <w:tcW w:type="dxa" w:w="34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b/>
                <w:bCs/>
                <w:color w:val="BF360C"/>
                <w:sz w:val="20"/>
                <w:szCs w:val="20"/>
              </w:rPr>
              <w:t xml:space="preserve">➔</w:t>
            </w:r>
          </w:p>
        </w:tc>
        <w:tc>
          <w:tcPr>
            <w:tcW w:type="dxa" w:w="90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2E"/>
                <w:sz w:val="19"/>
                <w:szCs w:val="19"/>
              </w:rPr>
              <w:t xml:space="preserve">Instalacion y configuracion del Azure VPN Client en los equipos Windows de todos los usuarios + registro MFA (si no se hizo en Fase 2).</w:t>
            </w:r>
          </w:p>
        </w:tc>
      </w:tr>
      <w:tr>
        <w:tc>
          <w:tcPr>
            <w:tcW w:type="dxa" w:w="340"/>
            <w:tcBorders>
              <w:top w:val="none" w:color="FFFFFF" w:sz="0"/>
              <w:left w:val="none" w:color="FFFFFF" w:sz="0"/>
              <w:bottom w:val="none" w:color="FFFFFF" w:sz="0"/>
              <w:right w:val="none" w:color="FFFFFF" w:sz="0"/>
            </w:tcBorders>
            <w:shd w:fill="F5F7FA" w:val="clear"/>
            <w:tcMar>
              <w:top w:type="dxa" w:w="80"/>
              <w:left w:type="dxa" w:w="80"/>
              <w:bottom w:type="dxa" w:w="80"/>
              <w:right w:type="dxa" w:w="80"/>
            </w:tcMar>
          </w:tcPr>
          <w:p>
            <w:pPr>
              <w:jc w:val="center"/>
            </w:pPr>
            <w:r>
              <w:rPr>
                <w:rFonts w:ascii="Arial" w:cs="Arial" w:eastAsia="Arial" w:hAnsi="Arial"/>
                <w:b/>
                <w:bCs/>
                <w:color w:val="BF360C"/>
                <w:sz w:val="20"/>
                <w:szCs w:val="20"/>
              </w:rPr>
              <w:t xml:space="preserve">➔</w:t>
            </w:r>
          </w:p>
        </w:tc>
        <w:tc>
          <w:tcPr>
            <w:tcW w:type="dxa" w:w="9020"/>
            <w:tcBorders>
              <w:top w:val="none" w:color="FFFFFF" w:sz="0"/>
              <w:left w:val="none" w:color="FFFFFF" w:sz="0"/>
              <w:bottom w:val="none" w:color="FFFFFF" w:sz="0"/>
              <w:right w:val="none" w:color="FFFFFF" w:sz="0"/>
            </w:tcBorders>
            <w:shd w:fill="F5F7FA" w:val="clear"/>
            <w:tcMar>
              <w:top w:type="dxa" w:w="80"/>
              <w:left w:type="dxa" w:w="120"/>
              <w:bottom w:type="dxa" w:w="80"/>
              <w:right w:type="dxa" w:w="120"/>
            </w:tcMar>
          </w:tcPr>
          <w:p>
            <w:r>
              <w:rPr>
                <w:rFonts w:ascii="Arial" w:cs="Arial" w:eastAsia="Arial" w:hAnsi="Arial"/>
                <w:color w:val="1A1A2E"/>
                <w:sz w:val="19"/>
                <w:szCs w:val="19"/>
              </w:rPr>
              <w:t xml:space="preserve">Baja formal de Check Point: una vez validado que el nuevo firewall y Azure VPN P2S cubren el 100% de los casos de uso, se desactiva Check Point documentando el proceso.</w:t>
            </w:r>
          </w:p>
        </w:tc>
      </w:tr>
      <w:tr>
        <w:tc>
          <w:tcPr>
            <w:tcW w:type="dxa" w:w="34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b/>
                <w:bCs/>
                <w:color w:val="BF360C"/>
                <w:sz w:val="20"/>
                <w:szCs w:val="20"/>
              </w:rPr>
              <w:t xml:space="preserve">➔</w:t>
            </w:r>
          </w:p>
        </w:tc>
        <w:tc>
          <w:tcPr>
            <w:tcW w:type="dxa" w:w="90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2E"/>
                <w:sz w:val="19"/>
                <w:szCs w:val="19"/>
              </w:rPr>
              <w:t xml:space="preserve">Implementacion de politica de Zero Trust en red: ningun segmento on-premise ni en Azure confia en otro por defecto — todo el trafico se inspecciona.</w:t>
            </w:r>
          </w:p>
        </w:tc>
      </w:tr>
      <w:tr>
        <w:tc>
          <w:tcPr>
            <w:tcW w:type="dxa" w:w="340"/>
            <w:tcBorders>
              <w:top w:val="none" w:color="FFFFFF" w:sz="0"/>
              <w:left w:val="none" w:color="FFFFFF" w:sz="0"/>
              <w:bottom w:val="none" w:color="FFFFFF" w:sz="0"/>
              <w:right w:val="none" w:color="FFFFFF" w:sz="0"/>
            </w:tcBorders>
            <w:shd w:fill="F5F7FA" w:val="clear"/>
            <w:tcMar>
              <w:top w:type="dxa" w:w="80"/>
              <w:left w:type="dxa" w:w="80"/>
              <w:bottom w:type="dxa" w:w="80"/>
              <w:right w:type="dxa" w:w="80"/>
            </w:tcMar>
          </w:tcPr>
          <w:p>
            <w:pPr>
              <w:jc w:val="center"/>
            </w:pPr>
            <w:r>
              <w:rPr>
                <w:rFonts w:ascii="Arial" w:cs="Arial" w:eastAsia="Arial" w:hAnsi="Arial"/>
                <w:b/>
                <w:bCs/>
                <w:color w:val="BF360C"/>
                <w:sz w:val="20"/>
                <w:szCs w:val="20"/>
              </w:rPr>
              <w:t xml:space="preserve">➔</w:t>
            </w:r>
          </w:p>
        </w:tc>
        <w:tc>
          <w:tcPr>
            <w:tcW w:type="dxa" w:w="9020"/>
            <w:tcBorders>
              <w:top w:val="none" w:color="FFFFFF" w:sz="0"/>
              <w:left w:val="none" w:color="FFFFFF" w:sz="0"/>
              <w:bottom w:val="none" w:color="FFFFFF" w:sz="0"/>
              <w:right w:val="none" w:color="FFFFFF" w:sz="0"/>
            </w:tcBorders>
            <w:shd w:fill="F5F7FA" w:val="clear"/>
            <w:tcMar>
              <w:top w:type="dxa" w:w="80"/>
              <w:left w:type="dxa" w:w="120"/>
              <w:bottom w:type="dxa" w:w="80"/>
              <w:right w:type="dxa" w:w="120"/>
            </w:tcMar>
          </w:tcPr>
          <w:p>
            <w:r>
              <w:rPr>
                <w:rFonts w:ascii="Arial" w:cs="Arial" w:eastAsia="Arial" w:hAnsi="Arial"/>
                <w:color w:val="1A1A2E"/>
                <w:sz w:val="19"/>
                <w:szCs w:val="19"/>
              </w:rPr>
              <w:t xml:space="preserve">Entregables: Nuevo FW on-premise operativo, Azure Firewall Premium activo, Azure VPN P2S con MFA para todos los usuarios, Check Point dado de baja, reglas documentadas.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1"/>
              <w:left w:val="single" w:color="6A1B9A" w:sz="1"/>
              <w:bottom w:val="single" w:color="6A1B9A" w:sz="1"/>
              <w:right w:val="single" w:color="6A1B9A" w:sz="1"/>
            </w:tcBorders>
            <w:shd w:fill="6A1B9A" w:val="clear"/>
            <w:tcMar>
              <w:top w:type="dxa" w:w="140"/>
              <w:left w:type="dxa" w:w="160"/>
              <w:bottom w:type="dxa" w:w="80"/>
              <w:right w:type="dxa" w:w="160"/>
            </w:tcMar>
          </w:tcPr>
          <w:p>
            <w:r>
              <w:rPr>
                <w:rFonts w:ascii="Arial" w:cs="Arial" w:eastAsia="Arial" w:hAnsi="Arial"/>
                <w:b/>
                <w:bCs/>
                <w:color w:val="FFFFFF"/>
                <w:sz w:val="24"/>
                <w:szCs w:val="24"/>
              </w:rPr>
              <w:t xml:space="preserve">FASE 5 — </w:t>
            </w:r>
            <w:r>
              <w:rPr>
                <w:rFonts w:ascii="Arial" w:cs="Arial" w:eastAsia="Arial" w:hAnsi="Arial"/>
                <w:b/>
                <w:bCs/>
                <w:color w:val="FFFFFF"/>
                <w:sz w:val="24"/>
                <w:szCs w:val="24"/>
              </w:rPr>
              <w:t xml:space="preserve">ISO 27001 — OPERACIONES, MONITOREO Y PREPARACION PARA AUDITORIA</w:t>
            </w:r>
            <w:r>
              <w:rPr>
                <w:rFonts w:ascii="Arial" w:cs="Arial" w:eastAsia="Arial" w:hAnsi="Arial"/>
                <w:i/>
                <w:iCs/>
                <w:color w:val="FFFFFF"/>
                <w:sz w:val="20"/>
                <w:szCs w:val="20"/>
              </w:rPr>
              <w:t xml:space="preserve">   [ Semanas 18 — 24 ]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b/>
                <w:bCs/>
                <w:color w:val="6A1B9A"/>
                <w:sz w:val="20"/>
                <w:szCs w:val="20"/>
              </w:rPr>
              <w:t xml:space="preserve">➔</w:t>
            </w:r>
          </w:p>
        </w:tc>
        <w:tc>
          <w:tcPr>
            <w:tcW w:type="dxa" w:w="90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2E"/>
                <w:sz w:val="19"/>
                <w:szCs w:val="19"/>
              </w:rPr>
              <w:t xml:space="preserve">Configuracion avanzada de Log Analytics: dashboards de seguridad unificados con datos de Azure Firewall, VPN, Entra ID (MFA fallido, CA bloqueados), File Server y DCs.</w:t>
            </w:r>
          </w:p>
        </w:tc>
      </w:tr>
      <w:tr>
        <w:tc>
          <w:tcPr>
            <w:tcW w:type="dxa" w:w="340"/>
            <w:tcBorders>
              <w:top w:val="none" w:color="FFFFFF" w:sz="0"/>
              <w:left w:val="none" w:color="FFFFFF" w:sz="0"/>
              <w:bottom w:val="none" w:color="FFFFFF" w:sz="0"/>
              <w:right w:val="none" w:color="FFFFFF" w:sz="0"/>
            </w:tcBorders>
            <w:shd w:fill="F5F7FA" w:val="clear"/>
            <w:tcMar>
              <w:top w:type="dxa" w:w="80"/>
              <w:left w:type="dxa" w:w="80"/>
              <w:bottom w:type="dxa" w:w="80"/>
              <w:right w:type="dxa" w:w="80"/>
            </w:tcMar>
          </w:tcPr>
          <w:p>
            <w:pPr>
              <w:jc w:val="center"/>
            </w:pPr>
            <w:r>
              <w:rPr>
                <w:rFonts w:ascii="Arial" w:cs="Arial" w:eastAsia="Arial" w:hAnsi="Arial"/>
                <w:b/>
                <w:bCs/>
                <w:color w:val="6A1B9A"/>
                <w:sz w:val="20"/>
                <w:szCs w:val="20"/>
              </w:rPr>
              <w:t xml:space="preserve">➔</w:t>
            </w:r>
          </w:p>
        </w:tc>
        <w:tc>
          <w:tcPr>
            <w:tcW w:type="dxa" w:w="9020"/>
            <w:tcBorders>
              <w:top w:val="none" w:color="FFFFFF" w:sz="0"/>
              <w:left w:val="none" w:color="FFFFFF" w:sz="0"/>
              <w:bottom w:val="none" w:color="FFFFFF" w:sz="0"/>
              <w:right w:val="none" w:color="FFFFFF" w:sz="0"/>
            </w:tcBorders>
            <w:shd w:fill="F5F7FA" w:val="clear"/>
            <w:tcMar>
              <w:top w:type="dxa" w:w="80"/>
              <w:left w:type="dxa" w:w="120"/>
              <w:bottom w:type="dxa" w:w="80"/>
              <w:right w:type="dxa" w:w="120"/>
            </w:tcMar>
          </w:tcPr>
          <w:p>
            <w:r>
              <w:rPr>
                <w:rFonts w:ascii="Arial" w:cs="Arial" w:eastAsia="Arial" w:hAnsi="Arial"/>
                <w:color w:val="1A1A2E"/>
                <w:sz w:val="19"/>
                <w:szCs w:val="19"/>
              </w:rPr>
              <w:t xml:space="preserve">Implementacion de Microsoft Sentinel (SIEM nativo de Azure) o integracion con SIEM existente: correlacion de eventos, reglas de deteccion de amenazas, playbooks de respuesta automatica.</w:t>
            </w:r>
          </w:p>
        </w:tc>
      </w:tr>
      <w:tr>
        <w:tc>
          <w:tcPr>
            <w:tcW w:type="dxa" w:w="34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b/>
                <w:bCs/>
                <w:color w:val="6A1B9A"/>
                <w:sz w:val="20"/>
                <w:szCs w:val="20"/>
              </w:rPr>
              <w:t xml:space="preserve">➔</w:t>
            </w:r>
          </w:p>
        </w:tc>
        <w:tc>
          <w:tcPr>
            <w:tcW w:type="dxa" w:w="90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2E"/>
                <w:sz w:val="19"/>
                <w:szCs w:val="19"/>
              </w:rPr>
              <w:t xml:space="preserve">Formalizacion del SGSI: actualizar el Statement of Applicability (SoA) con los controles implementados en las fases 1-4 y su evidencia en Azure.</w:t>
            </w:r>
          </w:p>
        </w:tc>
      </w:tr>
      <w:tr>
        <w:tc>
          <w:tcPr>
            <w:tcW w:type="dxa" w:w="340"/>
            <w:tcBorders>
              <w:top w:val="none" w:color="FFFFFF" w:sz="0"/>
              <w:left w:val="none" w:color="FFFFFF" w:sz="0"/>
              <w:bottom w:val="none" w:color="FFFFFF" w:sz="0"/>
              <w:right w:val="none" w:color="FFFFFF" w:sz="0"/>
            </w:tcBorders>
            <w:shd w:fill="F5F7FA" w:val="clear"/>
            <w:tcMar>
              <w:top w:type="dxa" w:w="80"/>
              <w:left w:type="dxa" w:w="80"/>
              <w:bottom w:type="dxa" w:w="80"/>
              <w:right w:type="dxa" w:w="80"/>
            </w:tcMar>
          </w:tcPr>
          <w:p>
            <w:pPr>
              <w:jc w:val="center"/>
            </w:pPr>
            <w:r>
              <w:rPr>
                <w:rFonts w:ascii="Arial" w:cs="Arial" w:eastAsia="Arial" w:hAnsi="Arial"/>
                <w:b/>
                <w:bCs/>
                <w:color w:val="6A1B9A"/>
                <w:sz w:val="20"/>
                <w:szCs w:val="20"/>
              </w:rPr>
              <w:t xml:space="preserve">➔</w:t>
            </w:r>
          </w:p>
        </w:tc>
        <w:tc>
          <w:tcPr>
            <w:tcW w:type="dxa" w:w="9020"/>
            <w:tcBorders>
              <w:top w:val="none" w:color="FFFFFF" w:sz="0"/>
              <w:left w:val="none" w:color="FFFFFF" w:sz="0"/>
              <w:bottom w:val="none" w:color="FFFFFF" w:sz="0"/>
              <w:right w:val="none" w:color="FFFFFF" w:sz="0"/>
            </w:tcBorders>
            <w:shd w:fill="F5F7FA" w:val="clear"/>
            <w:tcMar>
              <w:top w:type="dxa" w:w="80"/>
              <w:left w:type="dxa" w:w="120"/>
              <w:bottom w:type="dxa" w:w="80"/>
              <w:right w:type="dxa" w:w="120"/>
            </w:tcMar>
          </w:tcPr>
          <w:p>
            <w:r>
              <w:rPr>
                <w:rFonts w:ascii="Arial" w:cs="Arial" w:eastAsia="Arial" w:hAnsi="Arial"/>
                <w:color w:val="1A1A2E"/>
                <w:sz w:val="19"/>
                <w:szCs w:val="19"/>
              </w:rPr>
              <w:t xml:space="preserve">Controles ISO 27001 cubiertos por la solucion: A.5.10 (politica uso aceptable), A.8.1 (dispositivos endpoint), A.8.3 (restriccion acceso info), A.8.5 (autenticacion segura/MFA), A.8.7 (malware/IDPS), A.8.12 (prevencion fuga datos), A.8.16 (monitoreo actividades), A.8.20 (seguridad redes/FW), A.8.24 (criptografia/cifrado datos sensibles).</w:t>
            </w:r>
          </w:p>
        </w:tc>
      </w:tr>
      <w:tr>
        <w:tc>
          <w:tcPr>
            <w:tcW w:type="dxa" w:w="34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b/>
                <w:bCs/>
                <w:color w:val="6A1B9A"/>
                <w:sz w:val="20"/>
                <w:szCs w:val="20"/>
              </w:rPr>
              <w:t xml:space="preserve">➔</w:t>
            </w:r>
          </w:p>
        </w:tc>
        <w:tc>
          <w:tcPr>
            <w:tcW w:type="dxa" w:w="90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2E"/>
                <w:sz w:val="19"/>
                <w:szCs w:val="19"/>
              </w:rPr>
              <w:t xml:space="preserve">Entrenamiento al equipo de TI: operacion del Azure Firewall, gestion de usuarios MFA/Entra ID, respuesta a alertas, gestion de Azure File Sync.</w:t>
            </w:r>
          </w:p>
        </w:tc>
      </w:tr>
      <w:tr>
        <w:tc>
          <w:tcPr>
            <w:tcW w:type="dxa" w:w="340"/>
            <w:tcBorders>
              <w:top w:val="none" w:color="FFFFFF" w:sz="0"/>
              <w:left w:val="none" w:color="FFFFFF" w:sz="0"/>
              <w:bottom w:val="none" w:color="FFFFFF" w:sz="0"/>
              <w:right w:val="none" w:color="FFFFFF" w:sz="0"/>
            </w:tcBorders>
            <w:shd w:fill="F5F7FA" w:val="clear"/>
            <w:tcMar>
              <w:top w:type="dxa" w:w="80"/>
              <w:left w:type="dxa" w:w="80"/>
              <w:bottom w:type="dxa" w:w="80"/>
              <w:right w:type="dxa" w:w="80"/>
            </w:tcMar>
          </w:tcPr>
          <w:p>
            <w:pPr>
              <w:jc w:val="center"/>
            </w:pPr>
            <w:r>
              <w:rPr>
                <w:rFonts w:ascii="Arial" w:cs="Arial" w:eastAsia="Arial" w:hAnsi="Arial"/>
                <w:b/>
                <w:bCs/>
                <w:color w:val="6A1B9A"/>
                <w:sz w:val="20"/>
                <w:szCs w:val="20"/>
              </w:rPr>
              <w:t xml:space="preserve">➔</w:t>
            </w:r>
          </w:p>
        </w:tc>
        <w:tc>
          <w:tcPr>
            <w:tcW w:type="dxa" w:w="9020"/>
            <w:tcBorders>
              <w:top w:val="none" w:color="FFFFFF" w:sz="0"/>
              <w:left w:val="none" w:color="FFFFFF" w:sz="0"/>
              <w:bottom w:val="none" w:color="FFFFFF" w:sz="0"/>
              <w:right w:val="none" w:color="FFFFFF" w:sz="0"/>
            </w:tcBorders>
            <w:shd w:fill="F5F7FA" w:val="clear"/>
            <w:tcMar>
              <w:top w:type="dxa" w:w="80"/>
              <w:left w:type="dxa" w:w="120"/>
              <w:bottom w:type="dxa" w:w="80"/>
              <w:right w:type="dxa" w:w="120"/>
            </w:tcMar>
          </w:tcPr>
          <w:p>
            <w:r>
              <w:rPr>
                <w:rFonts w:ascii="Arial" w:cs="Arial" w:eastAsia="Arial" w:hAnsi="Arial"/>
                <w:color w:val="1A1A2E"/>
                <w:sz w:val="19"/>
                <w:szCs w:val="19"/>
              </w:rPr>
              <w:t xml:space="preserve">Simulacro de recuperacion ante desastres: probar restauracion de Azure Files desde Azure Backup, reconexion de usuarios via VPN P2S ante corte del sitio principal.</w:t>
            </w:r>
          </w:p>
        </w:tc>
      </w:tr>
      <w:tr>
        <w:tc>
          <w:tcPr>
            <w:tcW w:type="dxa" w:w="34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b/>
                <w:bCs/>
                <w:color w:val="6A1B9A"/>
                <w:sz w:val="20"/>
                <w:szCs w:val="20"/>
              </w:rPr>
              <w:t xml:space="preserve">➔</w:t>
            </w:r>
          </w:p>
        </w:tc>
        <w:tc>
          <w:tcPr>
            <w:tcW w:type="dxa" w:w="90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2E"/>
                <w:sz w:val="19"/>
                <w:szCs w:val="19"/>
              </w:rPr>
              <w:t xml:space="preserve">Auditoria interna ISO 27001: revision de controles implementados, generacion de evidencias, cierre de no conformidades.</w:t>
            </w:r>
          </w:p>
        </w:tc>
      </w:tr>
      <w:tr>
        <w:tc>
          <w:tcPr>
            <w:tcW w:type="dxa" w:w="340"/>
            <w:tcBorders>
              <w:top w:val="none" w:color="FFFFFF" w:sz="0"/>
              <w:left w:val="none" w:color="FFFFFF" w:sz="0"/>
              <w:bottom w:val="none" w:color="FFFFFF" w:sz="0"/>
              <w:right w:val="none" w:color="FFFFFF" w:sz="0"/>
            </w:tcBorders>
            <w:shd w:fill="F5F7FA" w:val="clear"/>
            <w:tcMar>
              <w:top w:type="dxa" w:w="80"/>
              <w:left w:type="dxa" w:w="80"/>
              <w:bottom w:type="dxa" w:w="80"/>
              <w:right w:type="dxa" w:w="80"/>
            </w:tcMar>
          </w:tcPr>
          <w:p>
            <w:pPr>
              <w:jc w:val="center"/>
            </w:pPr>
            <w:r>
              <w:rPr>
                <w:rFonts w:ascii="Arial" w:cs="Arial" w:eastAsia="Arial" w:hAnsi="Arial"/>
                <w:b/>
                <w:bCs/>
                <w:color w:val="6A1B9A"/>
                <w:sz w:val="20"/>
                <w:szCs w:val="20"/>
              </w:rPr>
              <w:t xml:space="preserve">➔</w:t>
            </w:r>
          </w:p>
        </w:tc>
        <w:tc>
          <w:tcPr>
            <w:tcW w:type="dxa" w:w="9020"/>
            <w:tcBorders>
              <w:top w:val="none" w:color="FFFFFF" w:sz="0"/>
              <w:left w:val="none" w:color="FFFFFF" w:sz="0"/>
              <w:bottom w:val="none" w:color="FFFFFF" w:sz="0"/>
              <w:right w:val="none" w:color="FFFFFF" w:sz="0"/>
            </w:tcBorders>
            <w:shd w:fill="F5F7FA" w:val="clear"/>
            <w:tcMar>
              <w:top w:type="dxa" w:w="80"/>
              <w:left w:type="dxa" w:w="120"/>
              <w:bottom w:type="dxa" w:w="80"/>
              <w:right w:type="dxa" w:w="120"/>
            </w:tcMar>
          </w:tcPr>
          <w:p>
            <w:r>
              <w:rPr>
                <w:rFonts w:ascii="Arial" w:cs="Arial" w:eastAsia="Arial" w:hAnsi="Arial"/>
                <w:color w:val="1A1A2E"/>
                <w:sz w:val="19"/>
                <w:szCs w:val="19"/>
              </w:rPr>
              <w:t xml:space="preserve">Preparacion para auditoria externa: documentacion completa, registros de incidentes, politicas actualizadas, evidencia de logs.</w:t>
            </w:r>
          </w:p>
        </w:tc>
      </w:tr>
      <w:tr>
        <w:tc>
          <w:tcPr>
            <w:tcW w:type="dxa" w:w="34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b/>
                <w:bCs/>
                <w:color w:val="6A1B9A"/>
                <w:sz w:val="20"/>
                <w:szCs w:val="20"/>
              </w:rPr>
              <w:t xml:space="preserve">➔</w:t>
            </w:r>
          </w:p>
        </w:tc>
        <w:tc>
          <w:tcPr>
            <w:tcW w:type="dxa" w:w="90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2E"/>
                <w:sz w:val="19"/>
                <w:szCs w:val="19"/>
              </w:rPr>
              <w:t xml:space="preserve">Entregables: Sentinel/SIEM operativo, SoA actualizado, plan de continuidad probado, auditoria interna completada, cliente listo para certificacion ISO 27001.</w:t>
            </w:r>
          </w:p>
        </w:tc>
      </w:tr>
    </w:tbl>
    <w:p>
      <w:pPr>
        <w:spacing w:after="0" w:before="140"/>
      </w:pPr>
      <w:r>
        <w:t xml:space="preserve"/>
      </w:r>
    </w:p>
    <w:p>
      <w:pPr>
        <w:spacing w:after="0" w:before="0"/>
      </w:pPr>
      <w:r>
        <w:br/>
      </w:r>
    </w:p>
    <w:p>
      <w:pPr>
        <w:shd w:fill="0B2545" w:val="clear"/>
        <w:spacing w:after="160" w:before="360"/>
        <w:ind w:left="200" w:right="200"/>
      </w:pPr>
      <w:r>
        <w:rPr>
          <w:rFonts w:ascii="Arial" w:cs="Arial" w:eastAsia="Arial" w:hAnsi="Arial"/>
          <w:b/>
          <w:bCs/>
          <w:color w:val="00838F"/>
          <w:sz w:val="30"/>
          <w:szCs w:val="30"/>
        </w:rPr>
        <w:t xml:space="preserve">04  </w:t>
      </w:r>
      <w:r>
        <w:rPr>
          <w:rFonts w:ascii="Arial" w:cs="Arial" w:eastAsia="Arial" w:hAnsi="Arial"/>
          <w:b/>
          <w:bCs/>
          <w:color w:val="FFFFFF"/>
          <w:sz w:val="30"/>
          <w:szCs w:val="30"/>
        </w:rPr>
        <w:t xml:space="preserve">DECISIONES TECNICAS CLAVE — RECOMENDACIONES</w:t>
      </w:r>
    </w:p>
    <w:p>
      <w:pPr>
        <w:spacing w:after="0" w:before="120"/>
      </w:pPr>
      <w:r>
        <w:t xml:space="preserve"/>
      </w:r>
    </w:p>
    <w:p>
      <w:pPr>
        <w:pBdr>
          <w:bottom w:val="single" w:color="D0E4F7" w:sz="3"/>
        </w:pBdr>
        <w:spacing w:after="100" w:before="240"/>
      </w:pPr>
      <w:r>
        <w:rPr>
          <w:rFonts w:ascii="Arial" w:cs="Arial" w:eastAsia="Arial" w:hAnsi="Arial"/>
          <w:b/>
          <w:bCs/>
          <w:color w:val="1565C0"/>
          <w:sz w:val="24"/>
          <w:szCs w:val="24"/>
        </w:rPr>
        <w:t xml:space="preserve">Decision 1 — Estrategia de Active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Opcion</w:t>
            </w:r>
          </w:p>
        </w:tc>
        <w:tc>
          <w:tcPr>
            <w:tcW w:type="dxa" w:w="348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Descripcion</w:t>
            </w:r>
          </w:p>
        </w:tc>
        <w:tc>
          <w:tcPr>
            <w:tcW w:type="dxa" w:w="368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Cuando Elegirla</w:t>
            </w:r>
          </w:p>
        </w:tc>
      </w:tr>
      <w:tr>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 — Hibrido (RECOMENDADO)</w:t>
            </w:r>
          </w:p>
        </w:tc>
        <w:tc>
          <w:tcPr>
            <w:tcW w:type="dxa" w:w="348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AD on-premise + Azure AD Connect + Entra ID. Sincronizacion bidireccional. Apps locales siguen usando Kerberos.</w:t>
            </w:r>
          </w:p>
        </w:tc>
        <w:tc>
          <w:tcPr>
            <w:tcW w:type="dxa" w:w="368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Cuando existen aplicaciones que requieren Kerberos/NTLM. Menor riesgo. Migracion gradual.</w:t>
            </w:r>
          </w:p>
        </w:tc>
      </w:tr>
      <w:tr>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B — IaaS en Azure</w:t>
            </w:r>
          </w:p>
        </w:tc>
        <w:tc>
          <w:tcPr>
            <w:tcW w:type="dxa" w:w="348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2 VMs Windows Server 2022 como DCs en Azure. Replica del AD on-premise en la nube.</w:t>
            </w:r>
          </w:p>
        </w:tc>
        <w:tc>
          <w:tcPr>
            <w:tcW w:type="dxa" w:w="368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Cuando se quiere DC en Azure sin depender del on-premise. Complemento al hibrido.</w:t>
            </w:r>
          </w:p>
        </w:tc>
      </w:tr>
      <w:tr>
        <w:tc>
          <w:tcPr>
            <w:tcW w:type="dxa" w:w="2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 — Entra Domain Services</w:t>
            </w:r>
          </w:p>
        </w:tc>
        <w:tc>
          <w:tcPr>
            <w:tcW w:type="dxa" w:w="348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AD gestionado como PaaS en Azure. Sin administracion de VMs de DCs.</w:t>
            </w:r>
          </w:p>
        </w:tc>
        <w:tc>
          <w:tcPr>
            <w:tcW w:type="dxa" w:w="368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Cuando se quiere eliminar toda administracion de DCs. Solo si las apps soportan LDAP/Kerberos contra PaaS.</w:t>
            </w:r>
          </w:p>
        </w:tc>
      </w:tr>
      <w:tr>
        <w:tc>
          <w:tcPr>
            <w:tcW w:type="dxa" w:w="2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D — Full Cloud / Entra ID Only</w:t>
            </w:r>
          </w:p>
        </w:tc>
        <w:tc>
          <w:tcPr>
            <w:tcW w:type="dxa" w:w="348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Solo Entra ID, sin AD on-premise. Identidades 100% en la nube.</w:t>
            </w:r>
          </w:p>
        </w:tc>
        <w:tc>
          <w:tcPr>
            <w:tcW w:type="dxa" w:w="368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Solo viable si NINGUNA aplicacion requiere AD tradicional. Largo plazo.</w:t>
            </w:r>
          </w:p>
        </w:tc>
      </w:tr>
    </w:tbl>
    <w:p>
      <w:pPr>
        <w:spacing w:after="0" w:before="100"/>
      </w:pPr>
      <w:r>
        <w:t xml:space="preserve"/>
      </w:r>
    </w:p>
    <w:p>
      <w:pPr>
        <w:pBdr>
          <w:bottom w:val="single" w:color="D0E4F7" w:sz="3"/>
        </w:pBdr>
        <w:spacing w:after="100" w:before="240"/>
      </w:pPr>
      <w:r>
        <w:rPr>
          <w:rFonts w:ascii="Arial" w:cs="Arial" w:eastAsia="Arial" w:hAnsi="Arial"/>
          <w:b/>
          <w:bCs/>
          <w:color w:val="1565C0"/>
          <w:sz w:val="24"/>
          <w:szCs w:val="24"/>
        </w:rPr>
        <w:t xml:space="preserve">Decision 2 — Estrategia File Server (Azure File Sync)</w:t>
      </w:r>
    </w:p>
    <w:p>
      <w:pPr>
        <w:spacing w:after="80" w:before="80"/>
      </w:pPr>
      <w:r>
        <w:rPr>
          <w:rFonts w:ascii="Arial" w:cs="Arial" w:eastAsia="Arial" w:hAnsi="Arial"/>
          <w:i w:val="false"/>
          <w:iCs w:val="false"/>
          <w:color w:val="1A1A2E"/>
          <w:sz w:val="20"/>
          <w:szCs w:val="20"/>
        </w:rPr>
        <w:t xml:space="preserve">Azure File Sync es la solucion recomendada para el escenario del cliente (90% cloud + 10% on-premise):</w:t>
      </w:r>
    </w:p>
    <w:p>
      <w:pPr>
        <w:spacing w:after="0" w:before="60"/>
      </w:pPr>
      <w:r>
        <w:t xml:space="preserve"/>
      </w:r>
    </w:p>
    <w:p>
      <w:pPr>
        <w:pStyle w:val="ListParagraph"/>
        <w:numPr>
          <w:ilvl w:val="0"/>
          <w:numId w:val="2"/>
        </w:numPr>
        <w:spacing w:after="60" w:before="60"/>
      </w:pPr>
      <w:r>
        <w:rPr>
          <w:rFonts w:ascii="Arial" w:cs="Arial" w:eastAsia="Arial" w:hAnsi="Arial"/>
          <w:b w:val="false"/>
          <w:bCs w:val="false"/>
          <w:color w:val="1A1A2E"/>
          <w:sz w:val="20"/>
          <w:szCs w:val="20"/>
        </w:rPr>
        <w:t xml:space="preserve">Como funciona: El agente Azure File Sync se instala en el File Server on-premise. Se define que carpetas se sincronizan hacia Azure Files. Con Cloud Tiering, los archivos menos accedidos se almacenan SOLO en Azure (liberando espacio local) pero aparecen como si estuvieran localmente disponibles para el usuario.</w:t>
      </w:r>
    </w:p>
    <w:p>
      <w:pPr>
        <w:pStyle w:val="ListParagraph"/>
        <w:numPr>
          <w:ilvl w:val="0"/>
          <w:numId w:val="2"/>
        </w:numPr>
        <w:spacing w:after="60" w:before="60"/>
      </w:pPr>
      <w:r>
        <w:rPr>
          <w:rFonts w:ascii="Arial" w:cs="Arial" w:eastAsia="Arial" w:hAnsi="Arial"/>
          <w:b w:val="false"/>
          <w:bCs w:val="false"/>
          <w:color w:val="1A1A2E"/>
          <w:sz w:val="20"/>
          <w:szCs w:val="20"/>
        </w:rPr>
        <w:t xml:space="preserve">Las carpetas del 10% de datos sensibles se EXCLUYEN del sync (quedan solo on-premise, cifradas con BitLocker).</w:t>
      </w:r>
    </w:p>
    <w:p>
      <w:pPr>
        <w:pStyle w:val="ListParagraph"/>
        <w:numPr>
          <w:ilvl w:val="0"/>
          <w:numId w:val="2"/>
        </w:numPr>
        <w:spacing w:after="60" w:before="60"/>
      </w:pPr>
      <w:r>
        <w:rPr>
          <w:rFonts w:ascii="Arial" w:cs="Arial" w:eastAsia="Arial" w:hAnsi="Arial"/>
          <w:b w:val="false"/>
          <w:bCs w:val="false"/>
          <w:color w:val="1A1A2E"/>
          <w:sz w:val="20"/>
          <w:szCs w:val="20"/>
        </w:rPr>
        <w:t xml:space="preserve">Los usuarios remotos acceden a los archivos cloud via VPN P2S directamente a Azure Files (SMB sobre Azure). Los usuarios on-premise acceden via el File Server local que actua como cache.</w:t>
      </w:r>
    </w:p>
    <w:p>
      <w:pPr>
        <w:pStyle w:val="ListParagraph"/>
        <w:numPr>
          <w:ilvl w:val="0"/>
          <w:numId w:val="2"/>
        </w:numPr>
        <w:spacing w:after="60" w:before="60"/>
      </w:pPr>
      <w:r>
        <w:rPr>
          <w:rFonts w:ascii="Arial" w:cs="Arial" w:eastAsia="Arial" w:hAnsi="Arial"/>
          <w:b w:val="false"/>
          <w:bCs w:val="false"/>
          <w:color w:val="1A1A2E"/>
          <w:sz w:val="20"/>
          <w:szCs w:val="20"/>
        </w:rPr>
        <w:t xml:space="preserve">Requisito clave: El File Server on-premise necesita Windows Server 2012 R2 o superior, agente Azure File Sync y conectividad HTTPS al endpoint de Azure Storage.</w:t>
      </w:r>
    </w:p>
    <w:p>
      <w:pPr>
        <w:pStyle w:val="ListParagraph"/>
        <w:numPr>
          <w:ilvl w:val="0"/>
          <w:numId w:val="2"/>
        </w:numPr>
        <w:spacing w:after="60" w:before="60"/>
      </w:pPr>
      <w:r>
        <w:rPr>
          <w:rFonts w:ascii="Arial" w:cs="Arial" w:eastAsia="Arial" w:hAnsi="Arial"/>
          <w:b w:val="false"/>
          <w:bCs w:val="false"/>
          <w:color w:val="1A1A2E"/>
          <w:sz w:val="20"/>
          <w:szCs w:val="20"/>
        </w:rPr>
        <w:t xml:space="preserve">Licenciamiento: Azure File Sync es GRATIS. Solo se paga por el almacenamiento de Azure Files y las operaciones.</w:t>
      </w:r>
    </w:p>
    <w:p>
      <w:pPr>
        <w:spacing w:after="0" w:before="100"/>
      </w:pPr>
      <w:r>
        <w:t xml:space="preserve"/>
      </w:r>
    </w:p>
    <w:p>
      <w:pPr>
        <w:pBdr>
          <w:bottom w:val="single" w:color="D0E4F7" w:sz="3"/>
        </w:pBdr>
        <w:spacing w:after="100" w:before="240"/>
      </w:pPr>
      <w:r>
        <w:rPr>
          <w:rFonts w:ascii="Arial" w:cs="Arial" w:eastAsia="Arial" w:hAnsi="Arial"/>
          <w:b/>
          <w:bCs/>
          <w:color w:val="1565C0"/>
          <w:sz w:val="24"/>
          <w:szCs w:val="24"/>
        </w:rPr>
        <w:t xml:space="preserve">Decision 3 — Firewall On-Premise (Reemplazo de Check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960"/>
        <w:gridCol w:w="2800"/>
      </w:tblGrid>
      <w:tr>
        <w:trPr>
          <w:tblHeader/>
        </w:trPr>
        <w:tc>
          <w:tcPr>
            <w:tcW w:type="dxa" w:w="18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Fabricante</w:t>
            </w:r>
          </w:p>
        </w:tc>
        <w:tc>
          <w:tcPr>
            <w:tcW w:type="dxa" w:w="28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Modelo Recomendado</w:t>
            </w:r>
          </w:p>
        </w:tc>
        <w:tc>
          <w:tcPr>
            <w:tcW w:type="dxa" w:w="196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Integracion Azure</w:t>
            </w:r>
          </w:p>
        </w:tc>
        <w:tc>
          <w:tcPr>
            <w:tcW w:type="dxa" w:w="28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Notas</w:t>
            </w:r>
          </w:p>
        </w:tc>
      </w:tr>
      <w:tr>
        <w:tc>
          <w:tcPr>
            <w:tcW w:type="dxa" w:w="18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Fortinet</w:t>
            </w:r>
          </w:p>
        </w:tc>
        <w:tc>
          <w:tcPr>
            <w:tcW w:type="dxa" w:w="28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FortiGate 60F / 100F</w:t>
            </w:r>
          </w:p>
        </w:tc>
        <w:tc>
          <w:tcPr>
            <w:tcW w:type="dxa" w:w="19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Excelente (conector nativo)</w:t>
            </w:r>
          </w:p>
        </w:tc>
        <w:tc>
          <w:tcPr>
            <w:tcW w:type="dxa" w:w="28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Mejor relacion costo-beneficio. FortiClient VPN incluido. ZTNA nativo.</w:t>
            </w:r>
          </w:p>
        </w:tc>
      </w:tr>
      <w:tr>
        <w:tc>
          <w:tcPr>
            <w:tcW w:type="dxa" w:w="18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Palo Alto</w:t>
            </w:r>
          </w:p>
        </w:tc>
        <w:tc>
          <w:tcPr>
            <w:tcW w:type="dxa" w:w="28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PA-220 / PA-440</w:t>
            </w:r>
          </w:p>
        </w:tc>
        <w:tc>
          <w:tcPr>
            <w:tcW w:type="dxa" w:w="19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Excelente</w:t>
            </w:r>
          </w:p>
        </w:tc>
        <w:tc>
          <w:tcPr>
            <w:tcW w:type="dxa" w:w="28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GlobalProtect VPN. NGFW con ML. Mayor costo pero capacidades superiores.</w:t>
            </w:r>
          </w:p>
        </w:tc>
      </w:tr>
      <w:tr>
        <w:tc>
          <w:tcPr>
            <w:tcW w:type="dxa" w:w="18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Cisco</w:t>
            </w:r>
          </w:p>
        </w:tc>
        <w:tc>
          <w:tcPr>
            <w:tcW w:type="dxa" w:w="28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Firepower 1010 / 1120</w:t>
            </w:r>
          </w:p>
        </w:tc>
        <w:tc>
          <w:tcPr>
            <w:tcW w:type="dxa" w:w="19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Buena</w:t>
            </w:r>
          </w:p>
        </w:tc>
        <w:tc>
          <w:tcPr>
            <w:tcW w:type="dxa" w:w="28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FTD como IPS/NGFW. VPN AnyConnect. Entorno Cisco existente.</w:t>
            </w:r>
          </w:p>
        </w:tc>
      </w:tr>
      <w:tr>
        <w:tc>
          <w:tcPr>
            <w:tcW w:type="dxa" w:w="18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Sophos</w:t>
            </w:r>
          </w:p>
        </w:tc>
        <w:tc>
          <w:tcPr>
            <w:tcW w:type="dxa" w:w="28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XGS 87 / 107</w:t>
            </w:r>
          </w:p>
        </w:tc>
        <w:tc>
          <w:tcPr>
            <w:tcW w:type="dxa" w:w="19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Buena</w:t>
            </w:r>
          </w:p>
        </w:tc>
        <w:tc>
          <w:tcPr>
            <w:tcW w:type="dxa" w:w="28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Buena para PYMES. Sincronizacion con Endpoint. Costo accesible.</w:t>
            </w:r>
          </w:p>
        </w:tc>
      </w:tr>
    </w:tbl>
    <w:p>
      <w:pPr>
        <w:spacing w:after="0" w:before="80"/>
      </w:pPr>
      <w:r>
        <w:t xml:space="preserve"/>
      </w:r>
    </w:p>
    <w:p>
      <w:pPr>
        <w:shd w:fill="FFF3E0" w:val="clear"/>
        <w:spacing w:after="80" w:before="80"/>
        <w:ind w:left="140" w:right="140"/>
      </w:pPr>
      <w:r>
        <w:rPr>
          <w:rFonts w:ascii="Arial" w:cs="Arial" w:eastAsia="Arial" w:hAnsi="Arial"/>
          <w:i/>
          <w:iCs/>
          <w:color w:val="E65100"/>
          <w:sz w:val="18"/>
          <w:szCs w:val="18"/>
        </w:rPr>
        <w:t xml:space="preserve">  Recomendacion para el cliente: Fortinet FortiGate ofrece la mejor relacion precio-funcionalidad para este caso de uso, con soporte nativo para VPN IPsec hacia Azure, ZTNA, MFA integrado con Entra ID y herramientas de migracion de politicas desde Check Point (FortiConverter).</w:t>
      </w:r>
    </w:p>
    <w:p>
      <w:pPr>
        <w:spacing w:after="0" w:before="100"/>
      </w:pPr>
      <w:r>
        <w:t xml:space="preserve"/>
      </w:r>
    </w:p>
    <w:p>
      <w:pPr>
        <w:pBdr>
          <w:bottom w:val="single" w:color="D0E4F7" w:sz="3"/>
        </w:pBdr>
        <w:spacing w:after="100" w:before="240"/>
      </w:pPr>
      <w:r>
        <w:rPr>
          <w:rFonts w:ascii="Arial" w:cs="Arial" w:eastAsia="Arial" w:hAnsi="Arial"/>
          <w:b/>
          <w:bCs/>
          <w:color w:val="1565C0"/>
          <w:sz w:val="24"/>
          <w:szCs w:val="24"/>
        </w:rPr>
        <w:t xml:space="preserve">Decision 4 — Azure Firewall vs Firewall On-Premise: Roles Complementarios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Aspecto</w:t>
            </w:r>
          </w:p>
        </w:tc>
        <w:tc>
          <w:tcPr>
            <w:tcW w:type="dxa" w:w="318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Firewall On-Premise (nuevo FW)</w:t>
            </w:r>
          </w:p>
        </w:tc>
        <w:tc>
          <w:tcPr>
            <w:tcW w:type="dxa" w:w="318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Azure Firewall Premium</w:t>
            </w:r>
          </w:p>
        </w:tc>
      </w:tr>
      <w:tr>
        <w:tc>
          <w:tcPr>
            <w:tcW w:type="dxa" w:w="30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Donde protege</w:t>
            </w:r>
          </w:p>
        </w:tc>
        <w:tc>
          <w:tcPr>
            <w:tcW w:type="dxa" w:w="318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Red perimetral del sitio fisico del cliente</w:t>
            </w:r>
          </w:p>
        </w:tc>
        <w:tc>
          <w:tcPr>
            <w:tcW w:type="dxa" w:w="318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Red virtual de Azure (Hub-and-Spoke)</w:t>
            </w:r>
          </w:p>
        </w:tc>
      </w:tr>
      <w:tr>
        <w:tc>
          <w:tcPr>
            <w:tcW w:type="dxa" w:w="30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Trafico que inspecciona</w:t>
            </w:r>
          </w:p>
        </w:tc>
        <w:tc>
          <w:tcPr>
            <w:tcW w:type="dxa" w:w="318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Entrada/salida del sitio on-premise a Internet</w:t>
            </w:r>
          </w:p>
        </w:tc>
        <w:tc>
          <w:tcPr>
            <w:tcW w:type="dxa" w:w="318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Trafico dentro de Azure y hacia Internet desde Azure</w:t>
            </w:r>
          </w:p>
        </w:tc>
      </w:tr>
      <w:tr>
        <w:tc>
          <w:tcPr>
            <w:tcW w:type="dxa" w:w="30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Usuarios protegidos</w:t>
            </w:r>
          </w:p>
        </w:tc>
        <w:tc>
          <w:tcPr>
            <w:tcW w:type="dxa" w:w="318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Usuarios en la oficina (LAN)</w:t>
            </w:r>
          </w:p>
        </w:tc>
        <w:tc>
          <w:tcPr>
            <w:tcW w:type="dxa" w:w="318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Usuarios remotos via VPN P2S en Azure</w:t>
            </w:r>
          </w:p>
        </w:tc>
      </w:tr>
      <w:tr>
        <w:tc>
          <w:tcPr>
            <w:tcW w:type="dxa" w:w="30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VPN</w:t>
            </w:r>
          </w:p>
        </w:tc>
        <w:tc>
          <w:tcPr>
            <w:tcW w:type="dxa" w:w="318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VPN S2S hacia Azure + opcional VPN usuarios locales</w:t>
            </w:r>
          </w:p>
        </w:tc>
        <w:tc>
          <w:tcPr>
            <w:tcW w:type="dxa" w:w="318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VPN P2S para usuarios remotos (OpenVPN + Entra ID)</w:t>
            </w:r>
          </w:p>
        </w:tc>
      </w:tr>
      <w:tr>
        <w:tc>
          <w:tcPr>
            <w:tcW w:type="dxa" w:w="30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Capacidades IDPS</w:t>
            </w:r>
          </w:p>
        </w:tc>
        <w:tc>
          <w:tcPr>
            <w:tcW w:type="dxa" w:w="318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Segun modelo elegido</w:t>
            </w:r>
          </w:p>
        </w:tc>
        <w:tc>
          <w:tcPr>
            <w:tcW w:type="dxa" w:w="318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58,000+ firmas. TLS Inspection. Threat Intel.</w:t>
            </w:r>
          </w:p>
        </w:tc>
      </w:tr>
      <w:tr>
        <w:tc>
          <w:tcPr>
            <w:tcW w:type="dxa" w:w="30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Gestion</w:t>
            </w:r>
          </w:p>
        </w:tc>
        <w:tc>
          <w:tcPr>
            <w:tcW w:type="dxa" w:w="318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Consola del fabricante on-prem</w:t>
            </w:r>
          </w:p>
        </w:tc>
        <w:tc>
          <w:tcPr>
            <w:tcW w:type="dxa" w:w="318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Azure Portal / Firewall Policy centralizada</w:t>
            </w:r>
          </w:p>
        </w:tc>
      </w:tr>
      <w:tr>
        <w:tc>
          <w:tcPr>
            <w:tcW w:type="dxa" w:w="30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Costo</w:t>
            </w:r>
          </w:p>
        </w:tc>
        <w:tc>
          <w:tcPr>
            <w:tcW w:type="dxa" w:w="318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CAPEX (hardware) + licencias</w:t>
            </w:r>
          </w:p>
        </w:tc>
        <w:tc>
          <w:tcPr>
            <w:tcW w:type="dxa" w:w="318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OPEX mensual (~$1,573 USD/mes Premium)</w:t>
            </w:r>
          </w:p>
        </w:tc>
      </w:tr>
      <w:tr>
        <w:tc>
          <w:tcPr>
            <w:tcW w:type="dxa" w:w="30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Son complementarios?</w:t>
            </w:r>
          </w:p>
        </w:tc>
        <w:tc>
          <w:tcPr>
            <w:tcW w:type="dxa" w:w="318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Si — el FW on-prem protege el sitio. Azure FW protege la nube. Juntos = defensa en profundidad.</w:t>
            </w:r>
          </w:p>
        </w:tc>
        <w:tc>
          <w:tcPr>
            <w:tcW w:type="dxa" w:w="318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Si — recomendado implementar ambos.</w:t>
            </w:r>
          </w:p>
        </w:tc>
      </w:tr>
    </w:tbl>
    <w:p>
      <w:pPr>
        <w:spacing w:after="0" w:before="0"/>
      </w:pPr>
      <w:r>
        <w:br/>
      </w:r>
    </w:p>
    <w:p>
      <w:pPr>
        <w:shd w:fill="0B2545" w:val="clear"/>
        <w:spacing w:after="160" w:before="360"/>
        <w:ind w:left="200" w:right="200"/>
      </w:pPr>
      <w:r>
        <w:rPr>
          <w:rFonts w:ascii="Arial" w:cs="Arial" w:eastAsia="Arial" w:hAnsi="Arial"/>
          <w:b/>
          <w:bCs/>
          <w:color w:val="00838F"/>
          <w:sz w:val="30"/>
          <w:szCs w:val="30"/>
        </w:rPr>
        <w:t xml:space="preserve">05  </w:t>
      </w:r>
      <w:r>
        <w:rPr>
          <w:rFonts w:ascii="Arial" w:cs="Arial" w:eastAsia="Arial" w:hAnsi="Arial"/>
          <w:b/>
          <w:bCs/>
          <w:color w:val="FFFFFF"/>
          <w:sz w:val="30"/>
          <w:szCs w:val="30"/>
        </w:rPr>
        <w:t xml:space="preserve">MAPEO ISO 27001:2022 — CONTROLES CUBIERTOS POR LA SOLUCION</w:t>
      </w:r>
    </w:p>
    <w:p>
      <w:pPr>
        <w:spacing w:after="0" w:before="120"/>
      </w:pPr>
      <w:r>
        <w:t xml:space="preserve"/>
      </w:r>
    </w:p>
    <w:p>
      <w:pPr>
        <w:spacing w:after="80" w:before="80"/>
      </w:pPr>
      <w:r>
        <w:rPr>
          <w:rFonts w:ascii="Arial" w:cs="Arial" w:eastAsia="Arial" w:hAnsi="Arial"/>
          <w:i w:val="false"/>
          <w:iCs w:val="false"/>
          <w:color w:val="1A1A2E"/>
          <w:sz w:val="20"/>
          <w:szCs w:val="20"/>
        </w:rPr>
        <w:t xml:space="preserve">La siguiente tabla mapea los principales controles del Anexo A de ISO 27001:2022 que son directamente atendidos por los componentes de la solucion propuesta. Esta informacion es util para el Statement of Applicability (SoA) del SGSI.</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rPr>
          <w:tblHeader/>
        </w:trPr>
        <w:tc>
          <w:tcPr>
            <w:tcW w:type="dxa" w:w="14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Control ISO</w:t>
            </w:r>
          </w:p>
        </w:tc>
        <w:tc>
          <w:tcPr>
            <w:tcW w:type="dxa" w:w="34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Nombre del Control</w:t>
            </w:r>
          </w:p>
        </w:tc>
        <w:tc>
          <w:tcPr>
            <w:tcW w:type="dxa" w:w="456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Componente de la Solucion que lo cubre</w:t>
            </w:r>
          </w:p>
        </w:tc>
      </w:tr>
      <w:tr>
        <w:tc>
          <w:tcPr>
            <w:tcW w:type="dxa" w:w="14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A.5.10</w:t>
            </w:r>
          </w:p>
        </w:tc>
        <w:tc>
          <w:tcPr>
            <w:tcW w:type="dxa" w:w="34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Uso aceptable de activos de informacion</w:t>
            </w:r>
          </w:p>
        </w:tc>
        <w:tc>
          <w:tcPr>
            <w:tcW w:type="dxa" w:w="45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Politica de Acceso Condicional (Entra ID) + Azure Firewall Policy</w:t>
            </w:r>
          </w:p>
        </w:tc>
      </w:tr>
      <w:tr>
        <w:tc>
          <w:tcPr>
            <w:tcW w:type="dxa" w:w="14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A.5.14</w:t>
            </w:r>
          </w:p>
        </w:tc>
        <w:tc>
          <w:tcPr>
            <w:tcW w:type="dxa" w:w="34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Transferencia de informacion</w:t>
            </w:r>
          </w:p>
        </w:tc>
        <w:tc>
          <w:tcPr>
            <w:tcW w:type="dxa" w:w="45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Azure Files cifrado + TLS + SMB 3.0 cifrado + VPN P2S</w:t>
            </w:r>
          </w:p>
        </w:tc>
      </w:tr>
      <w:tr>
        <w:tc>
          <w:tcPr>
            <w:tcW w:type="dxa" w:w="14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A.8.1</w:t>
            </w:r>
          </w:p>
        </w:tc>
        <w:tc>
          <w:tcPr>
            <w:tcW w:type="dxa" w:w="34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Dispositivos endpoint del usuario</w:t>
            </w:r>
          </w:p>
        </w:tc>
        <w:tc>
          <w:tcPr>
            <w:tcW w:type="dxa" w:w="45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Intune (opcional) + Conditional Access con cumplimiento de dispositivo</w:t>
            </w:r>
          </w:p>
        </w:tc>
      </w:tr>
      <w:tr>
        <w:tc>
          <w:tcPr>
            <w:tcW w:type="dxa" w:w="14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A.8.2</w:t>
            </w:r>
          </w:p>
        </w:tc>
        <w:tc>
          <w:tcPr>
            <w:tcW w:type="dxa" w:w="34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Derechos de acceso privilegiado</w:t>
            </w:r>
          </w:p>
        </w:tc>
        <w:tc>
          <w:tcPr>
            <w:tcW w:type="dxa" w:w="45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RBAC en Azure AD + permisos NTFS Azure Files + PAM en DCs</w:t>
            </w:r>
          </w:p>
        </w:tc>
      </w:tr>
      <w:tr>
        <w:tc>
          <w:tcPr>
            <w:tcW w:type="dxa" w:w="14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A.8.3</w:t>
            </w:r>
          </w:p>
        </w:tc>
        <w:tc>
          <w:tcPr>
            <w:tcW w:type="dxa" w:w="34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Restriccion de acceso a informacion</w:t>
            </w:r>
          </w:p>
        </w:tc>
        <w:tc>
          <w:tcPr>
            <w:tcW w:type="dxa" w:w="45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Permisos por grupo AD en Azure Files + NSG + Azure Firewall</w:t>
            </w:r>
          </w:p>
        </w:tc>
      </w:tr>
      <w:tr>
        <w:tc>
          <w:tcPr>
            <w:tcW w:type="dxa" w:w="14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A.8.5</w:t>
            </w:r>
          </w:p>
        </w:tc>
        <w:tc>
          <w:tcPr>
            <w:tcW w:type="dxa" w:w="34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Autenticacion segura</w:t>
            </w:r>
          </w:p>
        </w:tc>
        <w:tc>
          <w:tcPr>
            <w:tcW w:type="dxa" w:w="45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MFA obligatorio (Entra ID) + Conditional Access + OpenVPN TLS 1.2+</w:t>
            </w:r>
          </w:p>
        </w:tc>
      </w:tr>
      <w:tr>
        <w:tc>
          <w:tcPr>
            <w:tcW w:type="dxa" w:w="14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A.8.6</w:t>
            </w:r>
          </w:p>
        </w:tc>
        <w:tc>
          <w:tcPr>
            <w:tcW w:type="dxa" w:w="34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Gestion de capacidad</w:t>
            </w:r>
          </w:p>
        </w:tc>
        <w:tc>
          <w:tcPr>
            <w:tcW w:type="dxa" w:w="45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Azure Files: escalado automatico. Monitor de metricas. Alertas.</w:t>
            </w:r>
          </w:p>
        </w:tc>
      </w:tr>
      <w:tr>
        <w:tc>
          <w:tcPr>
            <w:tcW w:type="dxa" w:w="14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A.8.7</w:t>
            </w:r>
          </w:p>
        </w:tc>
        <w:tc>
          <w:tcPr>
            <w:tcW w:type="dxa" w:w="34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Proteccion contra malware</w:t>
            </w:r>
          </w:p>
        </w:tc>
        <w:tc>
          <w:tcPr>
            <w:tcW w:type="dxa" w:w="45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Azure Firewall IDPS + Threat Intelligence. Defender for Endpoint (opc.)</w:t>
            </w:r>
          </w:p>
        </w:tc>
      </w:tr>
      <w:tr>
        <w:tc>
          <w:tcPr>
            <w:tcW w:type="dxa" w:w="14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A.8.12</w:t>
            </w:r>
          </w:p>
        </w:tc>
        <w:tc>
          <w:tcPr>
            <w:tcW w:type="dxa" w:w="34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Prevencion de fuga de datos</w:t>
            </w:r>
          </w:p>
        </w:tc>
        <w:tc>
          <w:tcPr>
            <w:tcW w:type="dxa" w:w="45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Datos sensibles on-premise cifrados BitLocker. Clasificacion formal.</w:t>
            </w:r>
          </w:p>
        </w:tc>
      </w:tr>
      <w:tr>
        <w:tc>
          <w:tcPr>
            <w:tcW w:type="dxa" w:w="14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A.8.13</w:t>
            </w:r>
          </w:p>
        </w:tc>
        <w:tc>
          <w:tcPr>
            <w:tcW w:type="dxa" w:w="34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Respaldo de informacion</w:t>
            </w:r>
          </w:p>
        </w:tc>
        <w:tc>
          <w:tcPr>
            <w:tcW w:type="dxa" w:w="45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Azure Backup para File Server. Politica de retencion 90 dias.</w:t>
            </w:r>
          </w:p>
        </w:tc>
      </w:tr>
      <w:tr>
        <w:tc>
          <w:tcPr>
            <w:tcW w:type="dxa" w:w="14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A.8.14</w:t>
            </w:r>
          </w:p>
        </w:tc>
        <w:tc>
          <w:tcPr>
            <w:tcW w:type="dxa" w:w="34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Redundancia de instalaciones</w:t>
            </w:r>
          </w:p>
        </w:tc>
        <w:tc>
          <w:tcPr>
            <w:tcW w:type="dxa" w:w="45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Azure: 99.9%-99.99% SLA. Elimina dependencia electrica on-premise.</w:t>
            </w:r>
          </w:p>
        </w:tc>
      </w:tr>
      <w:tr>
        <w:tc>
          <w:tcPr>
            <w:tcW w:type="dxa" w:w="14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A.8.15</w:t>
            </w:r>
          </w:p>
        </w:tc>
        <w:tc>
          <w:tcPr>
            <w:tcW w:type="dxa" w:w="34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Registro de actividades (logging)</w:t>
            </w:r>
          </w:p>
        </w:tc>
        <w:tc>
          <w:tcPr>
            <w:tcW w:type="dxa" w:w="45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Log Analytics: logs de FW, VPN, MFA, AD, File Server centralizados.</w:t>
            </w:r>
          </w:p>
        </w:tc>
      </w:tr>
      <w:tr>
        <w:tc>
          <w:tcPr>
            <w:tcW w:type="dxa" w:w="14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A.8.16</w:t>
            </w:r>
          </w:p>
        </w:tc>
        <w:tc>
          <w:tcPr>
            <w:tcW w:type="dxa" w:w="34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Monitoreo de actividades</w:t>
            </w:r>
          </w:p>
        </w:tc>
        <w:tc>
          <w:tcPr>
            <w:tcW w:type="dxa" w:w="45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Azure Monitor + Sentinel. Alertas en tiempo real. Dashboards.</w:t>
            </w:r>
          </w:p>
        </w:tc>
      </w:tr>
      <w:tr>
        <w:tc>
          <w:tcPr>
            <w:tcW w:type="dxa" w:w="14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A.8.20</w:t>
            </w:r>
          </w:p>
        </w:tc>
        <w:tc>
          <w:tcPr>
            <w:tcW w:type="dxa" w:w="34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Seguridad en redes</w:t>
            </w:r>
          </w:p>
        </w:tc>
        <w:tc>
          <w:tcPr>
            <w:tcW w:type="dxa" w:w="45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Azure Firewall Premium + FW on-premise + NSG + UDR. Segmentacion.</w:t>
            </w:r>
          </w:p>
        </w:tc>
      </w:tr>
      <w:tr>
        <w:tc>
          <w:tcPr>
            <w:tcW w:type="dxa" w:w="14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A.8.21</w:t>
            </w:r>
          </w:p>
        </w:tc>
        <w:tc>
          <w:tcPr>
            <w:tcW w:type="dxa" w:w="34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Seguridad de servicios de red</w:t>
            </w:r>
          </w:p>
        </w:tc>
        <w:tc>
          <w:tcPr>
            <w:tcW w:type="dxa" w:w="45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Azure Firewall Policy. IDPS. TLS Inspection. Threat Intel.</w:t>
            </w:r>
          </w:p>
        </w:tc>
      </w:tr>
      <w:tr>
        <w:tc>
          <w:tcPr>
            <w:tcW w:type="dxa" w:w="14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A.8.24</w:t>
            </w:r>
          </w:p>
        </w:tc>
        <w:tc>
          <w:tcPr>
            <w:tcW w:type="dxa" w:w="34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Uso de criptografia</w:t>
            </w:r>
          </w:p>
        </w:tc>
        <w:tc>
          <w:tcPr>
            <w:tcW w:type="dxa" w:w="45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BitLocker datos sensibles. SMB 3.0 cifrado. TLS 1.2+ VPN. Key Vault.</w:t>
            </w:r>
          </w:p>
        </w:tc>
      </w:tr>
    </w:tbl>
    <w:p>
      <w:pPr>
        <w:spacing w:after="0" w:before="80"/>
      </w:pPr>
      <w:r>
        <w:t xml:space="preserve"/>
      </w:r>
    </w:p>
    <w:p>
      <w:pPr>
        <w:shd w:fill="FFF3E0" w:val="clear"/>
        <w:spacing w:after="80" w:before="80"/>
        <w:ind w:left="140" w:right="140"/>
      </w:pPr>
      <w:r>
        <w:rPr>
          <w:rFonts w:ascii="Arial" w:cs="Arial" w:eastAsia="Arial" w:hAnsi="Arial"/>
          <w:i/>
          <w:iCs/>
          <w:color w:val="E65100"/>
          <w:sz w:val="18"/>
          <w:szCs w:val="18"/>
        </w:rPr>
        <w:t xml:space="preserve">  Controles adicionales que pueden requerir evidencia para ISO 27001 mas alla de la tecnologia: A.5.1 (politicas de SI), A.5.9 (inventario de activos), A.6.1 (concientizacion), A.5.26 (respuesta a incidentes). Estos son controles de proceso/politica que deben ser abordados en paralelo con la implementacion tecnica.</w:t>
      </w:r>
    </w:p>
    <w:p>
      <w:pPr>
        <w:spacing w:after="0" w:before="0"/>
      </w:pPr>
      <w:r>
        <w:br/>
      </w:r>
    </w:p>
    <w:p>
      <w:pPr>
        <w:shd w:fill="0B2545" w:val="clear"/>
        <w:spacing w:after="160" w:before="360"/>
        <w:ind w:left="200" w:right="200"/>
      </w:pPr>
      <w:r>
        <w:rPr>
          <w:rFonts w:ascii="Arial" w:cs="Arial" w:eastAsia="Arial" w:hAnsi="Arial"/>
          <w:b/>
          <w:bCs/>
          <w:color w:val="00838F"/>
          <w:sz w:val="30"/>
          <w:szCs w:val="30"/>
        </w:rPr>
        <w:t xml:space="preserve">06  </w:t>
      </w:r>
      <w:r>
        <w:rPr>
          <w:rFonts w:ascii="Arial" w:cs="Arial" w:eastAsia="Arial" w:hAnsi="Arial"/>
          <w:b/>
          <w:bCs/>
          <w:color w:val="FFFFFF"/>
          <w:sz w:val="30"/>
          <w:szCs w:val="30"/>
        </w:rPr>
        <w:t xml:space="preserve">ESTIMACION DE COSTOS DEL PROYECTO</w:t>
      </w:r>
    </w:p>
    <w:p>
      <w:pPr>
        <w:spacing w:after="0" w:before="120"/>
      </w:pPr>
      <w:r>
        <w:t xml:space="preserve"/>
      </w:r>
    </w:p>
    <w:p>
      <w:pPr>
        <w:spacing w:after="80" w:before="80"/>
      </w:pPr>
      <w:r>
        <w:rPr>
          <w:rFonts w:ascii="Arial" w:cs="Arial" w:eastAsia="Arial" w:hAnsi="Arial"/>
          <w:i w:val="false"/>
          <w:iCs w:val="false"/>
          <w:color w:val="1A1A2E"/>
          <w:sz w:val="20"/>
          <w:szCs w:val="20"/>
        </w:rPr>
        <w:t xml:space="preserve">La siguiente estimacion consolida los costos de infraestructura Azure (OPEX mensual) y honorarios de consultoria para las 5 fases del roadmap. Los costos de hardware on-premise (nuevo firewall) y licenciamiento Microsoft son indicativos y deben cotizarse directamente.</w:t>
      </w:r>
    </w:p>
    <w:p>
      <w:pPr>
        <w:spacing w:after="0" w:before="80"/>
      </w:pPr>
      <w:r>
        <w:t xml:space="preserve"/>
      </w:r>
    </w:p>
    <w:p>
      <w:pPr>
        <w:shd w:fill="FFF3E0" w:val="clear"/>
        <w:spacing w:after="80" w:before="80"/>
        <w:ind w:left="140" w:right="140"/>
      </w:pPr>
      <w:r>
        <w:rPr>
          <w:rFonts w:ascii="Arial" w:cs="Arial" w:eastAsia="Arial" w:hAnsi="Arial"/>
          <w:i/>
          <w:iCs/>
          <w:color w:val="E65100"/>
          <w:sz w:val="18"/>
          <w:szCs w:val="18"/>
        </w:rPr>
        <w:t xml:space="preserve">  Todos los valores en USD. Costos Azure basados en precios publicos region East US, Marzo 2026. Validar en azure.microsoft.com/pricing/calculator.</w:t>
      </w:r>
    </w:p>
    <w:p>
      <w:pPr>
        <w:spacing w:after="0" w:before="100"/>
      </w:pPr>
      <w:r>
        <w:t xml:space="preserve"/>
      </w:r>
    </w:p>
    <w:p>
      <w:pPr>
        <w:pBdr>
          <w:bottom w:val="single" w:color="D0E4F7" w:sz="3"/>
        </w:pBdr>
        <w:spacing w:after="100" w:before="240"/>
      </w:pPr>
      <w:r>
        <w:rPr>
          <w:rFonts w:ascii="Arial" w:cs="Arial" w:eastAsia="Arial" w:hAnsi="Arial"/>
          <w:b/>
          <w:bCs/>
          <w:color w:val="1565C0"/>
          <w:sz w:val="24"/>
          <w:szCs w:val="24"/>
        </w:rPr>
        <w:t xml:space="preserve">Costos Azure — OPEX Mensual (Estado Final post-implementacion)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560"/>
        <w:gridCol w:w="1600"/>
        <w:gridCol w:w="1400"/>
      </w:tblGrid>
      <w:tr>
        <w:trPr>
          <w:tblHeader/>
        </w:trPr>
        <w:tc>
          <w:tcPr>
            <w:tcW w:type="dxa" w:w="32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Servicio</w:t>
            </w:r>
          </w:p>
        </w:tc>
        <w:tc>
          <w:tcPr>
            <w:tcW w:type="dxa" w:w="16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Fase Implementacion</w:t>
            </w:r>
          </w:p>
        </w:tc>
        <w:tc>
          <w:tcPr>
            <w:tcW w:type="dxa" w:w="156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SKU/Tier</w:t>
            </w:r>
          </w:p>
        </w:tc>
        <w:tc>
          <w:tcPr>
            <w:tcW w:type="dxa" w:w="16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Precio Unit.</w:t>
            </w:r>
          </w:p>
        </w:tc>
        <w:tc>
          <w:tcPr>
            <w:tcW w:type="dxa" w:w="14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Est. Mensual</w:t>
            </w:r>
          </w:p>
        </w:tc>
      </w:tr>
      <w:tr>
        <w:tc>
          <w:tcPr>
            <w:tcW w:type="dxa" w:w="3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Azure VPN Gateway P2S</w:t>
            </w:r>
          </w:p>
        </w:tc>
        <w:tc>
          <w:tcPr>
            <w:tcW w:type="dxa" w:w="16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Fase 4</w:t>
            </w:r>
          </w:p>
        </w:tc>
        <w:tc>
          <w:tcPr>
            <w:tcW w:type="dxa" w:w="15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VpnGw1</w:t>
            </w:r>
          </w:p>
        </w:tc>
        <w:tc>
          <w:tcPr>
            <w:tcW w:type="dxa" w:w="16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~$0.19/hr</w:t>
            </w:r>
          </w:p>
        </w:tc>
        <w:tc>
          <w:tcPr>
            <w:tcW w:type="dxa" w:w="14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~$140 USD</w:t>
            </w:r>
          </w:p>
        </w:tc>
      </w:tr>
      <w:tr>
        <w:tc>
          <w:tcPr>
            <w:tcW w:type="dxa" w:w="3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Azure Firewall Premium</w:t>
            </w:r>
          </w:p>
        </w:tc>
        <w:tc>
          <w:tcPr>
            <w:tcW w:type="dxa" w:w="16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Fase 4</w:t>
            </w:r>
          </w:p>
        </w:tc>
        <w:tc>
          <w:tcPr>
            <w:tcW w:type="dxa" w:w="15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Premium</w:t>
            </w:r>
          </w:p>
        </w:tc>
        <w:tc>
          <w:tcPr>
            <w:tcW w:type="dxa" w:w="16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~$2.155/hr</w:t>
            </w:r>
          </w:p>
        </w:tc>
        <w:tc>
          <w:tcPr>
            <w:tcW w:type="dxa" w:w="14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~$1,573 USD</w:t>
            </w:r>
          </w:p>
        </w:tc>
      </w:tr>
      <w:tr>
        <w:tc>
          <w:tcPr>
            <w:tcW w:type="dxa" w:w="3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Azure Files (90% de 4TB = 3.6TB)</w:t>
            </w:r>
          </w:p>
        </w:tc>
        <w:tc>
          <w:tcPr>
            <w:tcW w:type="dxa" w:w="16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Fase 3</w:t>
            </w:r>
          </w:p>
        </w:tc>
        <w:tc>
          <w:tcPr>
            <w:tcW w:type="dxa" w:w="15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Standard LRS</w:t>
            </w:r>
          </w:p>
        </w:tc>
        <w:tc>
          <w:tcPr>
            <w:tcW w:type="dxa" w:w="16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~$0.06/GB</w:t>
            </w:r>
          </w:p>
        </w:tc>
        <w:tc>
          <w:tcPr>
            <w:tcW w:type="dxa" w:w="14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~$221 USD</w:t>
            </w:r>
          </w:p>
        </w:tc>
      </w:tr>
      <w:tr>
        <w:tc>
          <w:tcPr>
            <w:tcW w:type="dxa" w:w="3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Azure File Sync</w:t>
            </w:r>
          </w:p>
        </w:tc>
        <w:tc>
          <w:tcPr>
            <w:tcW w:type="dxa" w:w="16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Fase 3</w:t>
            </w:r>
          </w:p>
        </w:tc>
        <w:tc>
          <w:tcPr>
            <w:tcW w:type="dxa" w:w="15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Gratuito</w:t>
            </w:r>
          </w:p>
        </w:tc>
        <w:tc>
          <w:tcPr>
            <w:tcW w:type="dxa" w:w="16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$0</w:t>
            </w:r>
          </w:p>
        </w:tc>
        <w:tc>
          <w:tcPr>
            <w:tcW w:type="dxa" w:w="14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$0</w:t>
            </w:r>
          </w:p>
        </w:tc>
      </w:tr>
      <w:tr>
        <w:tc>
          <w:tcPr>
            <w:tcW w:type="dxa" w:w="3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VMs Domain Controllers (2x D2s_v3)</w:t>
            </w:r>
          </w:p>
        </w:tc>
        <w:tc>
          <w:tcPr>
            <w:tcW w:type="dxa" w:w="16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Fase 2</w:t>
            </w:r>
          </w:p>
        </w:tc>
        <w:tc>
          <w:tcPr>
            <w:tcW w:type="dxa" w:w="15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Standard</w:t>
            </w:r>
          </w:p>
        </w:tc>
        <w:tc>
          <w:tcPr>
            <w:tcW w:type="dxa" w:w="16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~$0.096/hr x2</w:t>
            </w:r>
          </w:p>
        </w:tc>
        <w:tc>
          <w:tcPr>
            <w:tcW w:type="dxa" w:w="14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~$140 USD</w:t>
            </w:r>
          </w:p>
        </w:tc>
      </w:tr>
      <w:tr>
        <w:tc>
          <w:tcPr>
            <w:tcW w:type="dxa" w:w="3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Discos OS DCs (2x P10 128GB)</w:t>
            </w:r>
          </w:p>
        </w:tc>
        <w:tc>
          <w:tcPr>
            <w:tcW w:type="dxa" w:w="16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Fase 2</w:t>
            </w:r>
          </w:p>
        </w:tc>
        <w:tc>
          <w:tcPr>
            <w:tcW w:type="dxa" w:w="15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Premium SSD</w:t>
            </w:r>
          </w:p>
        </w:tc>
        <w:tc>
          <w:tcPr>
            <w:tcW w:type="dxa" w:w="16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~$19.71/mes x2</w:t>
            </w:r>
          </w:p>
        </w:tc>
        <w:tc>
          <w:tcPr>
            <w:tcW w:type="dxa" w:w="14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~$40 USD</w:t>
            </w:r>
          </w:p>
        </w:tc>
      </w:tr>
      <w:tr>
        <w:tc>
          <w:tcPr>
            <w:tcW w:type="dxa" w:w="3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Azure AD Premium P1 (80 usuarios)</w:t>
            </w:r>
          </w:p>
        </w:tc>
        <w:tc>
          <w:tcPr>
            <w:tcW w:type="dxa" w:w="16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Fase 2</w:t>
            </w:r>
          </w:p>
        </w:tc>
        <w:tc>
          <w:tcPr>
            <w:tcW w:type="dxa" w:w="15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P1</w:t>
            </w:r>
          </w:p>
        </w:tc>
        <w:tc>
          <w:tcPr>
            <w:tcW w:type="dxa" w:w="16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~$6.00/usuario</w:t>
            </w:r>
          </w:p>
        </w:tc>
        <w:tc>
          <w:tcPr>
            <w:tcW w:type="dxa" w:w="14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~$480 USD</w:t>
            </w:r>
          </w:p>
        </w:tc>
      </w:tr>
      <w:tr>
        <w:tc>
          <w:tcPr>
            <w:tcW w:type="dxa" w:w="3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Log Analytics Workspace</w:t>
            </w:r>
          </w:p>
        </w:tc>
        <w:tc>
          <w:tcPr>
            <w:tcW w:type="dxa" w:w="16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Fase 1</w:t>
            </w:r>
          </w:p>
        </w:tc>
        <w:tc>
          <w:tcPr>
            <w:tcW w:type="dxa" w:w="15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Pay-per-use (~40GB/mes)</w:t>
            </w:r>
          </w:p>
        </w:tc>
        <w:tc>
          <w:tcPr>
            <w:tcW w:type="dxa" w:w="16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~$2.30/GB</w:t>
            </w:r>
          </w:p>
        </w:tc>
        <w:tc>
          <w:tcPr>
            <w:tcW w:type="dxa" w:w="14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~$92 USD</w:t>
            </w:r>
          </w:p>
        </w:tc>
      </w:tr>
      <w:tr>
        <w:tc>
          <w:tcPr>
            <w:tcW w:type="dxa" w:w="3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Azure Backup (File Server)</w:t>
            </w:r>
          </w:p>
        </w:tc>
        <w:tc>
          <w:tcPr>
            <w:tcW w:type="dxa" w:w="16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Fase 3</w:t>
            </w:r>
          </w:p>
        </w:tc>
        <w:tc>
          <w:tcPr>
            <w:tcW w:type="dxa" w:w="15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Standard</w:t>
            </w:r>
          </w:p>
        </w:tc>
        <w:tc>
          <w:tcPr>
            <w:tcW w:type="dxa" w:w="16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~$0.02/GB x 3600</w:t>
            </w:r>
          </w:p>
        </w:tc>
        <w:tc>
          <w:tcPr>
            <w:tcW w:type="dxa" w:w="14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~$72 USD</w:t>
            </w:r>
          </w:p>
        </w:tc>
      </w:tr>
      <w:tr>
        <w:tc>
          <w:tcPr>
            <w:tcW w:type="dxa" w:w="3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Public IPs (x3: VPN GW + FW + otro)</w:t>
            </w:r>
          </w:p>
        </w:tc>
        <w:tc>
          <w:tcPr>
            <w:tcW w:type="dxa" w:w="16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Fases 2-4</w:t>
            </w:r>
          </w:p>
        </w:tc>
        <w:tc>
          <w:tcPr>
            <w:tcW w:type="dxa" w:w="15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Standard</w:t>
            </w:r>
          </w:p>
        </w:tc>
        <w:tc>
          <w:tcPr>
            <w:tcW w:type="dxa" w:w="16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~$0.005/hr x3</w:t>
            </w:r>
          </w:p>
        </w:tc>
        <w:tc>
          <w:tcPr>
            <w:tcW w:type="dxa" w:w="14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~$11 USD</w:t>
            </w:r>
          </w:p>
        </w:tc>
      </w:tr>
      <w:tr>
        <w:tc>
          <w:tcPr>
            <w:tcW w:type="dxa" w:w="32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Egress de datos estimado</w:t>
            </w:r>
          </w:p>
        </w:tc>
        <w:tc>
          <w:tcPr>
            <w:tcW w:type="dxa" w:w="16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Fases 1-5</w:t>
            </w:r>
          </w:p>
        </w:tc>
        <w:tc>
          <w:tcPr>
            <w:tcW w:type="dxa" w:w="15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Standard</w:t>
            </w:r>
          </w:p>
        </w:tc>
        <w:tc>
          <w:tcPr>
            <w:tcW w:type="dxa" w:w="16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~$0.087/GB x150GB</w:t>
            </w:r>
          </w:p>
        </w:tc>
        <w:tc>
          <w:tcPr>
            <w:tcW w:type="dxa" w:w="14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~$13 USD</w:t>
            </w:r>
          </w:p>
        </w:tc>
      </w:tr>
      <w:tr>
        <w:tc>
          <w:tcPr>
            <w:tcW w:type="dxa" w:w="32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Microsoft Sentinel (opcional)</w:t>
            </w:r>
          </w:p>
        </w:tc>
        <w:tc>
          <w:tcPr>
            <w:tcW w:type="dxa" w:w="16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Fase 5</w:t>
            </w:r>
          </w:p>
        </w:tc>
        <w:tc>
          <w:tcPr>
            <w:tcW w:type="dxa" w:w="15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Pay-per-use (~30GB)</w:t>
            </w:r>
          </w:p>
        </w:tc>
        <w:tc>
          <w:tcPr>
            <w:tcW w:type="dxa" w:w="16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~$2.46/GB</w:t>
            </w:r>
          </w:p>
        </w:tc>
        <w:tc>
          <w:tcPr>
            <w:tcW w:type="dxa" w:w="14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~$74 USD</w:t>
            </w:r>
          </w:p>
        </w:tc>
      </w:tr>
      <w:tr>
        <w:tc>
          <w:tcPr>
            <w:tcW w:type="dxa" w:w="3200"/>
            <w:tcBorders>
              <w:top w:val="single" w:color="AECBEA" w:sz="1"/>
              <w:left w:val="single" w:color="AECBEA" w:sz="1"/>
              <w:bottom w:val="single" w:color="AECBEA" w:sz="1"/>
              <w:right w:val="single" w:color="AECBEA" w:sz="1"/>
            </w:tcBorders>
            <w:shd w:fill="0B2545" w:val="clear"/>
            <w:tcMar>
              <w:top w:type="dxa" w:w="100"/>
              <w:left w:type="dxa" w:w="140"/>
              <w:bottom w:type="dxa" w:w="100"/>
              <w:right w:type="dxa" w:w="140"/>
            </w:tcMar>
          </w:tcPr>
          <w:p>
            <w:r>
              <w:rPr>
                <w:rFonts w:ascii="Arial" w:cs="Arial" w:eastAsia="Arial" w:hAnsi="Arial"/>
                <w:b/>
                <w:bCs/>
                <w:color w:val="FFFFFF"/>
                <w:sz w:val="19"/>
                <w:szCs w:val="19"/>
              </w:rPr>
              <w:t xml:space="preserve">TOTAL OPEX MENSUAL (sin Sentinel)</w:t>
            </w:r>
          </w:p>
        </w:tc>
        <w:tc>
          <w:tcPr>
            <w:tcW w:type="dxa" w:w="1600"/>
            <w:tcBorders>
              <w:top w:val="single" w:color="AECBEA" w:sz="1"/>
              <w:left w:val="single" w:color="AECBEA" w:sz="1"/>
              <w:bottom w:val="single" w:color="AECBEA" w:sz="1"/>
              <w:right w:val="single" w:color="AECBEA" w:sz="1"/>
            </w:tcBorders>
            <w:shd w:fill="0B2545" w:val="clear"/>
            <w:tcMar>
              <w:top w:type="dxa" w:w="100"/>
              <w:left w:type="dxa" w:w="140"/>
              <w:bottom w:type="dxa" w:w="100"/>
              <w:right w:type="dxa" w:w="140"/>
            </w:tcMar>
          </w:tcPr>
          <w:p>
            <w:r>
              <w:rPr>
                <w:sz w:val="1"/>
                <w:szCs w:val="1"/>
              </w:rPr>
              <w:t xml:space="preserve"/>
            </w:r>
          </w:p>
        </w:tc>
        <w:tc>
          <w:tcPr>
            <w:tcW w:type="dxa" w:w="1560"/>
            <w:tcBorders>
              <w:top w:val="single" w:color="AECBEA" w:sz="1"/>
              <w:left w:val="single" w:color="AECBEA" w:sz="1"/>
              <w:bottom w:val="single" w:color="AECBEA" w:sz="1"/>
              <w:right w:val="single" w:color="AECBEA" w:sz="1"/>
            </w:tcBorders>
            <w:shd w:fill="0B2545" w:val="clear"/>
            <w:tcMar>
              <w:top w:type="dxa" w:w="100"/>
              <w:left w:type="dxa" w:w="140"/>
              <w:bottom w:type="dxa" w:w="100"/>
              <w:right w:type="dxa" w:w="140"/>
            </w:tcMar>
          </w:tcPr>
          <w:p>
            <w:r>
              <w:rPr>
                <w:sz w:val="1"/>
                <w:szCs w:val="1"/>
              </w:rPr>
              <w:t xml:space="preserve"/>
            </w:r>
          </w:p>
        </w:tc>
        <w:tc>
          <w:tcPr>
            <w:tcW w:type="dxa" w:w="1600"/>
            <w:tcBorders>
              <w:top w:val="single" w:color="AECBEA" w:sz="1"/>
              <w:left w:val="single" w:color="AECBEA" w:sz="1"/>
              <w:bottom w:val="single" w:color="AECBEA" w:sz="1"/>
              <w:right w:val="single" w:color="AECBEA" w:sz="1"/>
            </w:tcBorders>
            <w:shd w:fill="0B2545" w:val="clear"/>
            <w:tcMar>
              <w:top w:type="dxa" w:w="100"/>
              <w:left w:type="dxa" w:w="140"/>
              <w:bottom w:type="dxa" w:w="100"/>
              <w:right w:type="dxa" w:w="140"/>
            </w:tcMar>
          </w:tcPr>
          <w:p>
            <w:r>
              <w:rPr>
                <w:sz w:val="1"/>
                <w:szCs w:val="1"/>
              </w:rPr>
              <w:t xml:space="preserve"/>
            </w:r>
          </w:p>
        </w:tc>
        <w:tc>
          <w:tcPr>
            <w:tcW w:type="dxa" w:w="1400"/>
            <w:tcBorders>
              <w:top w:val="single" w:color="AECBEA" w:sz="1"/>
              <w:left w:val="single" w:color="AECBEA" w:sz="1"/>
              <w:bottom w:val="single" w:color="AECBEA" w:sz="1"/>
              <w:right w:val="single" w:color="AECBEA" w:sz="1"/>
            </w:tcBorders>
            <w:shd w:fill="00838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~$2,782 USD</w:t>
            </w:r>
          </w:p>
        </w:tc>
      </w:tr>
    </w:tbl>
    <w:p>
      <w:pPr>
        <w:spacing w:after="0" w:before="100"/>
      </w:pPr>
      <w:r>
        <w:t xml:space="preserve"/>
      </w:r>
    </w:p>
    <w:p>
      <w:pPr>
        <w:pBdr>
          <w:bottom w:val="single" w:color="D0E4F7" w:sz="3"/>
        </w:pBdr>
        <w:spacing w:after="100" w:before="240"/>
      </w:pPr>
      <w:r>
        <w:rPr>
          <w:rFonts w:ascii="Arial" w:cs="Arial" w:eastAsia="Arial" w:hAnsi="Arial"/>
          <w:b/>
          <w:bCs/>
          <w:color w:val="1565C0"/>
          <w:sz w:val="24"/>
          <w:szCs w:val="24"/>
        </w:rPr>
        <w:t xml:space="preserve">Costos de Hardware y Licenciamiento On-Premise (CAPEX / referencial)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400"/>
        <w:gridCol w:w="2600"/>
      </w:tblGrid>
      <w:tr>
        <w:trPr>
          <w:tblHeader/>
        </w:trPr>
        <w:tc>
          <w:tcPr>
            <w:tcW w:type="dxa" w:w="436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Componente</w:t>
            </w:r>
          </w:p>
        </w:tc>
        <w:tc>
          <w:tcPr>
            <w:tcW w:type="dxa" w:w="24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Rango de Costo Estimado</w:t>
            </w:r>
          </w:p>
        </w:tc>
        <w:tc>
          <w:tcPr>
            <w:tcW w:type="dxa" w:w="26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Notas</w:t>
            </w:r>
          </w:p>
        </w:tc>
      </w:tr>
      <w:tr>
        <w:tc>
          <w:tcPr>
            <w:tcW w:type="dxa" w:w="43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Firewall on-premise (reemplazo Check Point)</w:t>
            </w:r>
          </w:p>
        </w:tc>
        <w:tc>
          <w:tcPr>
            <w:tcW w:type="dxa" w:w="24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$800 — $3,500 USD</w:t>
            </w:r>
          </w:p>
        </w:tc>
        <w:tc>
          <w:tcPr>
            <w:tcW w:type="dxa" w:w="26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Segun modelo: Fortinet 60F ~$800 / FortiGate 100F ~$1,500</w:t>
            </w:r>
          </w:p>
        </w:tc>
      </w:tr>
      <w:tr>
        <w:tc>
          <w:tcPr>
            <w:tcW w:type="dxa" w:w="43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Licencias UTM/Threat Protection (anual)</w:t>
            </w:r>
          </w:p>
        </w:tc>
        <w:tc>
          <w:tcPr>
            <w:tcW w:type="dxa" w:w="24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$400 — $1,200 USD/ano</w:t>
            </w:r>
          </w:p>
        </w:tc>
        <w:tc>
          <w:tcPr>
            <w:tcW w:type="dxa" w:w="26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Soporte + IPS + AV + Web Filtering</w:t>
            </w:r>
          </w:p>
        </w:tc>
      </w:tr>
      <w:tr>
        <w:tc>
          <w:tcPr>
            <w:tcW w:type="dxa" w:w="43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Servidor para File Server on-premise (si se requiere nuevo)</w:t>
            </w:r>
          </w:p>
        </w:tc>
        <w:tc>
          <w:tcPr>
            <w:tcW w:type="dxa" w:w="24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$800 — $2,000 USD</w:t>
            </w:r>
          </w:p>
        </w:tc>
        <w:tc>
          <w:tcPr>
            <w:tcW w:type="dxa" w:w="26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Solo si el servidor actual no soporta el agente Azure File Sync</w:t>
            </w:r>
          </w:p>
        </w:tc>
      </w:tr>
      <w:tr>
        <w:tc>
          <w:tcPr>
            <w:tcW w:type="dxa" w:w="43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UPS mejorado para el equipo on-premise restante</w:t>
            </w:r>
          </w:p>
        </w:tc>
        <w:tc>
          <w:tcPr>
            <w:tcW w:type="dxa" w:w="24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$300 — $800 USD</w:t>
            </w:r>
          </w:p>
        </w:tc>
        <w:tc>
          <w:tcPr>
            <w:tcW w:type="dxa" w:w="26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Para proteger el File Server local del 10% de datos sensibles</w:t>
            </w:r>
          </w:p>
        </w:tc>
      </w:tr>
    </w:tbl>
    <w:p>
      <w:pPr>
        <w:spacing w:after="0" w:before="100"/>
      </w:pPr>
      <w:r>
        <w:t xml:space="preserve"/>
      </w:r>
    </w:p>
    <w:p>
      <w:pPr>
        <w:pBdr>
          <w:bottom w:val="single" w:color="D0E4F7" w:sz="3"/>
        </w:pBdr>
        <w:spacing w:after="100" w:before="240"/>
      </w:pPr>
      <w:r>
        <w:rPr>
          <w:rFonts w:ascii="Arial" w:cs="Arial" w:eastAsia="Arial" w:hAnsi="Arial"/>
          <w:b/>
          <w:bCs/>
          <w:color w:val="1565C0"/>
          <w:sz w:val="24"/>
          <w:szCs w:val="24"/>
        </w:rPr>
        <w:t xml:space="preserve">Honorarios de Consultoria — Resumen por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1800"/>
        <w:gridCol w:w="1360"/>
      </w:tblGrid>
      <w:tr>
        <w:trPr>
          <w:tblHeader/>
        </w:trPr>
        <w:tc>
          <w:tcPr>
            <w:tcW w:type="dxa" w:w="34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Fase</w:t>
            </w:r>
          </w:p>
        </w:tc>
        <w:tc>
          <w:tcPr>
            <w:tcW w:type="dxa" w:w="14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Dias Est.</w:t>
            </w:r>
          </w:p>
        </w:tc>
        <w:tc>
          <w:tcPr>
            <w:tcW w:type="dxa" w:w="14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Horas Est.</w:t>
            </w:r>
          </w:p>
        </w:tc>
        <w:tc>
          <w:tcPr>
            <w:tcW w:type="dxa" w:w="18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Tarifa/Hr</w:t>
            </w:r>
          </w:p>
        </w:tc>
        <w:tc>
          <w:tcPr>
            <w:tcW w:type="dxa" w:w="136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Subtotal</w:t>
            </w:r>
          </w:p>
        </w:tc>
      </w:tr>
      <w:tr>
        <w:tc>
          <w:tcPr>
            <w:tcW w:type="dxa" w:w="34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Fase 1 — Fundamentos y Arquitectura</w:t>
            </w:r>
          </w:p>
        </w:tc>
        <w:tc>
          <w:tcPr>
            <w:tcW w:type="dxa" w:w="14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5</w:t>
            </w:r>
          </w:p>
        </w:tc>
        <w:tc>
          <w:tcPr>
            <w:tcW w:type="dxa" w:w="14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40</w:t>
            </w:r>
          </w:p>
        </w:tc>
        <w:tc>
          <w:tcPr>
            <w:tcW w:type="dxa" w:w="18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[Tarifa]</w:t>
            </w:r>
          </w:p>
        </w:tc>
        <w:tc>
          <w:tcPr>
            <w:tcW w:type="dxa" w:w="13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[Subtotal]</w:t>
            </w:r>
          </w:p>
        </w:tc>
      </w:tr>
      <w:tr>
        <w:tc>
          <w:tcPr>
            <w:tcW w:type="dxa" w:w="34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Fase 2 — AD / Entra ID / MFA</w:t>
            </w:r>
          </w:p>
        </w:tc>
        <w:tc>
          <w:tcPr>
            <w:tcW w:type="dxa" w:w="14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8</w:t>
            </w:r>
          </w:p>
        </w:tc>
        <w:tc>
          <w:tcPr>
            <w:tcW w:type="dxa" w:w="14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64</w:t>
            </w:r>
          </w:p>
        </w:tc>
        <w:tc>
          <w:tcPr>
            <w:tcW w:type="dxa" w:w="18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[Tarifa]</w:t>
            </w:r>
          </w:p>
        </w:tc>
        <w:tc>
          <w:tcPr>
            <w:tcW w:type="dxa" w:w="13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[Subtotal]</w:t>
            </w:r>
          </w:p>
        </w:tc>
      </w:tr>
      <w:tr>
        <w:tc>
          <w:tcPr>
            <w:tcW w:type="dxa" w:w="34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Fase 3 — File Server Hibrido + Azure File Sync</w:t>
            </w:r>
          </w:p>
        </w:tc>
        <w:tc>
          <w:tcPr>
            <w:tcW w:type="dxa" w:w="14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8</w:t>
            </w:r>
          </w:p>
        </w:tc>
        <w:tc>
          <w:tcPr>
            <w:tcW w:type="dxa" w:w="14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64</w:t>
            </w:r>
          </w:p>
        </w:tc>
        <w:tc>
          <w:tcPr>
            <w:tcW w:type="dxa" w:w="18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[Tarifa]</w:t>
            </w:r>
          </w:p>
        </w:tc>
        <w:tc>
          <w:tcPr>
            <w:tcW w:type="dxa" w:w="13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[Subtotal]</w:t>
            </w:r>
          </w:p>
        </w:tc>
      </w:tr>
      <w:tr>
        <w:tc>
          <w:tcPr>
            <w:tcW w:type="dxa" w:w="34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Fase 4 — Firewall On-Prem + Azure FW + VPN P2S</w:t>
            </w:r>
          </w:p>
        </w:tc>
        <w:tc>
          <w:tcPr>
            <w:tcW w:type="dxa" w:w="14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10</w:t>
            </w:r>
          </w:p>
        </w:tc>
        <w:tc>
          <w:tcPr>
            <w:tcW w:type="dxa" w:w="14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80</w:t>
            </w:r>
          </w:p>
        </w:tc>
        <w:tc>
          <w:tcPr>
            <w:tcW w:type="dxa" w:w="18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[Tarifa]</w:t>
            </w:r>
          </w:p>
        </w:tc>
        <w:tc>
          <w:tcPr>
            <w:tcW w:type="dxa" w:w="13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[Subtotal]</w:t>
            </w:r>
          </w:p>
        </w:tc>
      </w:tr>
      <w:tr>
        <w:tc>
          <w:tcPr>
            <w:tcW w:type="dxa" w:w="34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Fase 5 — ISO 27001 + Sentinel + Operaciones</w:t>
            </w:r>
          </w:p>
        </w:tc>
        <w:tc>
          <w:tcPr>
            <w:tcW w:type="dxa" w:w="14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8</w:t>
            </w:r>
          </w:p>
        </w:tc>
        <w:tc>
          <w:tcPr>
            <w:tcW w:type="dxa" w:w="14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64</w:t>
            </w:r>
          </w:p>
        </w:tc>
        <w:tc>
          <w:tcPr>
            <w:tcW w:type="dxa" w:w="18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[Tarifa]</w:t>
            </w:r>
          </w:p>
        </w:tc>
        <w:tc>
          <w:tcPr>
            <w:tcW w:type="dxa" w:w="136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[Subtotal]</w:t>
            </w:r>
          </w:p>
        </w:tc>
      </w:tr>
      <w:tr>
        <w:tc>
          <w:tcPr>
            <w:tcW w:type="dxa" w:w="34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Soporte Post-Implementacion (60 dias)</w:t>
            </w:r>
          </w:p>
        </w:tc>
        <w:tc>
          <w:tcPr>
            <w:tcW w:type="dxa" w:w="14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4</w:t>
            </w:r>
          </w:p>
        </w:tc>
        <w:tc>
          <w:tcPr>
            <w:tcW w:type="dxa" w:w="14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32</w:t>
            </w:r>
          </w:p>
        </w:tc>
        <w:tc>
          <w:tcPr>
            <w:tcW w:type="dxa" w:w="18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[Tarifa]</w:t>
            </w:r>
          </w:p>
        </w:tc>
        <w:tc>
          <w:tcPr>
            <w:tcW w:type="dxa" w:w="136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[Subtotal]</w:t>
            </w:r>
          </w:p>
        </w:tc>
      </w:tr>
      <w:tr>
        <w:tc>
          <w:tcPr>
            <w:tcW w:type="dxa" w:w="3400"/>
            <w:tcBorders>
              <w:top w:val="single" w:color="AECBEA" w:sz="1"/>
              <w:left w:val="single" w:color="AECBEA" w:sz="1"/>
              <w:bottom w:val="single" w:color="AECBEA" w:sz="1"/>
              <w:right w:val="single" w:color="AECBEA" w:sz="1"/>
            </w:tcBorders>
            <w:shd w:fill="0B2545" w:val="clear"/>
            <w:tcMar>
              <w:top w:type="dxa" w:w="100"/>
              <w:left w:type="dxa" w:w="140"/>
              <w:bottom w:type="dxa" w:w="100"/>
              <w:right w:type="dxa" w:w="140"/>
            </w:tcMar>
          </w:tcPr>
          <w:p>
            <w:r>
              <w:rPr>
                <w:rFonts w:ascii="Arial" w:cs="Arial" w:eastAsia="Arial" w:hAnsi="Arial"/>
                <w:b/>
                <w:bCs/>
                <w:color w:val="FFFFFF"/>
                <w:sz w:val="19"/>
                <w:szCs w:val="19"/>
              </w:rPr>
              <w:t xml:space="preserve">TOTAL HONORARIOS DE CONSULTORIA</w:t>
            </w:r>
          </w:p>
        </w:tc>
        <w:tc>
          <w:tcPr>
            <w:tcW w:type="dxa" w:w="1400"/>
            <w:tcBorders>
              <w:top w:val="single" w:color="AECBEA" w:sz="1"/>
              <w:left w:val="single" w:color="AECBEA" w:sz="1"/>
              <w:bottom w:val="single" w:color="AECBEA" w:sz="1"/>
              <w:right w:val="single" w:color="AECBEA" w:sz="1"/>
            </w:tcBorders>
            <w:shd w:fill="0B2545" w:val="clear"/>
            <w:tcMar>
              <w:top w:type="dxa" w:w="100"/>
              <w:left w:type="dxa" w:w="140"/>
              <w:bottom w:type="dxa" w:w="100"/>
              <w:right w:type="dxa" w:w="140"/>
            </w:tcMar>
          </w:tcPr>
          <w:p>
            <w:pPr>
              <w:jc w:val="center"/>
            </w:pPr>
            <w:r>
              <w:rPr>
                <w:rFonts w:ascii="Arial" w:cs="Arial" w:eastAsia="Arial" w:hAnsi="Arial"/>
                <w:b/>
                <w:bCs/>
                <w:color w:val="D0E4F7"/>
                <w:sz w:val="18"/>
                <w:szCs w:val="18"/>
              </w:rPr>
              <w:t xml:space="preserve">43 dias</w:t>
            </w:r>
          </w:p>
        </w:tc>
        <w:tc>
          <w:tcPr>
            <w:tcW w:type="dxa" w:w="1400"/>
            <w:tcBorders>
              <w:top w:val="single" w:color="AECBEA" w:sz="1"/>
              <w:left w:val="single" w:color="AECBEA" w:sz="1"/>
              <w:bottom w:val="single" w:color="AECBEA" w:sz="1"/>
              <w:right w:val="single" w:color="AECBEA" w:sz="1"/>
            </w:tcBorders>
            <w:shd w:fill="0B2545" w:val="clear"/>
            <w:tcMar>
              <w:top w:type="dxa" w:w="100"/>
              <w:left w:type="dxa" w:w="140"/>
              <w:bottom w:type="dxa" w:w="100"/>
              <w:right w:type="dxa" w:w="140"/>
            </w:tcMar>
          </w:tcPr>
          <w:p>
            <w:pPr>
              <w:jc w:val="center"/>
            </w:pPr>
            <w:r>
              <w:rPr>
                <w:rFonts w:ascii="Arial" w:cs="Arial" w:eastAsia="Arial" w:hAnsi="Arial"/>
                <w:b/>
                <w:bCs/>
                <w:color w:val="D0E4F7"/>
                <w:sz w:val="18"/>
                <w:szCs w:val="18"/>
              </w:rPr>
              <w:t xml:space="preserve">344 horas</w:t>
            </w:r>
          </w:p>
        </w:tc>
        <w:tc>
          <w:tcPr>
            <w:tcW w:type="dxa" w:w="1800"/>
            <w:tcBorders>
              <w:top w:val="single" w:color="AECBEA" w:sz="1"/>
              <w:left w:val="single" w:color="AECBEA" w:sz="1"/>
              <w:bottom w:val="single" w:color="AECBEA" w:sz="1"/>
              <w:right w:val="single" w:color="AECBEA" w:sz="1"/>
            </w:tcBorders>
            <w:shd w:fill="0B2545" w:val="clear"/>
            <w:tcMar>
              <w:top w:type="dxa" w:w="100"/>
              <w:left w:type="dxa" w:w="140"/>
              <w:bottom w:type="dxa" w:w="100"/>
              <w:right w:type="dxa" w:w="140"/>
            </w:tcMar>
          </w:tcPr>
          <w:p>
            <w:r>
              <w:rPr>
                <w:sz w:val="1"/>
                <w:szCs w:val="1"/>
              </w:rPr>
              <w:t xml:space="preserve"/>
            </w:r>
          </w:p>
        </w:tc>
        <w:tc>
          <w:tcPr>
            <w:tcW w:type="dxa" w:w="1360"/>
            <w:tcBorders>
              <w:top w:val="single" w:color="AECBEA" w:sz="1"/>
              <w:left w:val="single" w:color="AECBEA" w:sz="1"/>
              <w:bottom w:val="single" w:color="AECBEA" w:sz="1"/>
              <w:right w:val="single" w:color="AECBEA" w:sz="1"/>
            </w:tcBorders>
            <w:shd w:fill="00838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[TOTAL]</w:t>
            </w:r>
          </w:p>
        </w:tc>
      </w:tr>
    </w:tbl>
    <w:p>
      <w:pPr>
        <w:spacing w:after="0" w:before="0"/>
      </w:pPr>
      <w:r>
        <w:br/>
      </w:r>
    </w:p>
    <w:p>
      <w:pPr>
        <w:shd w:fill="0B2545" w:val="clear"/>
        <w:spacing w:after="160" w:before="360"/>
        <w:ind w:left="200" w:right="200"/>
      </w:pPr>
      <w:r>
        <w:rPr>
          <w:rFonts w:ascii="Arial" w:cs="Arial" w:eastAsia="Arial" w:hAnsi="Arial"/>
          <w:b/>
          <w:bCs/>
          <w:color w:val="00838F"/>
          <w:sz w:val="30"/>
          <w:szCs w:val="30"/>
        </w:rPr>
        <w:t xml:space="preserve">07  </w:t>
      </w:r>
      <w:r>
        <w:rPr>
          <w:rFonts w:ascii="Arial" w:cs="Arial" w:eastAsia="Arial" w:hAnsi="Arial"/>
          <w:b/>
          <w:bCs/>
          <w:color w:val="FFFFFF"/>
          <w:sz w:val="30"/>
          <w:szCs w:val="30"/>
        </w:rPr>
        <w:t xml:space="preserve">PROXIMOS PASOS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880"/>
        <w:gridCol w:w="3000"/>
      </w:tblGrid>
      <w:tr>
        <w:trPr>
          <w:tblHeader/>
        </w:trPr>
        <w:tc>
          <w:tcPr>
            <w:tcW w:type="dxa" w:w="48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t>
            </w:r>
          </w:p>
        </w:tc>
        <w:tc>
          <w:tcPr>
            <w:tcW w:type="dxa" w:w="588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Accion Inmediata</w:t>
            </w:r>
          </w:p>
        </w:tc>
        <w:tc>
          <w:tcPr>
            <w:tcW w:type="dxa" w:w="3000"/>
            <w:tcBorders>
              <w:top w:val="single" w:color="AECBEA" w:sz="1"/>
              <w:left w:val="single" w:color="AECBEA" w:sz="1"/>
              <w:bottom w:val="single" w:color="AECBEA" w:sz="1"/>
              <w:right w:val="single" w:color="AECBEA" w:sz="1"/>
            </w:tcBorders>
            <w:shd w:fill="1565C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Responsable</w:t>
            </w:r>
          </w:p>
        </w:tc>
      </w:tr>
      <w:tr>
        <w:tc>
          <w:tcPr>
            <w:tcW w:type="dxa" w:w="48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1</w:t>
            </w:r>
          </w:p>
        </w:tc>
        <w:tc>
          <w:tcPr>
            <w:tcW w:type="dxa" w:w="588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Completar este cuestionario con el responsable tecnico y el CISO del cliente</w:t>
            </w:r>
          </w:p>
        </w:tc>
        <w:tc>
          <w:tcPr>
            <w:tcW w:type="dxa" w:w="30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Cliente</w:t>
            </w:r>
          </w:p>
        </w:tc>
      </w:tr>
      <w:tr>
        <w:tc>
          <w:tcPr>
            <w:tcW w:type="dxa" w:w="48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2</w:t>
            </w:r>
          </w:p>
        </w:tc>
        <w:tc>
          <w:tcPr>
            <w:tcW w:type="dxa" w:w="588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Realizar un workshop de GAP ISO 27001 (1 dia) para identificar brechas prioritarias</w:t>
            </w:r>
          </w:p>
        </w:tc>
        <w:tc>
          <w:tcPr>
            <w:tcW w:type="dxa" w:w="30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Proveedor + Cliente</w:t>
            </w:r>
          </w:p>
        </w:tc>
      </w:tr>
      <w:tr>
        <w:tc>
          <w:tcPr>
            <w:tcW w:type="dxa" w:w="48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3</w:t>
            </w:r>
          </w:p>
        </w:tc>
        <w:tc>
          <w:tcPr>
            <w:tcW w:type="dxa" w:w="588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Clasificar formalmente el 10% de datos sensibles del File Server</w:t>
            </w:r>
          </w:p>
        </w:tc>
        <w:tc>
          <w:tcPr>
            <w:tcW w:type="dxa" w:w="30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Cliente (con apoyo proveedor)</w:t>
            </w:r>
          </w:p>
        </w:tc>
      </w:tr>
      <w:tr>
        <w:tc>
          <w:tcPr>
            <w:tcW w:type="dxa" w:w="48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4</w:t>
            </w:r>
          </w:p>
        </w:tc>
        <w:tc>
          <w:tcPr>
            <w:tcW w:type="dxa" w:w="588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Confirmar version de Windows Server del File Server actual (compatibilidad Azure File Sync)</w:t>
            </w:r>
          </w:p>
        </w:tc>
        <w:tc>
          <w:tcPr>
            <w:tcW w:type="dxa" w:w="30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Cliente</w:t>
            </w:r>
          </w:p>
        </w:tc>
      </w:tr>
      <w:tr>
        <w:tc>
          <w:tcPr>
            <w:tcW w:type="dxa" w:w="48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5</w:t>
            </w:r>
          </w:p>
        </w:tc>
        <w:tc>
          <w:tcPr>
            <w:tcW w:type="dxa" w:w="588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Confirmar modelo y version de Check Point actual para evaluar migracion de politicas</w:t>
            </w:r>
          </w:p>
        </w:tc>
        <w:tc>
          <w:tcPr>
            <w:tcW w:type="dxa" w:w="30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Cliente</w:t>
            </w:r>
          </w:p>
        </w:tc>
      </w:tr>
      <w:tr>
        <w:tc>
          <w:tcPr>
            <w:tcW w:type="dxa" w:w="48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6</w:t>
            </w:r>
          </w:p>
        </w:tc>
        <w:tc>
          <w:tcPr>
            <w:tcW w:type="dxa" w:w="588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Confirmar si existe tenant Azure AD y suscripcion activa</w:t>
            </w:r>
          </w:p>
        </w:tc>
        <w:tc>
          <w:tcPr>
            <w:tcW w:type="dxa" w:w="30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Cliente</w:t>
            </w:r>
          </w:p>
        </w:tc>
      </w:tr>
      <w:tr>
        <w:tc>
          <w:tcPr>
            <w:tcW w:type="dxa" w:w="48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7</w:t>
            </w:r>
          </w:p>
        </w:tc>
        <w:tc>
          <w:tcPr>
            <w:tcW w:type="dxa" w:w="588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Confirmar disponibilidad de smartphones para MFA en todos los usuarios</w:t>
            </w:r>
          </w:p>
        </w:tc>
        <w:tc>
          <w:tcPr>
            <w:tcW w:type="dxa" w:w="30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Cliente</w:t>
            </w:r>
          </w:p>
        </w:tc>
      </w:tr>
      <w:tr>
        <w:tc>
          <w:tcPr>
            <w:tcW w:type="dxa" w:w="48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8</w:t>
            </w:r>
          </w:p>
        </w:tc>
        <w:tc>
          <w:tcPr>
            <w:tcW w:type="dxa" w:w="588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Aprobar propuesta economica y firmar contrato de servicios</w:t>
            </w:r>
          </w:p>
        </w:tc>
        <w:tc>
          <w:tcPr>
            <w:tcW w:type="dxa" w:w="3000"/>
            <w:tcBorders>
              <w:top w:val="single" w:color="AECBEA" w:sz="1"/>
              <w:left w:val="single" w:color="AECBEA" w:sz="1"/>
              <w:bottom w:val="single" w:color="AECBEA" w:sz="1"/>
              <w:right w:val="single" w:color="AECBEA" w:sz="1"/>
            </w:tcBorders>
            <w:shd w:fill="F5F7FA" w:val="clear"/>
            <w:tcMar>
              <w:top w:type="dxa" w:w="80"/>
              <w:left w:type="dxa" w:w="140"/>
              <w:bottom w:type="dxa" w:w="80"/>
              <w:right w:type="dxa" w:w="140"/>
            </w:tcMar>
          </w:tcPr>
          <w:p>
            <w:r>
              <w:rPr>
                <w:rFonts w:ascii="Arial" w:cs="Arial" w:eastAsia="Arial" w:hAnsi="Arial"/>
                <w:color w:val="1A1A2E"/>
                <w:sz w:val="19"/>
                <w:szCs w:val="19"/>
              </w:rPr>
              <w:t xml:space="preserve">Cliente</w:t>
            </w:r>
          </w:p>
        </w:tc>
      </w:tr>
      <w:tr>
        <w:tc>
          <w:tcPr>
            <w:tcW w:type="dxa" w:w="48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9</w:t>
            </w:r>
          </w:p>
        </w:tc>
        <w:tc>
          <w:tcPr>
            <w:tcW w:type="dxa" w:w="588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Asignacion del equipo del proveedor e inicio formal Fase 1</w:t>
            </w:r>
          </w:p>
        </w:tc>
        <w:tc>
          <w:tcPr>
            <w:tcW w:type="dxa" w:w="3000"/>
            <w:tcBorders>
              <w:top w:val="single" w:color="AECBEA" w:sz="1"/>
              <w:left w:val="single" w:color="AECBEA" w:sz="1"/>
              <w:bottom w:val="single" w:color="AECBEA" w:sz="1"/>
              <w:right w:val="single" w:color="AECBEA"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Proveedor</w:t>
            </w:r>
          </w:p>
        </w:tc>
      </w:tr>
    </w:tbl>
    <w:p>
      <w:pPr>
        <w:spacing w:after="0" w:before="240"/>
      </w:pPr>
      <w:r>
        <w:t xml:space="preserve"/>
      </w:r>
    </w:p>
    <w:p>
      <w:pPr>
        <w:shd w:fill="0B2545" w:val="clear"/>
        <w:spacing w:after="160" w:before="160"/>
        <w:jc w:val="center"/>
      </w:pPr>
      <w:r>
        <w:rPr>
          <w:rFonts w:ascii="Arial" w:cs="Arial" w:eastAsia="Arial" w:hAnsi="Arial"/>
          <w:color w:val="D0E4F7"/>
          <w:sz w:val="20"/>
          <w:szCs w:val="20"/>
        </w:rPr>
        <w:t xml:space="preserve">Contacto: </w:t>
      </w:r>
      <w:r>
        <w:rPr>
          <w:rFonts w:ascii="Arial" w:cs="Arial" w:eastAsia="Arial" w:hAnsi="Arial"/>
          <w:b/>
          <w:bCs/>
          <w:color w:val="00838F"/>
          <w:sz w:val="20"/>
          <w:szCs w:val="20"/>
        </w:rPr>
        <w:t xml:space="preserve">[email@empresa.com]  |  [+52 55 0000-0000]</w:t>
      </w:r>
    </w:p>
    <w:p>
      <w:pPr>
        <w:spacing w:after="0" w:before="160"/>
      </w:pPr>
      <w:r>
        <w:t xml:space="preserve"/>
      </w:r>
    </w:p>
    <w:p>
      <w:pPr>
        <w:spacing w:after="80" w:before="80"/>
        <w:jc w:val="center"/>
      </w:pPr>
      <w:r>
        <w:rPr>
          <w:rFonts w:ascii="Arial" w:cs="Arial" w:eastAsia="Arial" w:hAnsi="Arial"/>
          <w:i/>
          <w:iCs/>
          <w:color w:val="0B2545"/>
          <w:sz w:val="22"/>
          <w:szCs w:val="22"/>
        </w:rPr>
        <w:t xml:space="preserve">Gracias por su confianza. Estamos listos para acompanarlos en su transformacion digital.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E4F7" w:sz="3"/>
      </w:pBdr>
      <w:spacing w:after="0" w:before="80"/>
    </w:pPr>
    <w:r>
      <w:rPr>
        <w:rFonts w:ascii="Arial" w:cs="Arial" w:eastAsia="Arial" w:hAnsi="Arial"/>
        <w:color w:val="888888"/>
        <w:sz w:val="17"/>
        <w:szCs w:val="17"/>
      </w:rPr>
      <w:t xml:space="preserve">[Nombre del Proveedor]  |  Pagina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de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pBdr>
      <w:spacing w:after="80" w:before="0"/>
      <w:jc w:val="right"/>
    </w:pPr>
    <w:r>
      <w:rPr>
        <w:rFonts w:ascii="Arial" w:cs="Arial" w:eastAsia="Arial" w:hAnsi="Arial"/>
        <w:color w:val="1565C0"/>
        <w:sz w:val="18"/>
        <w:szCs w:val="18"/>
      </w:rPr>
      <w:t xml:space="preserve">Levantamiento &amp; Road Map — Transformacion Digital Azure | ISO 27001</w:t>
    </w:r>
    <w:r>
      <w:rPr>
        <w:rFonts w:ascii="Arial" w:cs="Arial" w:eastAsia="Arial" w:hAnsi="Arial"/>
        <w:color w:val="888888"/>
        <w:sz w:val="18"/>
        <w:szCs w:val="18"/>
      </w:rPr>
      <w:t xml:space="preserve">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600" w:hanging="300"/>
      </w:pPr>
    </w:lvl>
  </w:abstractNum>
  <w:abstractNum w:abstractNumId="4" w15:restartNumberingAfterBreak="0">
    <w:multiLevelType w:val="hybridMultilevel"/>
    <w:lvl w:ilvl="0" w15:tentative="1">
      <w:start w:val="1"/>
      <w:numFmt w:val="bullet"/>
      <w:lvlText w:val="•"/>
      <w:lvlJc w:val="left"/>
      <w:pPr>
        <w:ind w:left="600" w:hanging="300"/>
      </w:pPr>
    </w:lvl>
  </w:abstractNum>
  <w:abstractNum w:abstractNumId="5" w15:restartNumberingAfterBreak="0">
    <w:multiLevelType w:val="hybridMultilevel"/>
    <w:lvl w:ilvl="0" w15:tentative="1">
      <w:start w:val="1"/>
      <w:numFmt w:val="bullet"/>
      <w:lvlText w:val="•"/>
      <w:lvlJc w:val="left"/>
      <w:pPr>
        <w:ind w:left="600" w:hanging="300"/>
      </w:pPr>
    </w:lvl>
  </w:abstractNum>
  <w:abstractNum w:abstractNumId="6" w15:restartNumberingAfterBreak="0">
    <w:multiLevelType w:val="hybridMultilevel"/>
    <w:lvl w:ilvl="0" w15:tentative="1">
      <w:start w:val="1"/>
      <w:numFmt w:val="bullet"/>
      <w:lvlText w:val="•"/>
      <w:lvlJc w:val="left"/>
      <w:pPr>
        <w:ind w:left="600" w:hanging="300"/>
      </w:pPr>
    </w:lvl>
  </w:abstractNum>
  <w:abstractNum w:abstractNumId="7" w15:restartNumberingAfterBreak="0">
    <w:multiLevelType w:val="hybridMultilevel"/>
    <w:lvl w:ilvl="0" w15:tentative="1">
      <w:start w:val="1"/>
      <w:numFmt w:val="bullet"/>
      <w:lvlText w:val="•"/>
      <w:lvlJc w:val="left"/>
      <w:pPr>
        <w:ind w:left="600" w:hanging="300"/>
      </w:pPr>
    </w:lvl>
  </w:abstractNum>
  <w:abstractNum w:abstractNumId="8" w15:restartNumberingAfterBreak="0">
    <w:multiLevelType w:val="hybridMultilevel"/>
    <w:lvl w:ilvl="0" w15:tentative="1">
      <w:start w:val="1"/>
      <w:numFmt w:val="decimal"/>
      <w:lvlText w:val="%1."/>
      <w:lvlJc w:val="left"/>
      <w:pPr>
        <w:ind w:left="600" w:hanging="300"/>
      </w:pPr>
    </w:lvl>
  </w:abstractNum>
  <w:abstractNum w:abstractNumId="9" w15:restartNumberingAfterBreak="0">
    <w:multiLevelType w:val="hybridMultilevel"/>
    <w:lvl w:ilvl="0" w15:tentative="1">
      <w:start w:val="1"/>
      <w:numFmt w:val="decimal"/>
      <w:lvlText w:val="%1."/>
      <w:lvlJc w:val="left"/>
      <w:pPr>
        <w:ind w:left="600" w:hanging="300"/>
      </w:pPr>
    </w:lvl>
  </w:abstractNum>
  <w:abstractNum w:abstractNumId="10"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0B2545"/>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2026-04-21T04:42:14.515Z</dcterms:created>
  <dcterms:modified xsi:type="dcterms:W3CDTF">2026-04-21T04:42:14.517Z</dcterms:modified>
</cp:coreProperties>
</file>

<file path=docProps/custom.xml><?xml version="1.0" encoding="utf-8"?>
<Properties xmlns="http://schemas.openxmlformats.org/officeDocument/2006/custom-properties" xmlns:vt="http://schemas.openxmlformats.org/officeDocument/2006/docPropsVTypes"/>
</file>