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40"/>
        <w:jc w:val="center"/>
      </w:pPr>
      <w:r>
        <w:rPr>
          <w:rFonts w:ascii="Calibri" w:cs="Calibri" w:eastAsia="Calibri" w:hAnsi="Calibri"/>
          <w:b/>
          <w:bCs/>
          <w:color w:val="0D2137"/>
          <w:sz w:val="56"/>
          <w:szCs w:val="56"/>
        </w:rPr>
        <w:t xml:space="preserve">[NOMBRE DEL PROVEEDOR]</w:t>
      </w:r>
    </w:p>
    <w:p>
      <w:pPr>
        <w:pBdr>
          <w:bottom w:val="single" w:color="2979D9" w:sz="16" w:space="8"/>
        </w:pBdr>
        <w:spacing w:before="0" w:after="500"/>
        <w:jc w:val="center"/>
      </w:pPr>
      <w:r>
        <w:rPr>
          <w:rFonts w:ascii="Calibri" w:cs="Calibri" w:eastAsia="Calibri" w:hAnsi="Calibri"/>
          <w:color w:val="2979D9"/>
          <w:sz w:val="28"/>
          <w:szCs w:val="28"/>
        </w:rPr>
        <w:t xml:space="preserve">Microsoft Azure — Cloud Service Provider</w:t>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80"/>
        <w:jc w:val="center"/>
      </w:pPr>
      <w:r>
        <w:rPr>
          <w:rFonts w:ascii="Calibri" w:cs="Calibri" w:eastAsia="Calibri" w:hAnsi="Calibri"/>
          <w:b/>
          <w:bCs/>
          <w:color w:val="0D2137"/>
          <w:sz w:val="52"/>
          <w:szCs w:val="52"/>
        </w:rPr>
        <w:t xml:space="preserve">PROPUESTA DE IMPLEMENTACIÓN</w:t>
      </w:r>
    </w:p>
    <w:p>
      <w:pPr>
        <w:spacing w:before="0" w:after="120"/>
        <w:jc w:val="center"/>
      </w:pPr>
      <w:r>
        <w:rPr>
          <w:rFonts w:ascii="Calibri" w:cs="Calibri" w:eastAsia="Calibri" w:hAnsi="Calibri"/>
          <w:b/>
          <w:bCs/>
          <w:color w:val="2979D9"/>
          <w:sz w:val="48"/>
          <w:szCs w:val="48"/>
        </w:rPr>
        <w:t xml:space="preserve">Azure Landing Zone</w:t>
      </w:r>
    </w:p>
    <w:p>
      <w:pPr>
        <w:spacing w:before="0" w:after="600"/>
        <w:jc w:val="center"/>
      </w:pPr>
      <w:r>
        <w:rPr>
          <w:rFonts w:ascii="Calibri" w:cs="Calibri" w:eastAsia="Calibri" w:hAnsi="Calibri"/>
          <w:i/>
          <w:iCs/>
          <w:color w:val="455A64"/>
          <w:sz w:val="22"/>
          <w:szCs w:val="22"/>
        </w:rPr>
        <w:t xml:space="preserve">Enterprise-Scale · Cloud Adoption Framework · Well-Architected Framework</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6000"/>
        <w:tblBorders>
          <w:top w:val="none"/>
          <w:left w:val="none"/>
          <w:bottom w:val="none"/>
          <w:right w:val="none"/>
          <w:insideH w:val="single" w:color="auto" w:sz="4"/>
          <w:insideV w:val="single" w:color="auto" w:sz="4"/>
        </w:tblBorders>
      </w:tblPr>
      <w:tblGrid>
        <w:gridCol w:w="3000"/>
        <w:gridCol w:w="3000"/>
      </w:tblGrid>
      <w:tr>
        <w:tc>
          <w:tcPr>
            <w:tcW w:type="dxa" w:w="30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BBDEFB"/>
                <w:sz w:val="18"/>
                <w:szCs w:val="18"/>
              </w:rPr>
              <w:t xml:space="preserve">Presentado a:</w:t>
            </w:r>
          </w:p>
        </w:tc>
        <w:tc>
          <w:tcPr>
            <w:tcW w:type="dxa" w:w="30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FFFFFF"/>
                <w:sz w:val="20"/>
                <w:szCs w:val="20"/>
              </w:rPr>
              <w:t xml:space="preserve">[NOMBRE DE LA INSTITUCIÓN]</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Fecha:</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[DD/MM/AAAA]</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Versión:</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1.0 — Confidencial</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Vigencia de la propuesta:</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30 días naturales</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01</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Resumen Ejecutivo</w:t>
            </w:r>
          </w:p>
          <w:p>
            <w:pPr>
              <w:spacing w:before="0" w:after="0"/>
            </w:pPr>
            <w:r>
              <w:rPr>
                <w:rFonts w:ascii="Calibri" w:cs="Calibri" w:eastAsia="Calibri" w:hAnsi="Calibri"/>
                <w:i/>
                <w:iCs/>
                <w:color w:val="BBDEFB"/>
                <w:sz w:val="18"/>
                <w:szCs w:val="18"/>
              </w:rPr>
              <w:t xml:space="preserve">Visión general de la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60" w:after="60"/>
        <w:jc w:val="both"/>
      </w:pPr>
      <w:r>
        <w:rPr>
          <w:rFonts w:ascii="Calibri" w:cs="Calibri" w:eastAsia="Calibri" w:hAnsi="Calibri"/>
          <w:b w:val="false"/>
          <w:bCs w:val="false"/>
          <w:i w:val="false"/>
          <w:iCs w:val="false"/>
          <w:color w:val="0D0D0D"/>
          <w:sz w:val="20"/>
          <w:szCs w:val="20"/>
        </w:rPr>
        <w:t xml:space="preserve">La presente propuesta tiene como objetivo presentar a [NOMBRE DE LA INSTITUCIÓN] un plan integral para la implementación de una Azure Landing Zone (ALZ) empresarial, basada en los estándares de Microsoft Cloud Adoption Framework (CAF) y Well-Architected Framework (WAF). La solución está diseñada específicamente para instituciones financieras reguladas en México, considerando los lineamientos de la CNBV y la Circular Única de Bancos (CUB).</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2979D9" w:sz="8"/>
              <w:left w:val="single" w:color="AAAAAA" w:sz="4"/>
              <w:bottom w:val="single" w:color="AAAAAA" w:sz="4"/>
              <w:right w:val="single" w:color="AAAAAA" w:sz="4"/>
            </w:tcBorders>
            <w:shd w:fill="E3F2FD"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2979D9"/>
                <w:sz w:val="64"/>
                <w:szCs w:val="64"/>
              </w:rPr>
              <w:t xml:space="preserve">12</w:t>
            </w:r>
          </w:p>
          <w:p>
            <w:pPr>
              <w:spacing w:before="0" w:after="0"/>
              <w:jc w:val="center"/>
            </w:pPr>
            <w:r>
              <w:rPr>
                <w:rFonts w:ascii="Calibri" w:cs="Calibri" w:eastAsia="Calibri" w:hAnsi="Calibri"/>
                <w:color w:val="0D2137"/>
                <w:sz w:val="18"/>
                <w:szCs w:val="18"/>
              </w:rPr>
              <w:t xml:space="preserve">semanas de implementación</w:t>
            </w:r>
          </w:p>
        </w:tc>
        <w:tc>
          <w:tcPr>
            <w:tcW w:type="dxa" w:w="2340"/>
            <w:tcBorders>
              <w:top w:val="single" w:color="00838F" w:sz="8"/>
              <w:left w:val="single" w:color="AAAAAA" w:sz="4"/>
              <w:bottom w:val="single" w:color="AAAAAA" w:sz="4"/>
              <w:right w:val="single" w:color="AAAAAA" w:sz="4"/>
            </w:tcBorders>
            <w:shd w:fill="E0F7FA"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00838F"/>
                <w:sz w:val="64"/>
                <w:szCs w:val="64"/>
              </w:rPr>
              <w:t xml:space="preserve">7</w:t>
            </w:r>
          </w:p>
          <w:p>
            <w:pPr>
              <w:spacing w:before="0" w:after="0"/>
              <w:jc w:val="center"/>
            </w:pPr>
            <w:r>
              <w:rPr>
                <w:rFonts w:ascii="Calibri" w:cs="Calibri" w:eastAsia="Calibri" w:hAnsi="Calibri"/>
                <w:color w:val="0D2137"/>
                <w:sz w:val="18"/>
                <w:szCs w:val="18"/>
              </w:rPr>
              <w:t xml:space="preserve">fases estructuradas</w:t>
            </w:r>
          </w:p>
        </w:tc>
        <w:tc>
          <w:tcPr>
            <w:tcW w:type="dxa" w:w="2340"/>
            <w:tcBorders>
              <w:top w:val="single" w:color="2E7D32" w:sz="8"/>
              <w:left w:val="single" w:color="AAAAAA" w:sz="4"/>
              <w:bottom w:val="single" w:color="AAAAAA" w:sz="4"/>
              <w:right w:val="single" w:color="AAAAAA" w:sz="4"/>
            </w:tcBorders>
            <w:shd w:fill="E8F5E9"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2E7D32"/>
                <w:sz w:val="48"/>
                <w:szCs w:val="48"/>
              </w:rPr>
              <w:t xml:space="preserve">99.9%</w:t>
            </w:r>
          </w:p>
          <w:p>
            <w:pPr>
              <w:spacing w:before="0" w:after="0"/>
              <w:jc w:val="center"/>
            </w:pPr>
            <w:r>
              <w:rPr>
                <w:rFonts w:ascii="Calibri" w:cs="Calibri" w:eastAsia="Calibri" w:hAnsi="Calibri"/>
                <w:color w:val="0D2137"/>
                <w:sz w:val="18"/>
                <w:szCs w:val="18"/>
              </w:rPr>
              <w:t xml:space="preserve">SLA disponibilidad ALZ</w:t>
            </w:r>
          </w:p>
        </w:tc>
        <w:tc>
          <w:tcPr>
            <w:tcW w:type="dxa" w:w="2340"/>
            <w:tcBorders>
              <w:top w:val="single" w:color="F9A825" w:sz="8"/>
              <w:left w:val="single" w:color="AAAAAA" w:sz="4"/>
              <w:bottom w:val="single" w:color="AAAAAA" w:sz="4"/>
              <w:right w:val="single" w:color="AAAAAA" w:sz="4"/>
            </w:tcBorders>
            <w:shd w:fill="FFFDE7"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F9A825"/>
                <w:sz w:val="64"/>
                <w:szCs w:val="64"/>
              </w:rPr>
              <w:t xml:space="preserve">7</w:t>
            </w:r>
          </w:p>
          <w:p>
            <w:pPr>
              <w:spacing w:before="0" w:after="0"/>
              <w:jc w:val="center"/>
            </w:pPr>
            <w:r>
              <w:rPr>
                <w:rFonts w:ascii="Calibri" w:cs="Calibri" w:eastAsia="Calibri" w:hAnsi="Calibri"/>
                <w:color w:val="0D2137"/>
                <w:sz w:val="18"/>
                <w:szCs w:val="18"/>
              </w:rPr>
              <w:t xml:space="preserve">certificaciones en el equipo</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Propuesta de Valor</w:t>
      </w:r>
    </w:p>
    <w:p>
      <w:pPr>
        <w:spacing w:before="60" w:after="60"/>
        <w:jc w:val="both"/>
      </w:pPr>
      <w:r>
        <w:rPr>
          <w:rFonts w:ascii="Calibri" w:cs="Calibri" w:eastAsia="Calibri" w:hAnsi="Calibri"/>
          <w:b w:val="false"/>
          <w:bCs w:val="false"/>
          <w:i w:val="false"/>
          <w:iCs w:val="false"/>
          <w:color w:val="0D0D0D"/>
          <w:sz w:val="20"/>
          <w:szCs w:val="20"/>
        </w:rPr>
        <w:t xml:space="preserve">La implementación de la Azure Landing Zone representa el fundamento tecnológico sobre el cual la institución podrá operar, escalar y gobernar sus cargas de trabajo en la nube de manera segura, eficiente y alineada a la regulación financiera mexicana. Los beneficios clave son:</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single" w:color="2E7D32" w:sz="4"/>
              <w:left w:val="single" w:color="2E7D32" w:sz="4"/>
              <w:bottom w:val="single" w:color="2E7D32" w:sz="4"/>
              <w:right w:val="single" w:color="2E7D32" w:sz="4"/>
            </w:tcBorders>
            <w:shd w:fill="E8F5E9" w:val="clear"/>
            <w:tcMar>
              <w:top w:type="dxa" w:w="140"/>
              <w:left w:type="dxa" w:w="180"/>
              <w:bottom w:type="dxa" w:w="140"/>
              <w:right w:type="dxa" w:w="180"/>
            </w:tcMar>
          </w:tcPr>
          <w:p>
            <w:pPr>
              <w:spacing w:before="0" w:after="80"/>
            </w:pPr>
            <w:r>
              <w:rPr>
                <w:rFonts w:ascii="Calibri" w:cs="Calibri" w:eastAsia="Calibri" w:hAnsi="Calibri"/>
                <w:b/>
                <w:bCs/>
                <w:color w:val="2E7D32"/>
                <w:sz w:val="21"/>
                <w:szCs w:val="21"/>
              </w:rPr>
              <w:t xml:space="preserve">✔  Ventajas de la Solución</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Fundación cloud segura y gobernada desde el día 1</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Alineación regulatoria CNBV / CUB integrada</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Reducción de riesgos operativos y de seguridad</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Automatización con IaC (Bicep/Terraform)</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Visibilidad completa de costos (FinOps)</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Transferencia real de conocimiento al equipo interno</w:t>
            </w:r>
          </w:p>
        </w:tc>
        <w:tc>
          <w:tcPr>
            <w:tcW w:type="dxa" w:w="4680"/>
            <w:tcBorders>
              <w:top w:val="single" w:color="C62828" w:sz="4"/>
              <w:left w:val="single" w:color="C62828" w:sz="4"/>
              <w:bottom w:val="single" w:color="C62828" w:sz="4"/>
              <w:right w:val="single" w:color="C62828" w:sz="4"/>
            </w:tcBorders>
            <w:shd w:fill="FFEBEE" w:val="clear"/>
            <w:tcMar>
              <w:top w:type="dxa" w:w="140"/>
              <w:left w:type="dxa" w:w="180"/>
              <w:bottom w:type="dxa" w:w="140"/>
              <w:right w:type="dxa" w:w="180"/>
            </w:tcMar>
          </w:tcPr>
          <w:p>
            <w:pPr>
              <w:spacing w:before="0" w:after="80"/>
            </w:pPr>
            <w:r>
              <w:rPr>
                <w:rFonts w:ascii="Calibri" w:cs="Calibri" w:eastAsia="Calibri" w:hAnsi="Calibri"/>
                <w:b/>
                <w:bCs/>
                <w:color w:val="C62828"/>
                <w:sz w:val="21"/>
                <w:szCs w:val="21"/>
              </w:rPr>
              <w:t xml:space="preserve">✘  Riesgos de No Actuar</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Infraestructura cloud no gobernada ni auditada</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Incumplimiento regulatorio CNBV con exposición a multas</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Costos cloud sin control ni optimización</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Tiempo de provisión lento, proceso manual y error-prone</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Superficie de ataque amplia sin seguridad base</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Dependencia de un solo proveedor sin DR documentado</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02</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Objetivo del Proyecto</w:t>
            </w:r>
          </w:p>
          <w:p>
            <w:pPr>
              <w:spacing w:before="0" w:after="0"/>
            </w:pPr>
            <w:r>
              <w:rPr>
                <w:rFonts w:ascii="Calibri" w:cs="Calibri" w:eastAsia="Calibri" w:hAnsi="Calibri"/>
                <w:i/>
                <w:iCs/>
                <w:color w:val="BBDEFB"/>
                <w:sz w:val="18"/>
                <w:szCs w:val="18"/>
              </w:rPr>
              <w:t xml:space="preserve">Qué se busca lograr con esta implementación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Objetivo General</w:t>
      </w:r>
    </w:p>
    <w:p>
      <w:pPr>
        <w:spacing w:before="60" w:after="60"/>
        <w:jc w:val="both"/>
      </w:pPr>
      <w:r>
        <w:rPr>
          <w:rFonts w:ascii="Calibri" w:cs="Calibri" w:eastAsia="Calibri" w:hAnsi="Calibri"/>
          <w:b w:val="false"/>
          <w:bCs w:val="false"/>
          <w:i w:val="false"/>
          <w:iCs w:val="false"/>
          <w:color w:val="0D0D0D"/>
          <w:sz w:val="20"/>
          <w:szCs w:val="20"/>
        </w:rPr>
        <w:t xml:space="preserve">Diseñar, implementar y documentar una Azure Landing Zone empresarial (Enterprise-Scale ALZ) en la plataforma Microsoft Azure, alineada al Cloud Adoption Framework (CAF) y Well-Architected Framework (WAF), que provea a [NOMBRE DE LA INSTITUCIÓN] una base de nube segura, gobernada, escalable y compatible con los requerimientos regulatorios del sector financiero mexicano, habilitando tanto la migración de ambientes pre-productivos (Lift &amp; Shift) como el desarrollo de nuevas soluciones en modelos PaaS y cloud-native.</w:t>
      </w:r>
    </w:p>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Objetivos Específicos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Dimensión</w:t>
            </w:r>
          </w:p>
        </w:tc>
        <w:tc>
          <w:tcPr>
            <w:tcW w:type="dxa" w:w="53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Objetivo Específico</w:t>
            </w:r>
          </w:p>
        </w:tc>
        <w:tc>
          <w:tcPr>
            <w:tcW w:type="dxa" w:w="1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KPI de Éxito</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Arquitectura</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Implementar la jerarquía de Management Groups, suscripciones y topología Hub &amp; Spoke conforme al estándar ALZ de Microsoft sin variantes propietarias.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ALZ validada vs CAF</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Identidad</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Integrar Entra ID con RBAC granular, MFA, Acceso Condicional y PIM aplicando el principio de privilegio mínimo en todos los accesos administrativos.</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0 cuentas sin MFA</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Conectividad</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Establecer conectividad híbrida (VPN/ExpressRoute), firewall centralizado y DNS privado eliminando la exposición de recursos PaaS a internet público.</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0 IPs públicas no autorizadas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Seguridad</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Desplegar Defender for Cloud, Sentinel y CMK, alcanzando un Secure Score ≥ 75 puntos y mapear los controles técnicos con los lineamientos CNBV/CUB.</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Secure Score ≥ 75</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Monitoreo</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Centralizar logs, métricas y alertas en Log Analytics + Azure Monitor + Sentinel, con dashboards operativos y runbooks de respuesta a incidentes.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100% recursos con Diagnostic Settings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FinOps</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Implementar presupuestos, alertas de gasto, políticas de apagado automático y un reporte mensual ejecutivo que permita controlar y optimizar el gasto cloud.</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Desviación &lt; 10% vs presupuesto</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Cumplimiento</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Generar evidencias documentadas del cumplimiento de controles regulatorios aplicables de CNBV/CUB para respaldo ante auditorías internas y externas.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Reporte de cumplimiento entregado</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Conocimiento</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Capacitar al equipo de TI de la institución para operar, mantener y evolucionar la plataforma de forma autónoma al término del proyecto.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Evaluación ≥ 80% en talleres</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03</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Arquitectura Recomendada</w:t>
            </w:r>
          </w:p>
          <w:p>
            <w:pPr>
              <w:spacing w:before="0" w:after="0"/>
            </w:pPr>
            <w:r>
              <w:rPr>
                <w:rFonts w:ascii="Calibri" w:cs="Calibri" w:eastAsia="Calibri" w:hAnsi="Calibri"/>
                <w:i/>
                <w:iCs/>
                <w:color w:val="BBDEFB"/>
                <w:sz w:val="18"/>
                <w:szCs w:val="18"/>
              </w:rPr>
              <w:t xml:space="preserve">Enterprise-Scale Azure Landing Zone — Hub &amp; Spoke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2979D9"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E3F2FD" w:val="clear"/>
            <w:tcMar>
              <w:top w:type="dxa" w:w="140"/>
              <w:left w:type="dxa" w:w="200"/>
              <w:bottom w:type="dxa" w:w="140"/>
              <w:right w:type="dxa" w:w="200"/>
            </w:tcMar>
          </w:tcPr>
          <w:p>
            <w:pPr>
              <w:spacing w:before="0" w:after="60"/>
            </w:pPr>
            <w:r>
              <w:rPr>
                <w:rFonts w:ascii="Calibri" w:cs="Calibri" w:eastAsia="Calibri" w:hAnsi="Calibri"/>
                <w:b/>
                <w:bCs/>
                <w:color w:val="2979D9"/>
                <w:sz w:val="21"/>
                <w:szCs w:val="21"/>
              </w:rPr>
              <w:t xml:space="preserve">📌 Fundamento:  </w:t>
            </w:r>
            <w:r>
              <w:rPr>
                <w:rFonts w:ascii="Calibri" w:cs="Calibri" w:eastAsia="Calibri" w:hAnsi="Calibri"/>
                <w:color w:val="0D0D0D"/>
                <w:sz w:val="20"/>
                <w:szCs w:val="20"/>
              </w:rPr>
              <w:t xml:space="preserve">Toda la arquitectura sigue el estándar Enterprise-Scale ALZ de Microsoft sin customizaciones propietarias, garantizando soporte continuo y actualizaciones del fabricante.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3.1  Diagrama Conceptual — Jerarquía de Management Groups</w:t>
      </w:r>
    </w:p>
    <w:p>
      <w:pPr>
        <w:spacing w:before="60" w:after="60"/>
        <w:jc w:val="both"/>
      </w:pPr>
      <w:r>
        <w:rPr>
          <w:rFonts w:ascii="Calibri" w:cs="Calibri" w:eastAsia="Calibri" w:hAnsi="Calibri"/>
          <w:b w:val="false"/>
          <w:bCs w:val="false"/>
          <w:i w:val="false"/>
          <w:iCs w:val="false"/>
          <w:color w:val="0D0D0D"/>
          <w:sz w:val="20"/>
          <w:szCs w:val="20"/>
        </w:rPr>
        <w:t xml:space="preserve">La siguiente tabla representa la jerarquía de gobierno propuesta, desde el grupo raíz hasta las suscripciones de carga de trabajo: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560"/>
        <w:gridCol w:w="1400"/>
      </w:tblGrid>
      <w:tr>
        <w:tc>
          <w:tcPr>
            <w:tcW w:type="dxa" w:w="1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Nivel</w:t>
            </w:r>
          </w:p>
        </w:tc>
        <w:tc>
          <w:tcPr>
            <w:tcW w:type="dxa" w:w="4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Management Group / Suscripción</w:t>
            </w:r>
          </w:p>
        </w:tc>
        <w:tc>
          <w:tcPr>
            <w:tcW w:type="dxa" w:w="2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c>
          <w:tcPr>
            <w:tcW w:type="dxa" w:w="1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Políticas Asignadas</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0</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[INSTITUCIÓN] (Raíz)</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Grupo raíz — políticas globales de cumplimiento</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ISO 27001, NIST SP 800-53</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Platform</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Servicios centrales: identidad, red, operaciones</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Diagnósticos obligatorios</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Identity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Entra ID Connect, DC en nube</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Sin IPs públicas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Connectivity (Sub.)</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Hub: Firewall, VPN GW, DNS privado</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Sin bypass de firewall</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Management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Log Analytics, Sentinel, Monitor, Backup</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Retención 90 días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Landing Zones</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Cargas de trabajo de negocio</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Tags obligatorios, CMK</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Corp-Prod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Aplicaciones productivas reguladas</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Deny acceso público PaaS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Corp-PreProd (Sub.)</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QA/UAT y Lift &amp; Shift</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Apagado automático 20:00h</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Sandbox</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Innovación y pruebas con presupuesto acotado</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Budget $X MXN/mes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3.2  Topología de Red — Hub &amp; Spoke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Componente</w:t>
            </w:r>
          </w:p>
        </w:tc>
        <w:tc>
          <w:tcPr>
            <w:tcW w:type="dxa" w:w="436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 Técnica</w:t>
            </w:r>
          </w:p>
        </w:tc>
        <w:tc>
          <w:tcPr>
            <w:tcW w:type="dxa" w:w="22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Tier</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Hub VNet (Connectivity)</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Red central. Todo el tráfico norte-sur y este-oeste pasa por aquí antes de llegar a los spokes.</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10.0.0.0/16</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Azure Firewall Premium</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Inspección de paquetes con IDPS, TLS inspection, FQDN filtering. Egress controlado obligatorio.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Premium SKU</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VPN Gateway / ExpressRoute</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Conectividad site-to-site con datacenter on-premises. Activo-activo para alta disponibilidad.</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VpnGw2 / ER Standard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Azure Private DNS</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Resolución privada de todos los servicios PaaS. Elimina DNS público.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 zonas privadas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DDoS Protection Standard</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Protección ante ataques volumétricos en las VNets de producción.</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Standard (Hub + Prod)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Spoke Corp-Prod</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VNet spoke para aplicaciones productivas. Conectada al hub via VNet Peering con UDR forzado.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10.1.0.0/20</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Spoke Corp-PreProd</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VNet spoke para ambientes de QA/UAT y lift &amp; shift.</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10.2.0.0/20</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NSG + Flow Logs</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Grupos de seguridad de red en todas las subnets con Flow Logs a Log Analytics.</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En todas las subnets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Private Endpoints</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Todos los servicios PaaS (Storage, SQL, Key Vault, ACR) expuestos solo internamente.</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~30 endpoints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3.3  Pilares de la Arquitectura (Well-Architected Framework)</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Pilar WAF</w:t>
            </w:r>
          </w:p>
        </w:tc>
        <w:tc>
          <w:tcPr>
            <w:tcW w:type="dxa" w:w="5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Controles Implementados</w:t>
            </w:r>
          </w:p>
        </w:tc>
        <w:tc>
          <w:tcPr>
            <w:tcW w:type="dxa" w:w="2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Herramientas Azure</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Fiabilidad</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Zonas de disponibilidad, activo-activo en GW, backups probados, plan de DR con RTO/RPO definidos por carga de trabajo.</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Site Recovery, Backup, Traffic Manager</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Seguridad</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Zero Trust, CMK, Defender for Cloud, Sentinel, Conditional Access, PIM, Secure Score ≥ 75.</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Defender, Sentinel, Key Vault</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Optimización Costos</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Reserved Instances, Budget Alerts, Advisor, apagado automático, rightsizing trimestral.</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Cost Management, Advisor</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Excelencia Operativa</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IaC con Bicep/Terraform, CI/CD pipelines, runbooks, procesos ITSM, revisiones mensuales.</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Azure DevOps, Monitor, Policy</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Rendimiento</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Autoscaling, CDN para activos estáticos, caching con Redis, Private Endpoints para latencia mínima.</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VMSS, Front Door, Redis Cache</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04</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Alcance del Proyecto</w:t>
            </w:r>
          </w:p>
          <w:p>
            <w:pPr>
              <w:spacing w:before="0" w:after="0"/>
            </w:pPr>
            <w:r>
              <w:rPr>
                <w:rFonts w:ascii="Calibri" w:cs="Calibri" w:eastAsia="Calibri" w:hAnsi="Calibri"/>
                <w:i/>
                <w:iCs/>
                <w:color w:val="BBDEFB"/>
                <w:sz w:val="18"/>
                <w:szCs w:val="18"/>
              </w:rPr>
              <w:t xml:space="preserve">Qué incluye y qué está fuera de esta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4.1  Dentro del Alcance ✔</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Área</w:t>
            </w:r>
          </w:p>
        </w:tc>
        <w:tc>
          <w:tcPr>
            <w:tcW w:type="dxa" w:w="696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Entregables Incluidos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Arquitectura &amp; Gobierno</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Diseño e implementación de Management Groups, suscripciones (Identity, Connectivity, Management, Corp-Prod, Corp-PreProd, Sandbox), naming convention, tagging policy, Azure Policy en modo Enforce, Azure Blueprints / Deployment Stacks.</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Identidad &amp; Acceso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Integración Entra ID, sincronización AD on-premises (si aplica), RBAC por suscripción, MFA y Acceso Condicional para administradores, PIM, Managed Identities, Break-glass accounts.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Networking</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Hub &amp; Spoke, Azure Firewall Premium con IDPS, VPN Gateway activo-activo (o preparación para ExpressRoute), Private DNS Zones, Private Endpoints para servicios PaaS, NSGs + Flow Logs, DDoS Protection Standard en VNets producción.</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Seguridad &amp; Cumplimiento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Defender for Cloud (Servers P2, Storage, SQL, Key Vault, App Service, Containers), Sentinel con conectores nativos y reglas analíticas base, CMK con Key Vault Premium (HSM), mapeo de controles CNBV/CUB, evidencias regulatorias.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Monitoreo &amp; Operación</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Log Analytics Workspace centralizado (retención 90 días), Azure Monitor con alertas, Diagnostic Settings en todos los recursos, dashboards operativos (Workbooks), runbooks de operación base, Azure Backup con prueba de restauración, lineamientos de DR.</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FinOps</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Budgets por suscripción (alertas 70%/90%/100%), dashboards de costos por entorno y etiqueta, Azure Advisor, políticas de apagado automático, reporte mensual ejecutivo, recomendaciones de Reserved Instances.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IaC &amp; Automatización</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Repositorio Git con módulos Bicep o Terraform según acuerdo, pipelines CI/CD (Azure DevOps o GitHub Actions), drift detection automatizado.</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Transferencia de Conocimiento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2 talleres prácticos (operación ALZ + seguridad/Sentinel), material de capacitación, documentación técnica y operativa, evaluación del equipo.</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4.2  Fuera del Alcance ✘</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C62828"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EBEE" w:val="clear"/>
            <w:tcMar>
              <w:top w:type="dxa" w:w="140"/>
              <w:left w:type="dxa" w:w="200"/>
              <w:bottom w:type="dxa" w:w="140"/>
              <w:right w:type="dxa" w:w="200"/>
            </w:tcMar>
          </w:tcPr>
          <w:p>
            <w:pPr>
              <w:spacing w:before="0" w:after="60"/>
            </w:pPr>
            <w:r>
              <w:rPr>
                <w:rFonts w:ascii="Calibri" w:cs="Calibri" w:eastAsia="Calibri" w:hAnsi="Calibri"/>
                <w:b/>
                <w:bCs/>
                <w:color w:val="C62828"/>
                <w:sz w:val="21"/>
                <w:szCs w:val="21"/>
              </w:rPr>
              <w:t xml:space="preserve">⚠️ Importante:  </w:t>
            </w:r>
            <w:r>
              <w:rPr>
                <w:rFonts w:ascii="Calibri" w:cs="Calibri" w:eastAsia="Calibri" w:hAnsi="Calibri"/>
                <w:color w:val="0D0D0D"/>
                <w:sz w:val="20"/>
                <w:szCs w:val="20"/>
              </w:rPr>
              <w:t xml:space="preserve">Los siguientes puntos NO están incluidos en esta propuesta. Pueden ser objeto de un engagement adicional si la institución lo requiere.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Área Excluida</w:t>
            </w:r>
          </w:p>
        </w:tc>
        <w:tc>
          <w:tcPr>
            <w:tcW w:type="dxa" w:w="456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Detalle / Razón de Exclusión</w:t>
            </w:r>
          </w:p>
        </w:tc>
        <w:tc>
          <w:tcPr>
            <w:tcW w:type="dxa" w:w="18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Alternativa Sugerida</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Migración de aplicaciones</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ALZ es la fundación; la migración efectiva de cargas de trabajo (VMs, bases de datos, aplicaciones) es un proyecto separado posterior a la LZ.</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Fase 2 posterior</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Desarrollo de aplicaciones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No incluye desarrollo, refactoring ni modernización de aplicaciones de negocio.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Proyecto independiente</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Licencias de software de terceros</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Licencias de SO (Windows Server, RHEL), software de base de datos, ERP, etc.</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Gestión del cliente</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Configuración de aplicaciones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Setup interno de aplicaciones existentes (ERPs, core bancario, portales) que se alojarán en la LZ.</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Proyecto de migración</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Auditoría formal CNBV</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proyecto genera evidencias técnicas pero NO realiza ni garantiza el resultado de auditorías regulatorias formales.</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Firma de auditores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Soporte de Azure (Microsoft)</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soporte comercial de Azure (tickets con Microsoft) es contratado directamente por la institución según el plan elegido.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Plan Support Azure</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Integración con sistemas on-prem</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Configuraciones específicas de equipos físicos, switches, routers o firewalls del datacenter on-premises.</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Equipo de redes interno</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Ambientes distintos a los pactados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Cualquier suscripción, entorno o carga de trabajo no contemplada en el alcance acordado durante la Fase 1.</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Change Request formal</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05</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Supuestos y Restricciones</w:t>
            </w:r>
          </w:p>
          <w:p>
            <w:pPr>
              <w:spacing w:before="0" w:after="0"/>
            </w:pPr>
            <w:r>
              <w:rPr>
                <w:rFonts w:ascii="Calibri" w:cs="Calibri" w:eastAsia="Calibri" w:hAnsi="Calibri"/>
                <w:i/>
                <w:iCs/>
                <w:color w:val="BBDEFB"/>
                <w:sz w:val="18"/>
                <w:szCs w:val="18"/>
              </w:rPr>
              <w:t xml:space="preserve">Condiciones bajo las cuales se elabora esta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5.1  Supuestos del Proyecto</w:t>
      </w:r>
    </w:p>
    <w:p>
      <w:pPr>
        <w:spacing w:before="60" w:after="60"/>
        <w:jc w:val="both"/>
      </w:pPr>
      <w:r>
        <w:rPr>
          <w:rFonts w:ascii="Calibri" w:cs="Calibri" w:eastAsia="Calibri" w:hAnsi="Calibri"/>
          <w:b w:val="false"/>
          <w:bCs w:val="false"/>
          <w:i w:val="false"/>
          <w:iCs w:val="false"/>
          <w:color w:val="0D0D0D"/>
          <w:sz w:val="20"/>
          <w:szCs w:val="20"/>
        </w:rPr>
        <w:t xml:space="preserve">Esta propuesta se elaboró bajo los siguientes supuestos. En caso de que alguno no se cumpla, el alcance, costo y/o cronograma podrán verse afectados: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w:t>
            </w:r>
          </w:p>
        </w:tc>
        <w:tc>
          <w:tcPr>
            <w:tcW w:type="dxa" w:w="5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Supuesto</w:t>
            </w:r>
          </w:p>
        </w:tc>
        <w:tc>
          <w:tcPr>
            <w:tcW w:type="dxa" w:w="3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Impacto si No Se Cumple</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S-01</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institución ya cuenta con una suscripción de Azure activa o puede activarla antes del kick-off. Se asignará a [Nombre del Proveedor] el rol de CSP o acceso delegado (Azure Lighthouse).</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Retraso en el arranque del proyecto</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S-02</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Existe patrocinio ejecutivo y un responsable técnico designado por la institución que participará en revisiones semanales y tomará decisiones técnicas en un plazo máximo de 3 días hábiles.</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de bloqueos en el cronograma</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S-03</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volumen de infraestructura a migrar es de tipo mediano: 20–60 VMs con un promedio de 4 vCPU / 16 GB RAM y discos Premium SSD de 256 GB.</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Ajuste en costos de infraestructura</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S-04</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institución no cuenta con directorio on-premises (Entra ID puro) O bien dispone de un Active Directory Windows Server 2016+ para sincronización con Entra ID Connect.</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Rediseño del modelo de identidad</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S-05</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conectividad híbrida se implementará vía VPN Gateway en esta fase. La migración a ExpressRoute, de requerirlo, será objeto de un engagement posterior.</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Adicional de alcance y costo</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S-06</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equipo técnico de la institución tiene conocimientos básicos de Azure y dispondrá de al menos 4 horas semanales para participar en talleres y revisiones.</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Extensión de la fase de capacitación</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S-07</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servidores DNS del datacenter on-premises están documentados y son accesibles. No se realizará migración de DNS en esta fase.</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Retraso en configuración de Private DNS</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S-08</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requerimientos regulatorios CNBV/CUB aplicables a esta implementación serán proporcionados por el área de Cumplimiento de la institución antes del inicio de la Fase 4.</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en evidencias regulatorias</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S-09</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presupuesto de consumo de Azure está aprobado y disponible para el inicio del proyecto. [Nombre del Proveedor] actuará como CSP facturando el consumo en MXN.</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Bloqueo de recursos de plataforma</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S-10</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ambientes sandbox y pre-productivos utilizarán políticas menos restrictivas pero igualmente documentadas. El ambiente productivo aplicará políticas en modo Enforce desde el inicio.</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de políticas conflictivas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5.2  Restricciones Conocidas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565C0" w:sz="4"/>
              <w:left w:val="single" w:color="1565C0" w:sz="4"/>
              <w:bottom w:val="single" w:color="1565C0" w:sz="4"/>
              <w:right w:val="single" w:color="1565C0"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Restricción</w:t>
            </w:r>
          </w:p>
        </w:tc>
        <w:tc>
          <w:tcPr>
            <w:tcW w:type="dxa" w:w="5860"/>
            <w:tcBorders>
              <w:top w:val="single" w:color="1565C0" w:sz="4"/>
              <w:left w:val="single" w:color="1565C0" w:sz="4"/>
              <w:bottom w:val="single" w:color="1565C0" w:sz="4"/>
              <w:right w:val="single" w:color="1565C0"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Región Azure</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Mexico Central es la región primaria. Para DR/backup, se utilizará South Central US o East US 2 (más cercanas y con paridad de servicios para la región).</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Regulación CNBV</w:t>
            </w:r>
          </w:p>
        </w:tc>
        <w:tc>
          <w:tcPr>
            <w:tcW w:type="dxa" w:w="5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Toda decisión arquitectónica que afecte el manejo de datos sensibles deberá ser validada con el área de Cumplimiento antes de su implementación.</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Cambios en el alcance</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Cualquier solicitud de cambio (CR) fuera del alcance acordado deberá seguir el proceso formal: solicitud escrita → evaluación de impacto → aprobación → ajuste de contrato.</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Credenciales y accesos</w:t>
            </w:r>
          </w:p>
        </w:tc>
        <w:tc>
          <w:tcPr>
            <w:tcW w:type="dxa" w:w="5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[Nombre del Proveedor] operará con cuentas de servicio dedicadas con privilegio mínimo. No se almacenarán credenciales de la institución en sistemas del proveedor.</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Ventanas de mantenimiento</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Las actividades de implementación en ambientes productivos se realizarán en ventanas de cambio acordadas previamente con el área de operaciones de la institución.</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06</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Requerimientos de Recursos Humanos</w:t>
            </w:r>
          </w:p>
          <w:p>
            <w:pPr>
              <w:spacing w:before="0" w:after="0"/>
            </w:pPr>
            <w:r>
              <w:rPr>
                <w:rFonts w:ascii="Calibri" w:cs="Calibri" w:eastAsia="Calibri" w:hAnsi="Calibri"/>
                <w:i/>
                <w:iCs/>
                <w:color w:val="BBDEFB"/>
                <w:sz w:val="18"/>
                <w:szCs w:val="18"/>
              </w:rPr>
              <w:t xml:space="preserve">Perfiles, certificaciones, responsabilidades y esfuerzo del equipo de proyecto</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60" w:after="60"/>
        <w:jc w:val="both"/>
      </w:pPr>
      <w:r>
        <w:rPr>
          <w:rFonts w:ascii="Calibri" w:cs="Calibri" w:eastAsia="Calibri" w:hAnsi="Calibri"/>
          <w:b w:val="false"/>
          <w:bCs w:val="false"/>
          <w:i w:val="false"/>
          <w:iCs w:val="false"/>
          <w:color w:val="0D0D0D"/>
          <w:sz w:val="20"/>
          <w:szCs w:val="20"/>
        </w:rPr>
        <w:t xml:space="preserve">El éxito de una implementación de Azure Landing Zone en un entorno financiero regulado depende tanto de la arquitectura técnica como del equipo que la ejecuta. A continuación se detallan los perfiles requeridos, sus responsabilidades, certificaciones obligatorias, nivel de dedicación y el esfuerzo estimado por fase.</w:t>
      </w:r>
    </w:p>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6.1  Estructura del Equipo de Proyecto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900"/>
        <w:gridCol w:w="800"/>
        <w:gridCol w:w="700"/>
      </w:tblGrid>
      <w:tr>
        <w:tc>
          <w:tcPr>
            <w:tcW w:type="dxa" w:w="2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Rol</w:t>
            </w:r>
          </w:p>
        </w:tc>
        <w:tc>
          <w:tcPr>
            <w:tcW w:type="dxa" w:w="3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Responsabilidades Clave</w:t>
            </w:r>
          </w:p>
        </w:tc>
        <w:tc>
          <w:tcPr>
            <w:tcW w:type="dxa" w:w="1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Certificaciones Requeridas</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Nivel</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Dedicación</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Arquitecto Principal Azure</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Liderazgo técnico integral del proyecto. Diseño de HLD/LLD, definición de Management Groups, topología Hub &amp; Spoke, revisión WAF, toma de decisiones de arquitectura, validación del cumplimiento CAF, sign-off de entregables técnicos.</w:t>
            </w:r>
          </w:p>
        </w:tc>
        <w:tc>
          <w:tcPr>
            <w:tcW w:type="dxa" w:w="1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AZ-305, AZ-104</w:t>
            </w:r>
          </w:p>
        </w:tc>
        <w:tc>
          <w:tcPr>
            <w:tcW w:type="dxa" w:w="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100%</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 Red &amp; Conectividad</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Implementación del Hub &amp; Spoke, configuración de Azure Firewall Premium (IDPS, TLS, FQDN), VPN Gateway activo-activo, NSGs + Flow Logs, Private DNS Zones, Private Endpoints para todos los servicios PaaS, UDRs y validación de flujos de tráfico.</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AZ-700</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Seguridad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Integración Entra ID, configuración de PIM, RBAC granular, Conditional Access, MFA. Despliegue de Defender for Cloud (todos los planes), Microsoft Sentinel (conectores, reglas analíticas, playbooks), CMK con Key Vault HSM, mapeo de controles CNBV/CUB y generación de evidencias regulatorias.</w:t>
            </w:r>
          </w:p>
        </w:tc>
        <w:tc>
          <w:tcPr>
            <w:tcW w:type="dxa" w:w="1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SC-100, SC-200, SC-300</w:t>
            </w:r>
          </w:p>
        </w:tc>
        <w:tc>
          <w:tcPr>
            <w:tcW w:type="dxa" w:w="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DevOps / IaC</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Desarrollo de módulos Bicep/Terraform reutilizables para todos los componentes de la LZ. Construcción de pipelines CI/CD (Azure DevOps / GitHub Actions), Automation Account para apagado automático, drift detection programado, gestión del repositorio Git con control de versiones y revisión de PRs.</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AZ-400</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Semi-Senior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Project Manager</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Planificación detallada del proyecto (WBS, Gantt, RACI). Gestión de riesgos y cambios (Change Requests), comunicación semanal con el sponsor, reportes ejecutivos de avance, coordinación de entregables, gestión de dependencias con proveedores externos y equipo interno de la institución.</w:t>
            </w:r>
          </w:p>
        </w:tc>
        <w:tc>
          <w:tcPr>
            <w:tcW w:type="dxa" w:w="1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PMP / PMI-ACP</w:t>
            </w:r>
          </w:p>
        </w:tc>
        <w:tc>
          <w:tcPr>
            <w:tcW w:type="dxa" w:w="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50%</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FinOps</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Diseño del modelo de etiquetado para showback/chargeback, configuración de Budgets y alertas de gasto, dashboards en Azure Cost Management, identificación y ejecución de oportunidades de Reserved Instances y Savings Plans, Azure Advisor, reporte ejecutivo mensual automatizado de costos.</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FinOps Practitioner</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Semi-Senior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40%</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Cumplimiento</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Análisis de la Circular Única de Bancos (CUB) aplicable a la infraestructura cloud. Mapeo de artículos CUB a controles técnicos concretos de Azure. Generación de evidencias documentadas (capturas, reportes de Policy, exports de Defender). Coordinación con el área de Cumplimiento de la institución para validación regulatoria.</w:t>
            </w:r>
          </w:p>
        </w:tc>
        <w:tc>
          <w:tcPr>
            <w:tcW w:type="dxa" w:w="1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CISA / CISSP</w:t>
            </w:r>
          </w:p>
        </w:tc>
        <w:tc>
          <w:tcPr>
            <w:tcW w:type="dxa" w:w="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30%</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de Capacitación</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Diseño y facilitación de los 2 talleres prácticos (Operación ALZ + Seguridad/Sentinel). Elaboración de material de capacitación, laboratorios hands-on, evaluaciones de conocimiento y grabaciones para referencia futura del equipo de TI de la institución.</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7"/>
                <w:szCs w:val="17"/>
              </w:rPr>
              <w:t xml:space="preserve">MCT / Azure Trainer</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7"/>
                <w:szCs w:val="17"/>
              </w:rPr>
              <w:t xml:space="preserve">Senior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20%</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2979D9"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E3F2FD" w:val="clear"/>
            <w:tcMar>
              <w:top w:type="dxa" w:w="140"/>
              <w:left w:type="dxa" w:w="200"/>
              <w:bottom w:type="dxa" w:w="140"/>
              <w:right w:type="dxa" w:w="200"/>
            </w:tcMar>
          </w:tcPr>
          <w:p>
            <w:pPr>
              <w:spacing w:before="0" w:after="60"/>
            </w:pPr>
            <w:r>
              <w:rPr>
                <w:rFonts w:ascii="Calibri" w:cs="Calibri" w:eastAsia="Calibri" w:hAnsi="Calibri"/>
                <w:b/>
                <w:bCs/>
                <w:color w:val="2979D9"/>
                <w:sz w:val="21"/>
                <w:szCs w:val="21"/>
              </w:rPr>
              <w:t xml:space="preserve">📌 Nota:  </w:t>
            </w:r>
            <w:r>
              <w:rPr>
                <w:rFonts w:ascii="Calibri" w:cs="Calibri" w:eastAsia="Calibri" w:hAnsi="Calibri"/>
                <w:color w:val="0D0D0D"/>
                <w:sz w:val="20"/>
                <w:szCs w:val="20"/>
              </w:rPr>
              <w:t xml:space="preserve">Todos los perfiles son del equipo directamente asignado al proyecto. Las certificaciones listadas deben estar vigentes al inicio del proyecto y se presentarán como evidencia en el Anexo B de la Propuesta Técnica.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6.2  Perfiles Detallados — Requisitos por Rol</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Rol</w:t>
            </w:r>
          </w:p>
        </w:tc>
        <w:tc>
          <w:tcPr>
            <w:tcW w:type="dxa" w:w="3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Experiencia Mínima Requerida</w:t>
            </w:r>
          </w:p>
        </w:tc>
        <w:tc>
          <w:tcPr>
            <w:tcW w:type="dxa" w:w="3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Conocimientos Específicos Obligatorios</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Arquitecto Principal Azure</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5 años en arquitectura cloud Azure. Al menos 3 proyectos de Landing Zone en sector financiero o equivalente regulado. Experiencia documentada con CAF y WAF.</w:t>
            </w:r>
          </w:p>
        </w:tc>
        <w:tc>
          <w:tcPr>
            <w:tcW w:type="dxa" w:w="3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Enterprise-Scale ALZ, Management Groups, Azure Policy (Enforce/DeployIfNotExists), Well-Architected Review, design patterns PaaS/IaaS, CUB/CNBV conceptual.</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 Red &amp; Conectividad</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4 años en networking Azure. Experiencia con Hub &amp; Spoke, Azure Firewall Premium, VPN Gateway y ExpressRoute en entornos productivos.</w:t>
            </w:r>
          </w:p>
        </w:tc>
        <w:tc>
          <w:tcPr>
            <w:tcW w:type="dxa" w:w="3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UDR, BGP, Azure Firewall Policy (IDPS, TLS inspection), Private DNS Resolver, Private Endpoints, DDoS Protection Standard, Network Watcher, NSG Flow Logs.</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Seguridad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4 años en seguridad cloud Azure. Experiencia con Sentinel en producción (SIEM/SOAR), Defender for Cloud y gobierno de identidades en entornos regulados.</w:t>
            </w:r>
          </w:p>
        </w:tc>
        <w:tc>
          <w:tcPr>
            <w:tcW w:type="dxa" w:w="3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Entra ID (PIM, Conditional Access, Identity Protection), Zero Trust, Defender XDR, Sentinel (KQL, Playbooks), CMK + HSM, CNBV/CUB artículos de riesgo tecnológico.</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DevOps / IaC</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3 años desarrollando IaC para Azure. Experiencia con Bicep o Terraform en entornos de producción regulados. Dominio de CI/CD en Azure DevOps o GitHub.</w:t>
            </w:r>
          </w:p>
        </w:tc>
        <w:tc>
          <w:tcPr>
            <w:tcW w:type="dxa" w:w="3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Bicep modules / Terraform workspaces, Azure DevOps pipelines (YAML), GitHub Actions, drift detection, gestión de secretos (Key Vault + pipeline), git branching strategy.</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Project Manager</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5 años gestionando proyectos de tecnología. Experiencia en sector financiero o proyectos de infraestructura crítica. Manejo de metodologías ágiles e híbridas.</w:t>
            </w:r>
          </w:p>
        </w:tc>
        <w:tc>
          <w:tcPr>
            <w:tcW w:type="dxa" w:w="3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WBS, Gantt, RACI, gestión de riesgos, change management, reportes a Dirección, coordinación con áreas de TI, Seguridad, Cumplimiento y Compras.</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FinOps</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2 años en FinOps Azure. Conocimiento de Cost Management, Azure Advisor y modelos de licenciamiento Microsoft (EA, CSP, MCA).</w:t>
            </w:r>
          </w:p>
        </w:tc>
        <w:tc>
          <w:tcPr>
            <w:tcW w:type="dxa" w:w="3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Azure Cost Management + Billing, Cost Allocation Rules, Reserved Instances, Savings Plans, Azure Hybrid Benefit, FinOps Framework (Crawl-Walk-Run).</w:t>
            </w:r>
          </w:p>
        </w:tc>
      </w:tr>
      <w:tr>
        <w:tc>
          <w:tcPr>
            <w:tcW w:type="dxa" w:w="2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Cumplimiento</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3 años en cumplimiento regulatorio TI en sector financiero mexicano. Conocimiento directo de la regulación CNBV y CUB.</w:t>
            </w:r>
          </w:p>
        </w:tc>
        <w:tc>
          <w:tcPr>
            <w:tcW w:type="dxa" w:w="3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CUB (Título Quinto — Disposiciones de Carácter Prudencial), ISO/IEC 27001, NIST SP 800-53, mapeo de controles técnicos a requisitos regulatorios, auditoría de evidencias.</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de Capacitación</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Mínimo 2 años impartiendo capacitación técnica de Azure. Experiencia facilitando talleres hands-on en entornos de laboratorio.</w:t>
            </w:r>
          </w:p>
        </w:tc>
        <w:tc>
          <w:tcPr>
            <w:tcW w:type="dxa" w:w="3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Diseño instruccional, Azure Portal, Azure DevOps, Sentinel (dashboards, KQL básico), metodología Train-the-Trainer, elaboración de manuales técnicos.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6.3  Estimación de Esfuerzo por Fase (días-hombre)</w:t>
      </w:r>
    </w:p>
    <w:p>
      <w:pPr>
        <w:spacing w:before="60" w:after="60"/>
        <w:jc w:val="both"/>
      </w:pPr>
      <w:r>
        <w:rPr>
          <w:rFonts w:ascii="Calibri" w:cs="Calibri" w:eastAsia="Calibri" w:hAnsi="Calibri"/>
          <w:b w:val="false"/>
          <w:bCs w:val="false"/>
          <w:i w:val="false"/>
          <w:iCs w:val="false"/>
          <w:color w:val="0D0D0D"/>
          <w:sz w:val="20"/>
          <w:szCs w:val="20"/>
        </w:rPr>
        <w:t xml:space="preserve">La siguiente tabla detalla la distribución del esfuerzo en días-hombre (DH) por cada rol a lo largo de las 7 fases del proyecto. Un día-hombre equivale a 8 horas de trabajo efectivo.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800"/>
        <w:gridCol w:w="800"/>
        <w:gridCol w:w="800"/>
        <w:gridCol w:w="800"/>
        <w:gridCol w:w="650"/>
        <w:gridCol w:w="650"/>
        <w:gridCol w:w="660"/>
        <w:gridCol w:w="800"/>
      </w:tblGrid>
      <w:tr>
        <w:tc>
          <w:tcPr>
            <w:tcW w:type="dxa" w:w="2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Fase</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Arquitecto</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Ing. Red</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Seguridad</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DevOps</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PM</w:t>
            </w:r>
          </w:p>
        </w:tc>
        <w:tc>
          <w:tcPr>
            <w:tcW w:type="dxa" w:w="65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FinOps</w:t>
            </w:r>
          </w:p>
        </w:tc>
        <w:tc>
          <w:tcPr>
            <w:tcW w:type="dxa" w:w="65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Cumpl.</w:t>
            </w:r>
          </w:p>
        </w:tc>
        <w:tc>
          <w:tcPr>
            <w:tcW w:type="dxa" w:w="6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Capac.</w:t>
            </w:r>
          </w:p>
        </w:tc>
        <w:tc>
          <w:tcPr>
            <w:tcW w:type="dxa" w:w="800"/>
            <w:tcBorders>
              <w:top w:val="single" w:color="1565C0" w:sz="4"/>
              <w:left w:val="single" w:color="1565C0" w:sz="4"/>
              <w:bottom w:val="single" w:color="1565C0" w:sz="4"/>
              <w:right w:val="single" w:color="1565C0"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TOTAL DH</w:t>
            </w:r>
          </w:p>
        </w:tc>
      </w:tr>
      <w:tr>
        <w:tc>
          <w:tcPr>
            <w:tcW w:type="dxa" w:w="2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F1 — Discovery &amp; Assessment</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6</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17</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F2 — Diseño de Arquitectura</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8</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5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22</w:t>
            </w:r>
          </w:p>
        </w:tc>
      </w:tr>
      <w:tr>
        <w:tc>
          <w:tcPr>
            <w:tcW w:type="dxa" w:w="2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F3 — Implementación Core IaC</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8</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6</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8</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29</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F4 — Seguridad &amp; Cumplimiento</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8</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5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24</w:t>
            </w:r>
          </w:p>
        </w:tc>
      </w:tr>
      <w:tr>
        <w:tc>
          <w:tcPr>
            <w:tcW w:type="dxa" w:w="2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F5 — Monitoreo &amp; FinOps</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17</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F6 — Pruebas &amp; Validación UAT</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65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65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16</w:t>
            </w:r>
          </w:p>
        </w:tc>
      </w:tr>
      <w:tr>
        <w:tc>
          <w:tcPr>
            <w:tcW w:type="dxa" w:w="2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F7 — Transferencia de Conocimiento</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65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0</w:t>
            </w:r>
          </w:p>
        </w:tc>
        <w:tc>
          <w:tcPr>
            <w:tcW w:type="dxa" w:w="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8</w:t>
            </w:r>
          </w:p>
        </w:tc>
        <w:tc>
          <w:tcPr>
            <w:tcW w:type="dxa" w:w="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21</w:t>
            </w:r>
          </w:p>
        </w:tc>
      </w:tr>
      <w:tr>
        <w:tc>
          <w:tcPr>
            <w:tcW w:type="dxa" w:w="25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left"/>
            </w:pPr>
            <w:r>
              <w:rPr>
                <w:rFonts w:ascii="Calibri" w:cs="Calibri" w:eastAsia="Calibri" w:hAnsi="Calibri"/>
                <w:b/>
                <w:bCs/>
                <w:color w:val="FFFFFF"/>
                <w:sz w:val="17"/>
                <w:szCs w:val="17"/>
              </w:rPr>
              <w:t xml:space="preserve">TOTAL DH</w:t>
            </w:r>
          </w:p>
        </w:tc>
        <w:tc>
          <w:tcPr>
            <w:tcW w:type="dxa" w:w="9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38</w:t>
            </w:r>
          </w:p>
        </w:tc>
        <w:tc>
          <w:tcPr>
            <w:tcW w:type="dxa" w:w="8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18</w:t>
            </w:r>
          </w:p>
        </w:tc>
        <w:tc>
          <w:tcPr>
            <w:tcW w:type="dxa" w:w="8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23</w:t>
            </w:r>
          </w:p>
        </w:tc>
        <w:tc>
          <w:tcPr>
            <w:tcW w:type="dxa" w:w="8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23</w:t>
            </w:r>
          </w:p>
        </w:tc>
        <w:tc>
          <w:tcPr>
            <w:tcW w:type="dxa" w:w="8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20</w:t>
            </w:r>
          </w:p>
        </w:tc>
        <w:tc>
          <w:tcPr>
            <w:tcW w:type="dxa" w:w="65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6</w:t>
            </w:r>
          </w:p>
        </w:tc>
        <w:tc>
          <w:tcPr>
            <w:tcW w:type="dxa" w:w="65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10</w:t>
            </w:r>
          </w:p>
        </w:tc>
        <w:tc>
          <w:tcPr>
            <w:tcW w:type="dxa" w:w="66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7"/>
                <w:szCs w:val="17"/>
              </w:rPr>
              <w:t xml:space="preserve">8</w:t>
            </w:r>
          </w:p>
        </w:tc>
        <w:tc>
          <w:tcPr>
            <w:tcW w:type="dxa" w:w="800"/>
            <w:tcBorders>
              <w:top w:val="single" w:color="AAAAAA" w:sz="4"/>
              <w:left w:val="single" w:color="AAAAAA" w:sz="4"/>
              <w:bottom w:val="single" w:color="AAAAAA" w:sz="4"/>
              <w:right w:val="single" w:color="AAAAAA"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0"/>
                <w:szCs w:val="20"/>
              </w:rPr>
              <w:t xml:space="preserve">146</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6.4  Resumen de Honorarios de Implementación</w:t>
      </w:r>
    </w:p>
    <w:p>
      <w:pPr>
        <w:spacing w:before="60" w:after="60"/>
        <w:jc w:val="both"/>
      </w:pPr>
      <w:r>
        <w:rPr>
          <w:rFonts w:ascii="Calibri" w:cs="Calibri" w:eastAsia="Calibri" w:hAnsi="Calibri"/>
          <w:b w:val="false"/>
          <w:bCs w:val="false"/>
          <w:i w:val="false"/>
          <w:iCs w:val="false"/>
          <w:color w:val="0D0D0D"/>
          <w:sz w:val="20"/>
          <w:szCs w:val="20"/>
        </w:rPr>
        <w:t xml:space="preserve">La siguiente tabla consolida el costo de los servicios profesionales de implementación en MXN con IVA desglosado, basado en las tarifas diarias de mercado para perfiles especializados en Azure para el sector financiero.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0D2137" w:sz="8"/>
          <w:left w:val="single" w:color="0D2137" w:sz="8"/>
          <w:bottom w:val="single" w:color="0D2137" w:sz="8"/>
          <w:right w:val="single" w:color="0D2137" w:sz="8"/>
          <w:insideH w:val="single" w:color="auto" w:sz="4"/>
          <w:insideV w:val="single" w:color="auto" w:sz="4"/>
        </w:tblBorders>
      </w:tblPr>
      <w:tblGrid>
        <w:gridCol w:w="2500"/>
        <w:gridCol w:w="900"/>
        <w:gridCol w:w="1500"/>
        <w:gridCol w:w="1600"/>
        <w:gridCol w:w="1300"/>
        <w:gridCol w:w="1560"/>
      </w:tblGrid>
      <w:tr>
        <w:tc>
          <w:tcPr>
            <w:tcW w:type="dxa" w:w="2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Rol</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Total DH</w:t>
            </w:r>
          </w:p>
        </w:tc>
        <w:tc>
          <w:tcPr>
            <w:tcW w:type="dxa" w:w="1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Tarifa/Día (MXN)</w:t>
            </w:r>
          </w:p>
        </w:tc>
        <w:tc>
          <w:tcPr>
            <w:tcW w:type="dxa" w:w="1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Subtotal (MXN)</w:t>
            </w:r>
          </w:p>
        </w:tc>
        <w:tc>
          <w:tcPr>
            <w:tcW w:type="dxa" w:w="1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IVA 16%</w:t>
            </w:r>
          </w:p>
        </w:tc>
        <w:tc>
          <w:tcPr>
            <w:tcW w:type="dxa" w:w="1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Total c/IVA (MXN)</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Arquitecto Principal Azure</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38</w:t>
            </w:r>
          </w:p>
        </w:tc>
        <w:tc>
          <w:tcPr>
            <w:tcW w:type="dxa" w:w="1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$22,000</w:t>
            </w:r>
          </w:p>
        </w:tc>
        <w:tc>
          <w:tcPr>
            <w:tcW w:type="dxa" w:w="16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$836,000</w:t>
            </w:r>
          </w:p>
        </w:tc>
        <w:tc>
          <w:tcPr>
            <w:tcW w:type="dxa" w:w="1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$133,760</w:t>
            </w:r>
          </w:p>
        </w:tc>
        <w:tc>
          <w:tcPr>
            <w:tcW w:type="dxa" w:w="15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$969,760</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 Red</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18</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$20,000</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$360,000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$57,600</w:t>
            </w:r>
          </w:p>
        </w:tc>
        <w:tc>
          <w:tcPr>
            <w:tcW w:type="dxa" w:w="1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$417,600</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Seguridad</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23</w:t>
            </w:r>
          </w:p>
        </w:tc>
        <w:tc>
          <w:tcPr>
            <w:tcW w:type="dxa" w:w="1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$22,000</w:t>
            </w:r>
          </w:p>
        </w:tc>
        <w:tc>
          <w:tcPr>
            <w:tcW w:type="dxa" w:w="16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$506,000</w:t>
            </w:r>
          </w:p>
        </w:tc>
        <w:tc>
          <w:tcPr>
            <w:tcW w:type="dxa" w:w="1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$80,960</w:t>
            </w:r>
          </w:p>
        </w:tc>
        <w:tc>
          <w:tcPr>
            <w:tcW w:type="dxa" w:w="15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$586,960</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Ingeniero DevOps / IaC</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23</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$18,000</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$414,000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$66,240</w:t>
            </w:r>
          </w:p>
        </w:tc>
        <w:tc>
          <w:tcPr>
            <w:tcW w:type="dxa" w:w="1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$480,240</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Project Manager</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20</w:t>
            </w:r>
          </w:p>
        </w:tc>
        <w:tc>
          <w:tcPr>
            <w:tcW w:type="dxa" w:w="1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$16,000</w:t>
            </w:r>
          </w:p>
        </w:tc>
        <w:tc>
          <w:tcPr>
            <w:tcW w:type="dxa" w:w="16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$320,000</w:t>
            </w:r>
          </w:p>
        </w:tc>
        <w:tc>
          <w:tcPr>
            <w:tcW w:type="dxa" w:w="1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$51,200</w:t>
            </w:r>
          </w:p>
        </w:tc>
        <w:tc>
          <w:tcPr>
            <w:tcW w:type="dxa" w:w="15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$371,200</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FinOps</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 6</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$18,000</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$108,000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$17,280</w:t>
            </w:r>
          </w:p>
        </w:tc>
        <w:tc>
          <w:tcPr>
            <w:tcW w:type="dxa" w:w="1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$125,280</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Especialista en Cumplimiento</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10</w:t>
            </w:r>
          </w:p>
        </w:tc>
        <w:tc>
          <w:tcPr>
            <w:tcW w:type="dxa" w:w="1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$20,000</w:t>
            </w:r>
          </w:p>
        </w:tc>
        <w:tc>
          <w:tcPr>
            <w:tcW w:type="dxa" w:w="16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$200,000</w:t>
            </w:r>
          </w:p>
        </w:tc>
        <w:tc>
          <w:tcPr>
            <w:tcW w:type="dxa" w:w="1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$32,000</w:t>
            </w:r>
          </w:p>
        </w:tc>
        <w:tc>
          <w:tcPr>
            <w:tcW w:type="dxa" w:w="15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$232,000</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  Consultor de Capacitación</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 8</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$16,000</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0D0D0D"/>
                <w:sz w:val="17"/>
                <w:szCs w:val="17"/>
              </w:rPr>
              <w:t xml:space="preserve">$128,000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455A64"/>
                <w:sz w:val="17"/>
                <w:szCs w:val="17"/>
              </w:rPr>
              <w:t xml:space="preserve">$20,480</w:t>
            </w:r>
          </w:p>
        </w:tc>
        <w:tc>
          <w:tcPr>
            <w:tcW w:type="dxa" w:w="1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$148,480</w:t>
            </w:r>
          </w:p>
        </w:tc>
      </w:tr>
      <w:tr>
        <w:tc>
          <w:tcPr>
            <w:tcW w:type="dxa" w:w="25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left"/>
            </w:pPr>
            <w:r>
              <w:rPr>
                <w:rFonts w:ascii="Calibri" w:cs="Calibri" w:eastAsia="Calibri" w:hAnsi="Calibri"/>
                <w:b/>
                <w:bCs/>
                <w:color w:val="FFFFFF"/>
                <w:sz w:val="19"/>
                <w:szCs w:val="19"/>
              </w:rPr>
              <w:t xml:space="preserve">TOTAL SERVICIOS DE IMPLEMENTACIÓN</w:t>
            </w:r>
          </w:p>
        </w:tc>
        <w:tc>
          <w:tcPr>
            <w:tcW w:type="dxa" w:w="9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9A825"/>
                <w:sz w:val="19"/>
                <w:szCs w:val="19"/>
              </w:rPr>
              <w:t xml:space="preserve">146</w:t>
            </w:r>
          </w:p>
        </w:tc>
        <w:tc>
          <w:tcPr>
            <w:tcW w:type="dxa" w:w="15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w:t>
            </w:r>
          </w:p>
        </w:tc>
        <w:tc>
          <w:tcPr>
            <w:tcW w:type="dxa" w:w="1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$2,872,000</w:t>
            </w:r>
          </w:p>
        </w:tc>
        <w:tc>
          <w:tcPr>
            <w:tcW w:type="dxa" w:w="13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$459,520</w:t>
            </w:r>
          </w:p>
        </w:tc>
        <w:tc>
          <w:tcPr>
            <w:tcW w:type="dxa" w:w="156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20"/>
                <w:szCs w:val="20"/>
              </w:rPr>
              <w:t xml:space="preserve">$3,331,520</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E65100"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F3E0" w:val="clear"/>
            <w:tcMar>
              <w:top w:type="dxa" w:w="140"/>
              <w:left w:type="dxa" w:w="200"/>
              <w:bottom w:type="dxa" w:w="140"/>
              <w:right w:type="dxa" w:w="200"/>
            </w:tcMar>
          </w:tcPr>
          <w:p>
            <w:pPr>
              <w:spacing w:before="0" w:after="60"/>
            </w:pPr>
            <w:r>
              <w:rPr>
                <w:rFonts w:ascii="Calibri" w:cs="Calibri" w:eastAsia="Calibri" w:hAnsi="Calibri"/>
                <w:b/>
                <w:bCs/>
                <w:color w:val="E65100"/>
                <w:sz w:val="21"/>
                <w:szCs w:val="21"/>
              </w:rPr>
              <w:t xml:space="preserve">⚠️ Importante:  </w:t>
            </w:r>
            <w:r>
              <w:rPr>
                <w:rFonts w:ascii="Calibri" w:cs="Calibri" w:eastAsia="Calibri" w:hAnsi="Calibri"/>
                <w:color w:val="0D0D0D"/>
                <w:sz w:val="20"/>
                <w:szCs w:val="20"/>
              </w:rPr>
              <w:t xml:space="preserve">Las tarifas diarias son de referencia de mercado para el sector financiero mexicano (marzo 2025) y serán sustituidas por las tarifas reales del proveedor en la Propuesta Económica (sobre sellado). Este desglose se incluye como referencia para la evaluación del comité.</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6.5  Matriz RACI — Responsabilidades por Entregable</w:t>
      </w:r>
    </w:p>
    <w:p>
      <w:pPr>
        <w:spacing w:before="60" w:after="60"/>
        <w:jc w:val="both"/>
      </w:pPr>
      <w:r>
        <w:rPr>
          <w:rFonts w:ascii="Calibri" w:cs="Calibri" w:eastAsia="Calibri" w:hAnsi="Calibri"/>
          <w:b w:val="false"/>
          <w:bCs w:val="false"/>
          <w:i w:val="false"/>
          <w:iCs w:val="false"/>
          <w:color w:val="0D0D0D"/>
          <w:sz w:val="20"/>
          <w:szCs w:val="20"/>
        </w:rPr>
        <w:t xml:space="preserve">R = Responsable de ejecutar  ·  A = Accountable (aprueba)  ·  C = Consultado  ·  I = Informado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800"/>
        <w:gridCol w:w="800"/>
        <w:gridCol w:w="800"/>
        <w:gridCol w:w="760"/>
        <w:gridCol w:w="700"/>
        <w:gridCol w:w="700"/>
        <w:gridCol w:w="900"/>
      </w:tblGrid>
      <w:tr>
        <w:tc>
          <w:tcPr>
            <w:tcW w:type="dxa" w:w="3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Entregable / Actividad</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Arquitecto</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Ing. Red</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Seguridad</w:t>
            </w:r>
          </w:p>
        </w:tc>
        <w:tc>
          <w:tcPr>
            <w:tcW w:type="dxa" w:w="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DevOps</w:t>
            </w:r>
          </w:p>
        </w:tc>
        <w:tc>
          <w:tcPr>
            <w:tcW w:type="dxa" w:w="7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PM</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FinOps</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Cumpl.</w:t>
            </w:r>
          </w:p>
        </w:tc>
        <w:tc>
          <w:tcPr>
            <w:tcW w:type="dxa" w:w="900"/>
            <w:tcBorders>
              <w:top w:val="single" w:color="1565C0" w:sz="4"/>
              <w:left w:val="single" w:color="1565C0" w:sz="4"/>
              <w:bottom w:val="single" w:color="1565C0" w:sz="4"/>
              <w:right w:val="single" w:color="1565C0"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Cliente TI</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Documento de Arquitectura HLD/LLD</w:t>
            </w:r>
          </w:p>
        </w:tc>
        <w:tc>
          <w:tcPr>
            <w:tcW w:type="dxa" w:w="9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A/R</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Módulos IaC (Bicep/Terraform)</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7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Configuración Networking Hub &amp; Spoke</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Identidad — Entra ID + PIM + RBAC</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Defender for Cloud + Sentinel</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CMK + Key Vault HSM</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Mapeo controles CNBV/CUB</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Log Analytics + Monitor + Dashboards</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7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Presupuestos y FinOps</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I</w:t>
            </w:r>
          </w:p>
        </w:tc>
        <w:tc>
          <w:tcPr>
            <w:tcW w:type="dxa" w:w="7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Pruebas UAT + Sign-off</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6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Talleres de Capacitación</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6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Reportes ejecutivos de avance</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76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C62828"/>
                <w:sz w:val="17"/>
                <w:szCs w:val="17"/>
              </w:rPr>
              <w:t xml:space="preserve">R</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0838F"/>
                <w:sz w:val="17"/>
                <w:szCs w:val="17"/>
              </w:rPr>
              <w:t xml:space="preserve">C</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7"/>
                <w:szCs w:val="17"/>
              </w:rPr>
              <w:t xml:space="preserve">—</w:t>
            </w:r>
          </w:p>
        </w:tc>
        <w:tc>
          <w:tcPr>
            <w:tcW w:type="dxa" w:w="9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A</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2979D9"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E3F2FD" w:val="clear"/>
            <w:tcMar>
              <w:top w:type="dxa" w:w="140"/>
              <w:left w:type="dxa" w:w="200"/>
              <w:bottom w:type="dxa" w:w="140"/>
              <w:right w:type="dxa" w:w="200"/>
            </w:tcMar>
          </w:tcPr>
          <w:p>
            <w:pPr>
              <w:spacing w:before="0" w:after="60"/>
            </w:pPr>
            <w:r>
              <w:rPr>
                <w:rFonts w:ascii="Calibri" w:cs="Calibri" w:eastAsia="Calibri" w:hAnsi="Calibri"/>
                <w:b/>
                <w:bCs/>
                <w:color w:val="2979D9"/>
                <w:sz w:val="21"/>
                <w:szCs w:val="21"/>
              </w:rPr>
              <w:t xml:space="preserve">📊 Total Recursos Humanos:  </w:t>
            </w:r>
            <w:r>
              <w:rPr>
                <w:rFonts w:ascii="Calibri" w:cs="Calibri" w:eastAsia="Calibri" w:hAnsi="Calibri"/>
                <w:color w:val="0D0D0D"/>
                <w:sz w:val="20"/>
                <w:szCs w:val="20"/>
              </w:rPr>
              <w:t xml:space="preserve">146 días-hombre de servicios profesionales estimados, con un costo total de $3,331,520 MXN (con IVA). El desglose exacto de tarifas se confirma en la Propuesta Económica.</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07</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Requerimientos de Recursos Técnicos</w:t>
            </w:r>
          </w:p>
          <w:p>
            <w:pPr>
              <w:spacing w:before="0" w:after="0"/>
            </w:pPr>
            <w:r>
              <w:rPr>
                <w:rFonts w:ascii="Calibri" w:cs="Calibri" w:eastAsia="Calibri" w:hAnsi="Calibri"/>
                <w:i/>
                <w:iCs/>
                <w:color w:val="BBDEFB"/>
                <w:sz w:val="18"/>
                <w:szCs w:val="18"/>
              </w:rPr>
              <w:t xml:space="preserve">Infraestructura Azure, servicios requeridos y estimación de costos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60" w:after="60"/>
        <w:jc w:val="both"/>
      </w:pPr>
      <w:r>
        <w:rPr>
          <w:rFonts w:ascii="Calibri" w:cs="Calibri" w:eastAsia="Calibri" w:hAnsi="Calibri"/>
          <w:b w:val="false"/>
          <w:bCs w:val="false"/>
          <w:i w:val="false"/>
          <w:iCs w:val="false"/>
          <w:color w:val="0D0D0D"/>
          <w:sz w:val="20"/>
          <w:szCs w:val="20"/>
        </w:rPr>
        <w:t xml:space="preserve">Esta sección detalla todos los servicios de Microsoft Azure necesarios para implementar y operar la Landing Zone empresarial. La estimación de costos se basa en precios de lista pública para la región Mexico Central (marzo 2025) con un tipo de cambio de referencia de 1 USD = 17.00 MXN, bajo el escenario mediano de 20–60 VMs.</w:t>
      </w:r>
    </w:p>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7.1  Supuestos Técnicos de la Estimación</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Parámetro</w:t>
            </w:r>
          </w:p>
        </w:tc>
        <w:tc>
          <w:tcPr>
            <w:tcW w:type="dxa" w:w="2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Valor Supuesto</w:t>
            </w:r>
          </w:p>
        </w:tc>
        <w:tc>
          <w:tcPr>
            <w:tcW w:type="dxa" w:w="38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Justificación</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Región Azure principal</w:t>
            </w:r>
          </w:p>
        </w:tc>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Mexico Central</w:t>
            </w:r>
          </w:p>
        </w:tc>
        <w:tc>
          <w:tcPr>
            <w:tcW w:type="dxa" w:w="3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Requisito regulatorio CNBV — datos en territorio nacional</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Región DR / Backup</w:t>
            </w:r>
          </w:p>
        </w:tc>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South Central US</w:t>
            </w:r>
          </w:p>
        </w:tc>
        <w:tc>
          <w:tcPr>
            <w:tcW w:type="dxa" w:w="3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Región más cercana con paridad de servicios disponibles</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VMs Pre-Prod (Lift &amp; Shift)</w:t>
            </w:r>
          </w:p>
        </w:tc>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30 VMs — Standard_D4s_v5</w:t>
            </w:r>
          </w:p>
        </w:tc>
        <w:tc>
          <w:tcPr>
            <w:tcW w:type="dxa" w:w="3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4 vCPU / 16 GB RAM / disco Premium SSD 256 GB</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VMs Producción</w:t>
            </w:r>
          </w:p>
        </w:tc>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15 VMs — Standard_D4s_v5 RI</w:t>
            </w:r>
          </w:p>
        </w:tc>
        <w:tc>
          <w:tcPr>
            <w:tcW w:type="dxa" w:w="3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Reserved Instance 1 año — ahorro ~35% vs PAYG</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Tráfico de salida</w:t>
            </w:r>
          </w:p>
        </w:tc>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2 TB/mes estimado</w:t>
            </w:r>
          </w:p>
        </w:tc>
        <w:tc>
          <w:tcPr>
            <w:tcW w:type="dxa" w:w="3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Aplicaciones web + APIs + integraciones on-premises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Ingestión Log Analytics</w:t>
            </w:r>
          </w:p>
        </w:tc>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10 GB/día (300 GB/mes)</w:t>
            </w:r>
          </w:p>
        </w:tc>
        <w:tc>
          <w:tcPr>
            <w:tcW w:type="dxa" w:w="3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Diagnósticos + Activity Log + Sentinel + Firewall logs</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Retención de logs</w:t>
            </w:r>
          </w:p>
        </w:tc>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90 días activos + 365 archivo</w:t>
            </w:r>
          </w:p>
        </w:tc>
        <w:tc>
          <w:tcPr>
            <w:tcW w:type="dxa" w:w="3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Requisito mínimo CUB para trazabilidad de accesos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Usuarios Entra ID P2</w:t>
            </w:r>
          </w:p>
        </w:tc>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50 usuarios administradores</w:t>
            </w:r>
          </w:p>
        </w:tc>
        <w:tc>
          <w:tcPr>
            <w:tcW w:type="dxa" w:w="3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Equipo TI + operaciones + usuarios privilegiados</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Private Endpoints</w:t>
            </w:r>
          </w:p>
        </w:tc>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~30 endpoints</w:t>
            </w:r>
          </w:p>
        </w:tc>
        <w:tc>
          <w:tcPr>
            <w:tcW w:type="dxa" w:w="3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Storage, SQL, Key Vault, ACR, App Service, Redis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7"/>
                <w:szCs w:val="17"/>
              </w:rPr>
              <w:t xml:space="preserve">Tipo de cambio</w:t>
            </w:r>
          </w:p>
        </w:tc>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17.00 MXN/USD</w:t>
            </w:r>
          </w:p>
        </w:tc>
        <w:tc>
          <w:tcPr>
            <w:tcW w:type="dxa" w:w="3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Referencia marzo 2025 — actualizar al momento de contratación</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F9A825"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FDE7" w:val="clear"/>
            <w:tcMar>
              <w:top w:type="dxa" w:w="140"/>
              <w:left w:type="dxa" w:w="200"/>
              <w:bottom w:type="dxa" w:w="140"/>
              <w:right w:type="dxa" w:w="200"/>
            </w:tcMar>
          </w:tcPr>
          <w:p>
            <w:pPr>
              <w:spacing w:before="0" w:after="60"/>
            </w:pPr>
            <w:r>
              <w:rPr>
                <w:rFonts w:ascii="Calibri" w:cs="Calibri" w:eastAsia="Calibri" w:hAnsi="Calibri"/>
                <w:b/>
                <w:bCs/>
                <w:color w:val="F9A825"/>
                <w:sz w:val="21"/>
                <w:szCs w:val="21"/>
              </w:rPr>
              <w:t xml:space="preserve">💡 Metodología de costos:  </w:t>
            </w:r>
            <w:r>
              <w:rPr>
                <w:rFonts w:ascii="Calibri" w:cs="Calibri" w:eastAsia="Calibri" w:hAnsi="Calibri"/>
                <w:color w:val="0D0D0D"/>
                <w:sz w:val="20"/>
                <w:szCs w:val="20"/>
              </w:rPr>
              <w:t xml:space="preserve">Los precios son PAYG (pay-as-you-go) de lista pública de Azure. Se indica explícitamente donde aplican Reserved Instances o descuentos. El costo real puede variar según consumo efectivo, negociaciones CSP y tipo de cambio vigente a la firma.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7.2  Capa de Networking &amp; Conectividad</w:t>
      </w:r>
    </w:p>
    <w:p>
      <w:pPr>
        <w:spacing w:before="60" w:after="60"/>
        <w:jc w:val="both"/>
      </w:pPr>
      <w:r>
        <w:rPr>
          <w:rFonts w:ascii="Calibri" w:cs="Calibri" w:eastAsia="Calibri" w:hAnsi="Calibri"/>
          <w:b w:val="false"/>
          <w:bCs w:val="false"/>
          <w:i w:val="false"/>
          <w:iCs w:val="false"/>
          <w:color w:val="0D0D0D"/>
          <w:sz w:val="20"/>
          <w:szCs w:val="20"/>
        </w:rPr>
        <w:t xml:space="preserve">Servicios que conforman el hub central y la conectividad entre todos los componentes de la Landing Zone.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60"/>
        <w:gridCol w:w="500"/>
        <w:gridCol w:w="1000"/>
        <w:gridCol w:w="1100"/>
        <w:gridCol w:w="1800"/>
      </w:tblGrid>
      <w:tr>
        <w:tc>
          <w:tcPr>
            <w:tcW w:type="dxa" w:w="25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Servicio Azure</w:t>
            </w:r>
          </w:p>
        </w:tc>
        <w:tc>
          <w:tcPr>
            <w:tcW w:type="dxa" w:w="246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Configuración</w:t>
            </w:r>
          </w:p>
        </w:tc>
        <w:tc>
          <w:tcPr>
            <w:tcW w:type="dxa" w:w="5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0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1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8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r>
      <w:tr>
        <w:tc>
          <w:tcPr>
            <w:tcW w:type="dxa" w:w="25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Firewall Premium</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Premium SKU — IDPS, TLS Inspection, FQDN Filtering, Threat Intel</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$1,641.60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$27,907</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Control egress obligatorio</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VPN Gateway</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VpnGw2 activo-activo — IKEv2 — 1.25 Gbps — S2S ilimitadas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$357.00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$6,069</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Conectividad híbrida on-prem</w:t>
            </w:r>
          </w:p>
        </w:tc>
      </w:tr>
      <w:tr>
        <w:tc>
          <w:tcPr>
            <w:tcW w:type="dxa" w:w="25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VNet Peering Hub ↔ Spokes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Bidireccional: Hub ↔ Corp-Prod, Corp-PreProd, Sandbox</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6</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$60.00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$1,020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Comunicación entre VNets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Private DNS Zones</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10 zonas privadas para PaaS (blob, file, vault, sql, acr…)</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$85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Resolución DNS interna</w:t>
            </w:r>
          </w:p>
        </w:tc>
      </w:tr>
      <w:tr>
        <w:tc>
          <w:tcPr>
            <w:tcW w:type="dxa" w:w="25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Private Endpoints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~30 endpoints: Storage, SQL, KV, ACR, App Service, Redis, ACI</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$219.00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$3,723</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Zero exposición pública PaaS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DDoS Protection Standard</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VNets Hub + Producción — protección volumétrica L3/L4</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$2,944.00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$50,048</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Cumplimiento CNBV</w:t>
            </w:r>
          </w:p>
        </w:tc>
      </w:tr>
      <w:tr>
        <w:tc>
          <w:tcPr>
            <w:tcW w:type="dxa" w:w="25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Bastion Standard</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Acceso RDP/SSH sin IP pública — reemplaza Jump Servers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$139.00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$2,363</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Acceso seguro a VMs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Network Watcher</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Flow Logs NSG + Connection Monitor + Traffic Analytics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$45.00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$765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Diagnóstico y auditoría</w:t>
            </w:r>
          </w:p>
        </w:tc>
      </w:tr>
      <w:tr>
        <w:tc>
          <w:tcPr>
            <w:tcW w:type="dxa" w:w="25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Tráfico de salida (egress)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2 TB/mes desde Mexico Central (primeros 10 GB gratis)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$168.58</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$2,866</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Internet + integraciones</w:t>
            </w:r>
          </w:p>
        </w:tc>
      </w:tr>
    </w:tbl>
    <w:tbl>
      <w:tblPr>
        <w:tblW w:type="dxa" w:w="9360"/>
        <w:tblBorders>
          <w:top w:val="none"/>
          <w:left w:val="none"/>
          <w:bottom w:val="none"/>
          <w:right w:val="none"/>
          <w:insideH w:val="single" w:color="auto" w:sz="4"/>
          <w:insideV w:val="single" w:color="auto" w:sz="4"/>
        </w:tblBorders>
      </w:tblPr>
      <w:tblGrid>
        <w:gridCol w:w="7260"/>
        <w:gridCol w:w="1100"/>
        <w:gridCol w:w="1000"/>
      </w:tblGrid>
      <w:tr>
        <w:tc>
          <w:tcPr>
            <w:tcW w:type="dxa" w:w="7260"/>
            <w:tcBorders>
              <w:top w:val="single" w:color="AAAAAA" w:sz="4"/>
              <w:left w:val="single" w:color="AAAAAA" w:sz="4"/>
              <w:bottom w:val="single" w:color="AAAAAA" w:sz="4"/>
              <w:right w:val="single" w:color="AAAAAA" w:sz="4"/>
            </w:tcBorders>
            <w:shd w:fill="00838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Subtotal Networking &amp; Conectividad</w:t>
            </w:r>
          </w:p>
        </w:tc>
        <w:tc>
          <w:tcPr>
            <w:tcW w:type="dxa" w:w="1100"/>
            <w:tcBorders>
              <w:top w:val="single" w:color="AAAAAA" w:sz="4"/>
              <w:left w:val="single" w:color="AAAAAA" w:sz="4"/>
              <w:bottom w:val="single" w:color="AAAAAA" w:sz="4"/>
              <w:right w:val="single" w:color="AAAAAA"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$5,579 USD</w:t>
            </w:r>
          </w:p>
        </w:tc>
        <w:tc>
          <w:tcPr>
            <w:tcW w:type="dxa" w:w="1000"/>
            <w:tcBorders>
              <w:top w:val="single" w:color="AAAAAA" w:sz="4"/>
              <w:left w:val="single" w:color="AAAAAA" w:sz="4"/>
              <w:bottom w:val="single" w:color="AAAAAA" w:sz="4"/>
              <w:right w:val="single" w:color="AAAAAA"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$94,846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7.3  Capa de Identidad &amp; Seguridad</w:t>
      </w:r>
    </w:p>
    <w:p>
      <w:pPr>
        <w:spacing w:before="60" w:after="60"/>
        <w:jc w:val="both"/>
      </w:pPr>
      <w:r>
        <w:rPr>
          <w:rFonts w:ascii="Calibri" w:cs="Calibri" w:eastAsia="Calibri" w:hAnsi="Calibri"/>
          <w:b w:val="false"/>
          <w:bCs w:val="false"/>
          <w:i w:val="false"/>
          <w:iCs w:val="false"/>
          <w:color w:val="0D0D0D"/>
          <w:sz w:val="20"/>
          <w:szCs w:val="20"/>
        </w:rPr>
        <w:t xml:space="preserve">Servicios que garantizan el control de acceso, la protección de identidades y el cumplimiento de los requerimientos de seguridad del sector financiero.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60"/>
        <w:gridCol w:w="500"/>
        <w:gridCol w:w="1000"/>
        <w:gridCol w:w="1100"/>
        <w:gridCol w:w="1800"/>
      </w:tblGrid>
      <w:tr>
        <w:tc>
          <w:tcPr>
            <w:tcW w:type="dxa" w:w="25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Servicio Azure</w:t>
            </w:r>
          </w:p>
        </w:tc>
        <w:tc>
          <w:tcPr>
            <w:tcW w:type="dxa" w:w="246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Configuración</w:t>
            </w:r>
          </w:p>
        </w:tc>
        <w:tc>
          <w:tcPr>
            <w:tcW w:type="dxa" w:w="5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0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1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8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Microsoft Entra ID P2</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PIM + Conditional Access + Identity Protection + Access Reviews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50</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$450.00</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$7,650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Admins y usuarios privilegiados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Servers P2</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MDE + Vulnerability Assessment + JIT VM Access — todas las VMs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45</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$675.00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$11,475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endpoint obligatoria</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Storage</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Detección de malware + amenazas en Storage Accounts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$50.00</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$850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almacenamiento</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SQL</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Advanced Threat Protection + Vulnerability Assessment — Azure SQL</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$1,275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bases de datos PaaS</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App Service</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Detección de amenazas en planes App Service</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$20.00</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$340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aplicaciones PaaS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Key Vault</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Alertas ante accesos anómalos a secretos y certificados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$0.10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$1.70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secretos CMK</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Defender for Containers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Seguridad de imágenes en ACR + runtime en AKS (si aplica)</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$7.00</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$119</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Protección contenedores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Microsoft Sentinel</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SIEM/SOAR — ~10 GB/día ingestión (300 GB/mes) — conectores nativos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$738.00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$12,546</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Detección y respuesta SOC</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Key Vault Premium (HSM-backed)</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10 claves CMK HSM + 50 secretos + 10 certificados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$17.00</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$289</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CMK obligatorio CNBV</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Policy (integrado)</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Incluido en todas las suscripciones de Azure</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7"/>
                <w:szCs w:val="17"/>
              </w:rPr>
              <w:t xml:space="preserve">$0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Sin costo adicional</w:t>
            </w:r>
          </w:p>
        </w:tc>
      </w:tr>
      <w:tr>
        <w:tc>
          <w:tcPr>
            <w:tcW w:type="dxa" w:w="25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Microsoft Defender for Cloud</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Plan básico gratuito + planes específicos por tipo de recurso</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Incluido</w:t>
            </w:r>
          </w:p>
        </w:tc>
        <w:tc>
          <w:tcPr>
            <w:tcW w:type="dxa" w:w="11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7"/>
                <w:szCs w:val="17"/>
              </w:rPr>
              <w:t xml:space="preserve">Incluido</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CSPM centralizado</w:t>
            </w:r>
          </w:p>
        </w:tc>
      </w:tr>
    </w:tbl>
    <w:tbl>
      <w:tblPr>
        <w:tblW w:type="dxa" w:w="9360"/>
        <w:tblBorders>
          <w:top w:val="none"/>
          <w:left w:val="none"/>
          <w:bottom w:val="none"/>
          <w:right w:val="none"/>
          <w:insideH w:val="single" w:color="auto" w:sz="4"/>
          <w:insideV w:val="single" w:color="auto" w:sz="4"/>
        </w:tblBorders>
      </w:tblPr>
      <w:tblGrid>
        <w:gridCol w:w="7260"/>
        <w:gridCol w:w="1100"/>
        <w:gridCol w:w="1000"/>
      </w:tblGrid>
      <w:tr>
        <w:tc>
          <w:tcPr>
            <w:tcW w:type="dxa" w:w="7260"/>
            <w:tcBorders>
              <w:top w:val="single" w:color="AAAAAA" w:sz="4"/>
              <w:left w:val="single" w:color="AAAAAA" w:sz="4"/>
              <w:bottom w:val="single" w:color="AAAAAA" w:sz="4"/>
              <w:right w:val="single" w:color="AAAAAA" w:sz="4"/>
            </w:tcBorders>
            <w:shd w:fill="C62828"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Subtotal Identidad &amp; Seguridad</w:t>
            </w:r>
          </w:p>
        </w:tc>
        <w:tc>
          <w:tcPr>
            <w:tcW w:type="dxa" w:w="1100"/>
            <w:tcBorders>
              <w:top w:val="single" w:color="AAAAAA" w:sz="4"/>
              <w:left w:val="single" w:color="AAAAAA" w:sz="4"/>
              <w:bottom w:val="single" w:color="AAAAAA" w:sz="4"/>
              <w:right w:val="single" w:color="AAAAAA"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$2,032 USD</w:t>
            </w:r>
          </w:p>
        </w:tc>
        <w:tc>
          <w:tcPr>
            <w:tcW w:type="dxa" w:w="1000"/>
            <w:tcBorders>
              <w:top w:val="single" w:color="AAAAAA" w:sz="4"/>
              <w:left w:val="single" w:color="AAAAAA" w:sz="4"/>
              <w:bottom w:val="single" w:color="AAAAAA" w:sz="4"/>
              <w:right w:val="single" w:color="AAAAAA"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$34,545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7.4  Capa de Cómputo (VMs e Infraestructura)</w:t>
      </w:r>
    </w:p>
    <w:p>
      <w:pPr>
        <w:spacing w:before="60" w:after="60"/>
        <w:jc w:val="both"/>
      </w:pPr>
      <w:r>
        <w:rPr>
          <w:rFonts w:ascii="Calibri" w:cs="Calibri" w:eastAsia="Calibri" w:hAnsi="Calibri"/>
          <w:b w:val="false"/>
          <w:bCs w:val="false"/>
          <w:i w:val="false"/>
          <w:iCs w:val="false"/>
          <w:color w:val="0D0D0D"/>
          <w:sz w:val="20"/>
          <w:szCs w:val="20"/>
        </w:rPr>
        <w:t xml:space="preserve">Recursos de cómputo para los ambientes de producción (con Reserved Instances) y pre-producción (PAYG con apagado automático).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60"/>
        <w:gridCol w:w="500"/>
        <w:gridCol w:w="1000"/>
        <w:gridCol w:w="1100"/>
        <w:gridCol w:w="1800"/>
      </w:tblGrid>
      <w:tr>
        <w:tc>
          <w:tcPr>
            <w:tcW w:type="dxa" w:w="25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Recurso</w:t>
            </w:r>
          </w:p>
        </w:tc>
        <w:tc>
          <w:tcPr>
            <w:tcW w:type="dxa" w:w="246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Configuración</w:t>
            </w:r>
          </w:p>
        </w:tc>
        <w:tc>
          <w:tcPr>
            <w:tcW w:type="dxa" w:w="5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0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1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8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Notas</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VMs Pre-Prod (PAYG)</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Standard_D4s_v5 — 4 vCPU / 16 GB RAM — PAYG</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$5,550.00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$94,350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Con apagado automático 20:00-08:00 → ahorro ~50%</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VMs Producción (Reserved 1y)</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Standard_D4s_v5 — Reserved Instance 1 año (35% dto.)</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15</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$1,815.00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$30,855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Vs $2,775 PAYG — ahorro $960/mes</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Discos Premium SSD P15</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256 GB — LRS — 1 disco OS + datos por VM</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45</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$1,814.40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$30,845</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Total: 45 discos para todas las VMs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VM Scale Sets</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Autoscaling para cargas PaaS variables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Sin costo adicional por el servicio VMSS</w:t>
            </w:r>
          </w:p>
        </w:tc>
      </w:tr>
      <w:tr>
        <w:tc>
          <w:tcPr>
            <w:tcW w:type="dxa" w:w="2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Automation Account</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Runbooks: apagado, arranque, rotación, limpieza</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$1.00</w:t>
            </w:r>
          </w:p>
        </w:tc>
        <w:tc>
          <w:tcPr>
            <w:tcW w:type="dxa" w:w="11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$17</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Cost muy bajo — solo por minutos de ejecución</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Migrate (evaluación)</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Herramienta de discovery y assessment para Lift &amp; Shift</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Gratuito durante la fase de evaluación</w:t>
            </w:r>
          </w:p>
        </w:tc>
      </w:tr>
    </w:tbl>
    <w:tbl>
      <w:tblPr>
        <w:tblW w:type="dxa" w:w="9360"/>
        <w:tblBorders>
          <w:top w:val="none"/>
          <w:left w:val="none"/>
          <w:bottom w:val="none"/>
          <w:right w:val="none"/>
          <w:insideH w:val="single" w:color="auto" w:sz="4"/>
          <w:insideV w:val="single" w:color="auto" w:sz="4"/>
        </w:tblBorders>
      </w:tblPr>
      <w:tblGrid>
        <w:gridCol w:w="7260"/>
        <w:gridCol w:w="1100"/>
        <w:gridCol w:w="1000"/>
      </w:tblGrid>
      <w:tr>
        <w:tc>
          <w:tcPr>
            <w:tcW w:type="dxa" w:w="7260"/>
            <w:tcBorders>
              <w:top w:val="single" w:color="AAAAAA" w:sz="4"/>
              <w:left w:val="single" w:color="AAAAAA" w:sz="4"/>
              <w:bottom w:val="single" w:color="AAAAAA" w:sz="4"/>
              <w:right w:val="single" w:color="AAAAAA" w:sz="4"/>
            </w:tcBorders>
            <w:shd w:fill="1565C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Subtotal Cómputo (con RI aplicadas)</w:t>
            </w:r>
          </w:p>
        </w:tc>
        <w:tc>
          <w:tcPr>
            <w:tcW w:type="dxa" w:w="1100"/>
            <w:tcBorders>
              <w:top w:val="single" w:color="AAAAAA" w:sz="4"/>
              <w:left w:val="single" w:color="AAAAAA" w:sz="4"/>
              <w:bottom w:val="single" w:color="AAAAAA" w:sz="4"/>
              <w:right w:val="single" w:color="AAAAAA"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$9,180 USD</w:t>
            </w:r>
          </w:p>
        </w:tc>
        <w:tc>
          <w:tcPr>
            <w:tcW w:type="dxa" w:w="1000"/>
            <w:tcBorders>
              <w:top w:val="single" w:color="AAAAAA" w:sz="4"/>
              <w:left w:val="single" w:color="AAAAAA" w:sz="4"/>
              <w:bottom w:val="single" w:color="AAAAAA" w:sz="4"/>
              <w:right w:val="single" w:color="AAAAAA"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$156,067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7.5  Capa de Monitoreo, Operaciones y DR</w:t>
      </w:r>
    </w:p>
    <w:p>
      <w:pPr>
        <w:spacing w:before="60" w:after="60"/>
        <w:jc w:val="both"/>
      </w:pPr>
      <w:r>
        <w:rPr>
          <w:rFonts w:ascii="Calibri" w:cs="Calibri" w:eastAsia="Calibri" w:hAnsi="Calibri"/>
          <w:b w:val="false"/>
          <w:bCs w:val="false"/>
          <w:i w:val="false"/>
          <w:iCs w:val="false"/>
          <w:color w:val="0D0D0D"/>
          <w:sz w:val="20"/>
          <w:szCs w:val="20"/>
        </w:rPr>
        <w:t xml:space="preserve">Servicios centrales para la observabilidad, backup y continuidad operativa requeridos tanto técnica como regulatoriamente.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60"/>
        <w:gridCol w:w="500"/>
        <w:gridCol w:w="1000"/>
        <w:gridCol w:w="1100"/>
        <w:gridCol w:w="1800"/>
      </w:tblGrid>
      <w:tr>
        <w:tc>
          <w:tcPr>
            <w:tcW w:type="dxa" w:w="25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Servicio Azure</w:t>
            </w:r>
          </w:p>
        </w:tc>
        <w:tc>
          <w:tcPr>
            <w:tcW w:type="dxa" w:w="246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Configuración</w:t>
            </w:r>
          </w:p>
        </w:tc>
        <w:tc>
          <w:tcPr>
            <w:tcW w:type="dxa" w:w="5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0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1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8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r>
      <w:tr>
        <w:tc>
          <w:tcPr>
            <w:tcW w:type="dxa" w:w="2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Log Analytics Workspace</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300 GB/mes ingestión — retención 90 días activos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$690.00</w:t>
            </w:r>
          </w:p>
        </w:tc>
        <w:tc>
          <w:tcPr>
            <w:tcW w:type="dxa" w:w="11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$11,730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Fuente central de logs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Monitor — Alertas</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~200 reglas de alerta (métricas + log queries)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$340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Alertas operativas</w:t>
            </w:r>
          </w:p>
        </w:tc>
      </w:tr>
      <w:tr>
        <w:tc>
          <w:tcPr>
            <w:tcW w:type="dxa" w:w="2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Monitor — Dashboards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Workbooks personalizados — sin costo adicional</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$0.00</w:t>
            </w:r>
          </w:p>
        </w:tc>
        <w:tc>
          <w:tcPr>
            <w:tcW w:type="dxa" w:w="11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Incluido en Monitor</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Backup para VMs</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30 VMs × 256 GB — LRS — política: 30d diario + 1yr semanal</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$750.00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$12,750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Obligatorio CNBV</w:t>
            </w:r>
          </w:p>
        </w:tc>
      </w:tr>
      <w:tr>
        <w:tc>
          <w:tcPr>
            <w:tcW w:type="dxa" w:w="2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Site Recovery</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10 VMs críticas — DR a South Central US — RTO &lt; 4h</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10</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$160.00</w:t>
            </w:r>
          </w:p>
        </w:tc>
        <w:tc>
          <w:tcPr>
            <w:tcW w:type="dxa" w:w="11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$2,720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Continuidad operativa</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Storage Account (Backup)</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GRS — datos de backup DR — 5 TB estimado</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$100.00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$1,700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Almacenamiento backup DR</w:t>
            </w:r>
          </w:p>
        </w:tc>
      </w:tr>
      <w:tr>
        <w:tc>
          <w:tcPr>
            <w:tcW w:type="dxa" w:w="2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Storage Account (Diagnóst.)</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LRS — logs de diagnóstico de todos los recursos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6</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$30.00</w:t>
            </w:r>
          </w:p>
        </w:tc>
        <w:tc>
          <w:tcPr>
            <w:tcW w:type="dxa" w:w="11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$510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Diagnostic Settings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Advisor</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Incluido — recomendaciones costo, seguridad, rendimiento</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Gratuito</w:t>
            </w:r>
          </w:p>
        </w:tc>
      </w:tr>
      <w:tr>
        <w:tc>
          <w:tcPr>
            <w:tcW w:type="dxa" w:w="2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Cost Management</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Incluido — presupuestos, alertas y reportes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$0.00</w:t>
            </w:r>
          </w:p>
        </w:tc>
        <w:tc>
          <w:tcPr>
            <w:tcW w:type="dxa" w:w="11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val="false"/>
                <w:bCs w:val="false"/>
                <w:color w:val="CFD8DC"/>
                <w:sz w:val="17"/>
                <w:szCs w:val="17"/>
              </w:rPr>
              <w:t xml:space="preserve">$0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Gratuito</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Log Analytics — Archivo</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Retención 365 días adicionales para logs regulatorios (tier archive)</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$510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Requisito CUB trazabilidad</w:t>
            </w:r>
          </w:p>
        </w:tc>
      </w:tr>
    </w:tbl>
    <w:tbl>
      <w:tblPr>
        <w:tblW w:type="dxa" w:w="9360"/>
        <w:tblBorders>
          <w:top w:val="none"/>
          <w:left w:val="none"/>
          <w:bottom w:val="none"/>
          <w:right w:val="none"/>
          <w:insideH w:val="single" w:color="auto" w:sz="4"/>
          <w:insideV w:val="single" w:color="auto" w:sz="4"/>
        </w:tblBorders>
      </w:tblPr>
      <w:tblGrid>
        <w:gridCol w:w="7260"/>
        <w:gridCol w:w="1100"/>
        <w:gridCol w:w="1000"/>
      </w:tblGrid>
      <w:tr>
        <w:tc>
          <w:tcPr>
            <w:tcW w:type="dxa" w:w="7260"/>
            <w:tcBorders>
              <w:top w:val="single" w:color="AAAAAA" w:sz="4"/>
              <w:left w:val="single" w:color="AAAAAA" w:sz="4"/>
              <w:bottom w:val="single" w:color="AAAAAA" w:sz="4"/>
              <w:right w:val="single" w:color="AAAAAA" w:sz="4"/>
            </w:tcBorders>
            <w:shd w:fill="2E7D32"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Subtotal Monitoreo, Operaciones &amp; DR</w:t>
            </w:r>
          </w:p>
        </w:tc>
        <w:tc>
          <w:tcPr>
            <w:tcW w:type="dxa" w:w="1100"/>
            <w:tcBorders>
              <w:top w:val="single" w:color="AAAAAA" w:sz="4"/>
              <w:left w:val="single" w:color="AAAAAA" w:sz="4"/>
              <w:bottom w:val="single" w:color="AAAAAA" w:sz="4"/>
              <w:right w:val="single" w:color="AAAAAA"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$1,780 USD</w:t>
            </w:r>
          </w:p>
        </w:tc>
        <w:tc>
          <w:tcPr>
            <w:tcW w:type="dxa" w:w="1000"/>
            <w:tcBorders>
              <w:top w:val="single" w:color="AAAAAA" w:sz="4"/>
              <w:left w:val="single" w:color="AAAAAA" w:sz="4"/>
              <w:bottom w:val="single" w:color="AAAAAA" w:sz="4"/>
              <w:right w:val="single" w:color="AAAAAA"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$30,260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7.6  Capa de Servicios PaaS — Plataforma Base</w:t>
      </w:r>
    </w:p>
    <w:p>
      <w:pPr>
        <w:spacing w:before="60" w:after="60"/>
        <w:jc w:val="both"/>
      </w:pPr>
      <w:r>
        <w:rPr>
          <w:rFonts w:ascii="Calibri" w:cs="Calibri" w:eastAsia="Calibri" w:hAnsi="Calibri"/>
          <w:b w:val="false"/>
          <w:bCs w:val="false"/>
          <w:i w:val="false"/>
          <w:iCs w:val="false"/>
          <w:color w:val="0D0D0D"/>
          <w:sz w:val="20"/>
          <w:szCs w:val="20"/>
        </w:rPr>
        <w:t xml:space="preserve">Servicios de plataforma administrada para las cargas de trabajo cloud-native y aplicaciones PaaS de la institución.</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60"/>
        <w:gridCol w:w="500"/>
        <w:gridCol w:w="1000"/>
        <w:gridCol w:w="1100"/>
        <w:gridCol w:w="1800"/>
      </w:tblGrid>
      <w:tr>
        <w:tc>
          <w:tcPr>
            <w:tcW w:type="dxa" w:w="250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Servicio Azure</w:t>
            </w:r>
          </w:p>
        </w:tc>
        <w:tc>
          <w:tcPr>
            <w:tcW w:type="dxa" w:w="246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Configuración</w:t>
            </w:r>
          </w:p>
        </w:tc>
        <w:tc>
          <w:tcPr>
            <w:tcW w:type="dxa" w:w="50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00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10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800"/>
            <w:tcBorders>
              <w:top w:val="single" w:color="1565C0" w:sz="4"/>
              <w:left w:val="single" w:color="1565C0" w:sz="4"/>
              <w:bottom w:val="single" w:color="1565C0" w:sz="4"/>
              <w:right w:val="single" w:color="1565C0"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r>
      <w:tr>
        <w:tc>
          <w:tcPr>
            <w:tcW w:type="dxa" w:w="25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App Service Plan P2v3</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Plan Premium v3 — 2 vCPU / 8 GB RAM</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$300.00</w:t>
            </w:r>
          </w:p>
        </w:tc>
        <w:tc>
          <w:tcPr>
            <w:tcW w:type="dxa" w:w="11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$5,100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Prod + PreProd — apps web/API</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SQL Database</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General Purpose — 2 vCore — 32 GB — LRS — Zone Redundant</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$740.00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$12,580</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Bases de datos PaaS reguladas</w:t>
            </w:r>
          </w:p>
        </w:tc>
      </w:tr>
      <w:tr>
        <w:tc>
          <w:tcPr>
            <w:tcW w:type="dxa" w:w="25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Container Registry</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Standard tier — 100 GB almacenamiento — geo-replicación</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$20.00</w:t>
            </w:r>
          </w:p>
        </w:tc>
        <w:tc>
          <w:tcPr>
            <w:tcW w:type="dxa" w:w="11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$340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Imágenes cloud-native / microservicios</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Cache for Redis C1</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1 GB cache — Standard tier — TLS enabled</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$55.00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$935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Caché de sesiones / performance</w:t>
            </w:r>
          </w:p>
        </w:tc>
      </w:tr>
      <w:tr>
        <w:tc>
          <w:tcPr>
            <w:tcW w:type="dxa" w:w="25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Service Bus Standard</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Mensajería asíncrona entre microservicios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$10.00</w:t>
            </w:r>
          </w:p>
        </w:tc>
        <w:tc>
          <w:tcPr>
            <w:tcW w:type="dxa" w:w="11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$170</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Integración event-driven</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API Management</w:t>
            </w:r>
          </w:p>
        </w:tc>
        <w:tc>
          <w:tcPr>
            <w:tcW w:type="dxa" w:w="24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Developer tier → migrar a Basic en producción</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$49.00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$833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Gateway de APIs reguladas</w:t>
            </w:r>
          </w:p>
        </w:tc>
      </w:tr>
      <w:tr>
        <w:tc>
          <w:tcPr>
            <w:tcW w:type="dxa" w:w="25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7"/>
                <w:szCs w:val="17"/>
              </w:rPr>
              <w:t xml:space="preserve">Azure Static Web Apps</w:t>
            </w:r>
          </w:p>
        </w:tc>
        <w:tc>
          <w:tcPr>
            <w:tcW w:type="dxa" w:w="24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Plan Standard — hosting de frontends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$18.00</w:t>
            </w:r>
          </w:p>
        </w:tc>
        <w:tc>
          <w:tcPr>
            <w:tcW w:type="dxa" w:w="11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$306</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Portales y dashboards</w:t>
            </w:r>
          </w:p>
        </w:tc>
      </w:tr>
    </w:tbl>
    <w:tbl>
      <w:tblPr>
        <w:tblW w:type="dxa" w:w="9360"/>
        <w:tblBorders>
          <w:top w:val="none"/>
          <w:left w:val="none"/>
          <w:bottom w:val="none"/>
          <w:right w:val="none"/>
          <w:insideH w:val="single" w:color="auto" w:sz="4"/>
          <w:insideV w:val="single" w:color="auto" w:sz="4"/>
        </w:tblBorders>
      </w:tblPr>
      <w:tblGrid>
        <w:gridCol w:w="7260"/>
        <w:gridCol w:w="1100"/>
        <w:gridCol w:w="1000"/>
      </w:tblGrid>
      <w:tr>
        <w:tc>
          <w:tcPr>
            <w:tcW w:type="dxa" w:w="7260"/>
            <w:tcBorders>
              <w:top w:val="single" w:color="AAAAAA" w:sz="4"/>
              <w:left w:val="single" w:color="AAAAAA" w:sz="4"/>
              <w:bottom w:val="single" w:color="AAAAAA" w:sz="4"/>
              <w:right w:val="single" w:color="AAAAAA" w:sz="4"/>
            </w:tcBorders>
            <w:shd w:fill="E65100"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9"/>
                <w:szCs w:val="19"/>
              </w:rPr>
              <w:t xml:space="preserve">Subtotal Servicios PaaS Base</w:t>
            </w:r>
          </w:p>
        </w:tc>
        <w:tc>
          <w:tcPr>
            <w:tcW w:type="dxa" w:w="1100"/>
            <w:tcBorders>
              <w:top w:val="single" w:color="AAAAAA" w:sz="4"/>
              <w:left w:val="single" w:color="AAAAAA" w:sz="4"/>
              <w:bottom w:val="single" w:color="AAAAAA" w:sz="4"/>
              <w:right w:val="single" w:color="AAAAAA"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$1,192 USD</w:t>
            </w:r>
          </w:p>
        </w:tc>
        <w:tc>
          <w:tcPr>
            <w:tcW w:type="dxa" w:w="1000"/>
            <w:tcBorders>
              <w:top w:val="single" w:color="AAAAAA" w:sz="4"/>
              <w:left w:val="single" w:color="AAAAAA" w:sz="4"/>
              <w:bottom w:val="single" w:color="AAAAAA" w:sz="4"/>
              <w:right w:val="single" w:color="AAAAAA" w:sz="4"/>
            </w:tcBorders>
            <w:shd w:fill="E6510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$20,264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7.7  Resumen Consolidado de Costos Azure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0D2137" w:sz="8"/>
          <w:left w:val="single" w:color="0D2137" w:sz="8"/>
          <w:bottom w:val="single" w:color="0D2137" w:sz="8"/>
          <w:right w:val="single" w:color="0D2137" w:sz="8"/>
          <w:insideH w:val="single" w:color="auto" w:sz="4"/>
          <w:insideV w:val="single" w:color="auto" w:sz="4"/>
        </w:tblBorders>
      </w:tblPr>
      <w:tblGrid>
        <w:gridCol w:w="4860"/>
        <w:gridCol w:w="1700"/>
        <w:gridCol w:w="1600"/>
        <w:gridCol w:w="1200"/>
      </w:tblGrid>
      <w:tr>
        <w:tc>
          <w:tcPr>
            <w:tcW w:type="dxa" w:w="48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Categoría</w:t>
            </w:r>
          </w:p>
        </w:tc>
        <w:tc>
          <w:tcPr>
            <w:tcW w:type="dxa" w:w="1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1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 del Total</w:t>
            </w:r>
          </w:p>
        </w:tc>
      </w:tr>
      <w:tr>
        <w:tc>
          <w:tcPr>
            <w:tcW w:type="dxa" w:w="4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 Networking &amp; Conectividad</w:t>
            </w:r>
          </w:p>
        </w:tc>
        <w:tc>
          <w:tcPr>
            <w:tcW w:type="dxa" w:w="1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8"/>
                <w:szCs w:val="18"/>
              </w:rPr>
              <w:t xml:space="preserve">$5,579</w:t>
            </w:r>
          </w:p>
        </w:tc>
        <w:tc>
          <w:tcPr>
            <w:tcW w:type="dxa" w:w="1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8"/>
                <w:szCs w:val="18"/>
              </w:rPr>
              <w:t xml:space="preserve">$94,846</w:t>
            </w:r>
          </w:p>
        </w:tc>
        <w:tc>
          <w:tcPr>
            <w:tcW w:type="dxa" w:w="12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31.1%</w:t>
            </w:r>
          </w:p>
        </w:tc>
      </w:tr>
      <w:tr>
        <w:tc>
          <w:tcPr>
            <w:tcW w:type="dxa" w:w="4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 Identidad &amp; Seguridad</w:t>
            </w:r>
          </w:p>
        </w:tc>
        <w:tc>
          <w:tcPr>
            <w:tcW w:type="dxa" w:w="1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8"/>
                <w:szCs w:val="18"/>
              </w:rPr>
              <w:t xml:space="preserve">$2,032</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8"/>
                <w:szCs w:val="18"/>
              </w:rPr>
              <w:t xml:space="preserve">$34,545</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11.3%</w:t>
            </w:r>
          </w:p>
        </w:tc>
      </w:tr>
      <w:tr>
        <w:tc>
          <w:tcPr>
            <w:tcW w:type="dxa" w:w="4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 Cómputo (VMs con RI)</w:t>
            </w:r>
          </w:p>
        </w:tc>
        <w:tc>
          <w:tcPr>
            <w:tcW w:type="dxa" w:w="1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8"/>
                <w:szCs w:val="18"/>
              </w:rPr>
              <w:t xml:space="preserve">$9,180</w:t>
            </w:r>
          </w:p>
        </w:tc>
        <w:tc>
          <w:tcPr>
            <w:tcW w:type="dxa" w:w="1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8"/>
                <w:szCs w:val="18"/>
              </w:rPr>
              <w:t xml:space="preserve">$156,067</w:t>
            </w:r>
          </w:p>
        </w:tc>
        <w:tc>
          <w:tcPr>
            <w:tcW w:type="dxa" w:w="12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51.2%</w:t>
            </w:r>
          </w:p>
        </w:tc>
      </w:tr>
      <w:tr>
        <w:tc>
          <w:tcPr>
            <w:tcW w:type="dxa" w:w="4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 Monitoreo, Ops &amp; DR</w:t>
            </w:r>
          </w:p>
        </w:tc>
        <w:tc>
          <w:tcPr>
            <w:tcW w:type="dxa" w:w="1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8"/>
                <w:szCs w:val="18"/>
              </w:rPr>
              <w:t xml:space="preserve">$1,780</w:t>
            </w:r>
          </w:p>
        </w:tc>
        <w:tc>
          <w:tcPr>
            <w:tcW w:type="dxa" w:w="1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8"/>
                <w:szCs w:val="18"/>
              </w:rPr>
              <w:t xml:space="preserve">$30,260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9.9%</w:t>
            </w:r>
          </w:p>
        </w:tc>
      </w:tr>
      <w:tr>
        <w:tc>
          <w:tcPr>
            <w:tcW w:type="dxa" w:w="4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 PaaS — Servicios Base</w:t>
            </w:r>
          </w:p>
        </w:tc>
        <w:tc>
          <w:tcPr>
            <w:tcW w:type="dxa" w:w="1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8"/>
                <w:szCs w:val="18"/>
              </w:rPr>
              <w:t xml:space="preserve">$1,192</w:t>
            </w:r>
          </w:p>
        </w:tc>
        <w:tc>
          <w:tcPr>
            <w:tcW w:type="dxa" w:w="1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8"/>
                <w:szCs w:val="18"/>
              </w:rPr>
              <w:t xml:space="preserve">$20,264</w:t>
            </w:r>
          </w:p>
        </w:tc>
        <w:tc>
          <w:tcPr>
            <w:tcW w:type="dxa" w:w="12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6.6%</w:t>
            </w:r>
          </w:p>
        </w:tc>
      </w:tr>
      <w:tr>
        <w:tc>
          <w:tcPr>
            <w:tcW w:type="dxa" w:w="4860"/>
            <w:tcBorders>
              <w:top w:val="single" w:color="AAAAAA" w:sz="4"/>
              <w:left w:val="single" w:color="AAAAAA" w:sz="4"/>
              <w:bottom w:val="single" w:color="AAAAAA" w:sz="4"/>
              <w:right w:val="single" w:color="AAAAAA" w:sz="4"/>
            </w:tcBorders>
            <w:shd w:fill="455A64"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18"/>
                <w:szCs w:val="18"/>
              </w:rPr>
              <w:t xml:space="preserve">SUBTOTAL PAYG (sin Reserved Instances)</w:t>
            </w:r>
          </w:p>
        </w:tc>
        <w:tc>
          <w:tcPr>
            <w:tcW w:type="dxa" w:w="1700"/>
            <w:tcBorders>
              <w:top w:val="single" w:color="AAAAAA" w:sz="4"/>
              <w:left w:val="single" w:color="AAAAAA" w:sz="4"/>
              <w:bottom w:val="single" w:color="AAAAAA" w:sz="4"/>
              <w:right w:val="single" w:color="AAAAAA"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9A825"/>
                <w:sz w:val="18"/>
                <w:szCs w:val="18"/>
              </w:rPr>
              <w:t xml:space="preserve">~$19,763 USD</w:t>
            </w:r>
          </w:p>
        </w:tc>
        <w:tc>
          <w:tcPr>
            <w:tcW w:type="dxa" w:w="1600"/>
            <w:tcBorders>
              <w:top w:val="single" w:color="AAAAAA" w:sz="4"/>
              <w:left w:val="single" w:color="AAAAAA" w:sz="4"/>
              <w:bottom w:val="single" w:color="AAAAAA" w:sz="4"/>
              <w:right w:val="single" w:color="AAAAAA"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9A825"/>
                <w:sz w:val="18"/>
                <w:szCs w:val="18"/>
              </w:rPr>
              <w:t xml:space="preserve">~$335,982 MXN</w:t>
            </w:r>
          </w:p>
        </w:tc>
        <w:tc>
          <w:tcPr>
            <w:tcW w:type="dxa" w:w="1200"/>
            <w:tcBorders>
              <w:top w:val="single" w:color="AAAAAA" w:sz="4"/>
              <w:left w:val="single" w:color="AAAAAA" w:sz="4"/>
              <w:bottom w:val="single" w:color="AAAAAA" w:sz="4"/>
              <w:right w:val="single" w:color="AAAAAA"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100%</w:t>
            </w:r>
          </w:p>
        </w:tc>
      </w:tr>
      <w:tr>
        <w:tc>
          <w:tcPr>
            <w:tcW w:type="dxa" w:w="486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2E7D32"/>
                <w:sz w:val="18"/>
                <w:szCs w:val="18"/>
              </w:rPr>
              <w:t xml:space="preserve">(-) Ahorro Reserved Instances 1 año — VMs Producción</w:t>
            </w:r>
          </w:p>
        </w:tc>
        <w:tc>
          <w:tcPr>
            <w:tcW w:type="dxa" w:w="17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-$960 USD</w:t>
            </w:r>
          </w:p>
        </w:tc>
        <w:tc>
          <w:tcPr>
            <w:tcW w:type="dxa" w:w="16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-$16,320 MXN</w:t>
            </w:r>
          </w:p>
        </w:tc>
        <w:tc>
          <w:tcPr>
            <w:tcW w:type="dxa" w:w="12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w:r>
          </w:p>
        </w:tc>
      </w:tr>
      <w:tr>
        <w:tc>
          <w:tcPr>
            <w:tcW w:type="dxa" w:w="486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2E7D32"/>
                <w:sz w:val="18"/>
                <w:szCs w:val="18"/>
              </w:rPr>
              <w:t xml:space="preserve">(-) Ahorro apagado automático VMs Pre-Prod (~50% en cómputo pre-prod)</w:t>
            </w:r>
          </w:p>
        </w:tc>
        <w:tc>
          <w:tcPr>
            <w:tcW w:type="dxa" w:w="17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-$2,775 USD</w:t>
            </w:r>
          </w:p>
        </w:tc>
        <w:tc>
          <w:tcPr>
            <w:tcW w:type="dxa" w:w="16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-$47,175 MXN</w:t>
            </w:r>
          </w:p>
        </w:tc>
        <w:tc>
          <w:tcPr>
            <w:tcW w:type="dxa" w:w="12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w:r>
          </w:p>
        </w:tc>
      </w:tr>
      <w:tr>
        <w:tc>
          <w:tcPr>
            <w:tcW w:type="dxa" w:w="486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21"/>
                <w:szCs w:val="21"/>
              </w:rPr>
              <w:t xml:space="preserve">✅  TOTAL ESTIMADO MENSUAL OPTIMIZADO</w:t>
            </w:r>
          </w:p>
        </w:tc>
        <w:tc>
          <w:tcPr>
            <w:tcW w:type="dxa" w:w="17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1"/>
                <w:szCs w:val="21"/>
              </w:rPr>
              <w:t xml:space="preserve">~$16,028 USD</w:t>
            </w:r>
          </w:p>
        </w:tc>
        <w:tc>
          <w:tcPr>
            <w:tcW w:type="dxa" w:w="1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1"/>
                <w:szCs w:val="21"/>
              </w:rPr>
              <w:t xml:space="preserve">~$272,487 MXN</w:t>
            </w:r>
          </w:p>
        </w:tc>
        <w:tc>
          <w:tcPr>
            <w:tcW w:type="dxa" w:w="12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w:r>
          </w:p>
        </w:tc>
      </w:tr>
      <w:tr>
        <w:tc>
          <w:tcPr>
            <w:tcW w:type="dxa" w:w="48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20"/>
                <w:szCs w:val="20"/>
              </w:rPr>
              <w:t xml:space="preserve">PROYECCIÓN ANUAL OPTIMIZADA (× 12 meses)</w:t>
            </w:r>
          </w:p>
        </w:tc>
        <w:tc>
          <w:tcPr>
            <w:tcW w:type="dxa" w:w="1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D2137"/>
                <w:sz w:val="20"/>
                <w:szCs w:val="20"/>
              </w:rPr>
              <w:t xml:space="preserve">~$192,336 USD</w:t>
            </w:r>
          </w:p>
        </w:tc>
        <w:tc>
          <w:tcPr>
            <w:tcW w:type="dxa" w:w="1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D2137"/>
                <w:sz w:val="20"/>
                <w:szCs w:val="20"/>
              </w:rPr>
              <w:t xml:space="preserve">~$3,269,844 MXN</w:t>
            </w:r>
          </w:p>
        </w:tc>
        <w:tc>
          <w:tcPr>
            <w:tcW w:type="dxa" w:w="12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7.8  Oportunidades de Optimización de Costos</w:t>
      </w:r>
    </w:p>
    <w:p>
      <w:pPr>
        <w:spacing w:before="60" w:after="60"/>
        <w:jc w:val="both"/>
      </w:pPr>
      <w:r>
        <w:rPr>
          <w:rFonts w:ascii="Calibri" w:cs="Calibri" w:eastAsia="Calibri" w:hAnsi="Calibri"/>
          <w:b w:val="false"/>
          <w:bCs w:val="false"/>
          <w:i w:val="false"/>
          <w:iCs w:val="false"/>
          <w:color w:val="0D0D0D"/>
          <w:sz w:val="20"/>
          <w:szCs w:val="20"/>
        </w:rPr>
        <w:t xml:space="preserve">El proveedor implementará proactivamente las siguientes prácticas FinOps para maximizar el valor de la inversión cloud desde el primer mes: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960"/>
        <w:gridCol w:w="1200"/>
        <w:gridCol w:w="1900"/>
      </w:tblGrid>
      <w:tr>
        <w:tc>
          <w:tcPr>
            <w:tcW w:type="dxa" w:w="28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Acción FinOps</w:t>
            </w:r>
          </w:p>
        </w:tc>
        <w:tc>
          <w:tcPr>
            <w:tcW w:type="dxa" w:w="15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Ahorro Estimado</w:t>
            </w:r>
          </w:p>
        </w:tc>
        <w:tc>
          <w:tcPr>
            <w:tcW w:type="dxa" w:w="196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Cuándo Aplicar</w:t>
            </w:r>
          </w:p>
        </w:tc>
        <w:tc>
          <w:tcPr>
            <w:tcW w:type="dxa" w:w="12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Complejidad</w:t>
            </w:r>
          </w:p>
        </w:tc>
        <w:tc>
          <w:tcPr>
            <w:tcW w:type="dxa" w:w="19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Responsable</w:t>
            </w:r>
          </w:p>
        </w:tc>
      </w:tr>
      <w:tr>
        <w:tc>
          <w:tcPr>
            <w:tcW w:type="dxa" w:w="2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Reserved Instances 1 año (VMs Prod)</w:t>
            </w:r>
          </w:p>
        </w:tc>
        <w:tc>
          <w:tcPr>
            <w:tcW w:type="dxa" w:w="1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~35% cómputo prod</w:t>
            </w:r>
          </w:p>
        </w:tc>
        <w:tc>
          <w:tcPr>
            <w:tcW w:type="dxa" w:w="1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Mes 2–3 (post baseline)</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Baja ⭐</w:t>
            </w:r>
          </w:p>
        </w:tc>
        <w:tc>
          <w:tcPr>
            <w:tcW w:type="dxa" w:w="1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Consultor FinOps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Azure Hybrid Benefit (licencias Windows)</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~15–20% VMs Windows</w:t>
            </w:r>
          </w:p>
        </w:tc>
        <w:tc>
          <w:tcPr>
            <w:tcW w:type="dxa" w:w="1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Desde el inicio</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Baja ⭐</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Arquitecto + FinOps</w:t>
            </w:r>
          </w:p>
        </w:tc>
      </w:tr>
      <w:tr>
        <w:tc>
          <w:tcPr>
            <w:tcW w:type="dxa" w:w="2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Apagado automático Pre-Prod (20:00–08:00h)</w:t>
            </w:r>
          </w:p>
        </w:tc>
        <w:tc>
          <w:tcPr>
            <w:tcW w:type="dxa" w:w="1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~50% cómputo pre-prod</w:t>
            </w:r>
          </w:p>
        </w:tc>
        <w:tc>
          <w:tcPr>
            <w:tcW w:type="dxa" w:w="1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F5 — Semana 10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Baja ⭐</w:t>
            </w:r>
          </w:p>
        </w:tc>
        <w:tc>
          <w:tcPr>
            <w:tcW w:type="dxa" w:w="1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Ing. DevOps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Rightsizing post 90 días de métricas</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10–20% VMs sobredim.</w:t>
            </w:r>
          </w:p>
        </w:tc>
        <w:tc>
          <w:tcPr>
            <w:tcW w:type="dxa" w:w="1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Mes 4 (con datos reales)</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Media ⭐⭐</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Arquitecto + FinOps</w:t>
            </w:r>
          </w:p>
        </w:tc>
      </w:tr>
      <w:tr>
        <w:tc>
          <w:tcPr>
            <w:tcW w:type="dxa" w:w="2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Reserved Instances 1 año (App Service P2v3)</w:t>
            </w:r>
          </w:p>
        </w:tc>
        <w:tc>
          <w:tcPr>
            <w:tcW w:type="dxa" w:w="1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~35% planes App Service</w:t>
            </w:r>
          </w:p>
        </w:tc>
        <w:tc>
          <w:tcPr>
            <w:tcW w:type="dxa" w:w="1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Mes 3–6 post-estabilización</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Baja ⭐</w:t>
            </w:r>
          </w:p>
        </w:tc>
        <w:tc>
          <w:tcPr>
            <w:tcW w:type="dxa" w:w="1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Consultor FinOps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Sentinel — optimización de ingestión</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~20% volumen logs</w:t>
            </w:r>
          </w:p>
        </w:tc>
        <w:tc>
          <w:tcPr>
            <w:tcW w:type="dxa" w:w="1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Mes 2 (tuning reglas DCR)</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Media ⭐⭐</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Especialista Seguridad</w:t>
            </w:r>
          </w:p>
        </w:tc>
      </w:tr>
      <w:tr>
        <w:tc>
          <w:tcPr>
            <w:tcW w:type="dxa" w:w="28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DDoS — compartir plan entre VNets</w:t>
            </w:r>
          </w:p>
        </w:tc>
        <w:tc>
          <w:tcPr>
            <w:tcW w:type="dxa" w:w="15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Reducir instancias</w:t>
            </w:r>
          </w:p>
        </w:tc>
        <w:tc>
          <w:tcPr>
            <w:tcW w:type="dxa" w:w="1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Desde el inicio</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Baja ⭐</w:t>
            </w:r>
          </w:p>
        </w:tc>
        <w:tc>
          <w:tcPr>
            <w:tcW w:type="dxa" w:w="1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Ing. Red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Savings Plans — cargas dinámicas PaaS</w:t>
            </w:r>
          </w:p>
        </w:tc>
        <w:tc>
          <w:tcPr>
            <w:tcW w:type="dxa" w:w="1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7"/>
                <w:szCs w:val="17"/>
              </w:rPr>
              <w:t xml:space="preserve">5–10% servicios variables</w:t>
            </w:r>
          </w:p>
        </w:tc>
        <w:tc>
          <w:tcPr>
            <w:tcW w:type="dxa" w:w="1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6"/>
                <w:szCs w:val="16"/>
              </w:rPr>
              <w:t xml:space="preserve">Mes 6 (patrón estable)</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6"/>
                <w:szCs w:val="16"/>
              </w:rPr>
              <w:t xml:space="preserve">Media ⭐⭐</w:t>
            </w:r>
          </w:p>
        </w:tc>
        <w:tc>
          <w:tcPr>
            <w:tcW w:type="dxa" w:w="1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6"/>
                <w:szCs w:val="16"/>
              </w:rPr>
              <w:t xml:space="preserve">Consultor FinOps</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F9A825"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FDE7" w:val="clear"/>
            <w:tcMar>
              <w:top w:type="dxa" w:w="140"/>
              <w:left w:type="dxa" w:w="200"/>
              <w:bottom w:type="dxa" w:w="140"/>
              <w:right w:type="dxa" w:w="200"/>
            </w:tcMar>
          </w:tcPr>
          <w:p>
            <w:pPr>
              <w:spacing w:before="0" w:after="60"/>
            </w:pPr>
            <w:r>
              <w:rPr>
                <w:rFonts w:ascii="Calibri" w:cs="Calibri" w:eastAsia="Calibri" w:hAnsi="Calibri"/>
                <w:b/>
                <w:bCs/>
                <w:color w:val="F9A825"/>
                <w:sz w:val="21"/>
                <w:szCs w:val="21"/>
              </w:rPr>
              <w:t xml:space="preserve">🔗 Calculadora Oficial Azure:  </w:t>
            </w:r>
            <w:r>
              <w:rPr>
                <w:rFonts w:ascii="Calibri" w:cs="Calibri" w:eastAsia="Calibri" w:hAnsi="Calibri"/>
                <w:color w:val="0D0D0D"/>
                <w:sz w:val="20"/>
                <w:szCs w:val="20"/>
              </w:rPr>
              <w:t xml:space="preserve">Para validar y personalizar esta estimación con los servicios exactos requeridos, se recomienda usar la Calculadora de Precios de Azure: https://azure.microsoft.com/es-mx/pricing/calculator/  —  Durante la Fase 1 (Discovery) el proveedor generará una estimación actualizada basada en el inventario real de la institución.</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08</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Entregables y Criterios de Aceptación</w:t>
            </w:r>
          </w:p>
          <w:p>
            <w:pPr>
              <w:spacing w:before="0" w:after="0"/>
            </w:pPr>
            <w:r>
              <w:rPr>
                <w:rFonts w:ascii="Calibri" w:cs="Calibri" w:eastAsia="Calibri" w:hAnsi="Calibri"/>
                <w:i/>
                <w:iCs/>
                <w:color w:val="BBDEFB"/>
                <w:sz w:val="18"/>
                <w:szCs w:val="18"/>
              </w:rPr>
              <w:t xml:space="preserve">Qué recibirá la institución al término del proyecto</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700"/>
        <w:gridCol w:w="1800"/>
      </w:tblGrid>
      <w:tr>
        <w:tc>
          <w:tcPr>
            <w:tcW w:type="dxa" w:w="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w:t>
            </w:r>
          </w:p>
        </w:tc>
        <w:tc>
          <w:tcPr>
            <w:tcW w:type="dxa" w:w="2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Entregable</w:t>
            </w:r>
          </w:p>
        </w:tc>
        <w:tc>
          <w:tcPr>
            <w:tcW w:type="dxa" w:w="3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Fase</w:t>
            </w:r>
          </w:p>
        </w:tc>
        <w:tc>
          <w:tcPr>
            <w:tcW w:type="dxa" w:w="1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Criterio de Aceptación</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E-01</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Documento de Arquitectura ALZ (HLD/LLD)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Diagramas de alto y bajo nivel, decisions de diseño (ADRs), topología de red detallada.</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F2</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Aprobado por TI de la institución</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E-02</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Módulos IaC (Bicep / Terraform)</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Repositorio Git con módulos probados para MGs, suscripciones, red, identidad, seguridad y monitoreo.</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PR aprobado + pipeline verde</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E-03</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Pipelines CI/CD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Azure DevOps o GitHub Actions para despliegue automatizado y drift detection.</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F3</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Deploy exitoso en sandbox</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E-04</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Matriz de Gobernanza</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RACI, modelo RBAC documentado, catálogo de Azure Policies con justificación.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F2-3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Revisada por Cumplimiento</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E-05</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Evidencias Regulatorias CNBV/CUB</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Mapeo de controles técnicos, capturas de configuración, reporte de compliance de Azure Policy.</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F4-6</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Firmado por área de Cumplimiento</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E-06</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Runbooks Operativos</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Procedimientos para: gestión de incidentes, cambios, backups, alta de nuevas cargas, rotación de claves.</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F6-7</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Revisados y aprobados por Operaciones TI</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E-07</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Plan de Disaster Recovery</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RTO/RPO por tipo de carga, procedimientos de failover, pruebas documentadas.</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F5</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Prueba de failover exitosa</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E-08</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Informe de Pruebas UAT</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Casos de prueba ejecutados, resultados, issues encontrados y plan de remediación.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F6</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Sign-off de TI de la institución</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E-09</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Dashboards Operativos (Azure Workbooks)</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3 workbooks: Seguridad, Operaciones y FinOps. Acceso a todo el equipo de TI.</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F5</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Demo en vivo aprobada</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E-10</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Material de Capacitación</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2 talleres presenciales/virtuales con material, laboratorios prácticos y evaluación.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F7</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Evaluación ≥ 80% del equipo</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09</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Siguientes Pasos</w:t>
            </w:r>
          </w:p>
          <w:p>
            <w:pPr>
              <w:spacing w:before="0" w:after="0"/>
            </w:pPr>
            <w:r>
              <w:rPr>
                <w:rFonts w:ascii="Calibri" w:cs="Calibri" w:eastAsia="Calibri" w:hAnsi="Calibri"/>
                <w:i/>
                <w:iCs/>
                <w:color w:val="BBDEFB"/>
                <w:sz w:val="18"/>
                <w:szCs w:val="18"/>
              </w:rPr>
              <w:t xml:space="preserve">Cómo avanzar hacia el inicio del proyecto</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300"/>
        <w:gridCol w:w="2300"/>
      </w:tblGrid>
      <w:tr>
        <w:tc>
          <w:tcPr>
            <w:tcW w:type="dxa" w:w="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Paso</w:t>
            </w:r>
          </w:p>
        </w:tc>
        <w:tc>
          <w:tcPr>
            <w:tcW w:type="dxa" w:w="4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Acción Requerida</w:t>
            </w:r>
          </w:p>
        </w:tc>
        <w:tc>
          <w:tcPr>
            <w:tcW w:type="dxa" w:w="2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Responsable</w:t>
            </w:r>
          </w:p>
        </w:tc>
        <w:tc>
          <w:tcPr>
            <w:tcW w:type="dxa" w:w="2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Plazo Sugerido</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1</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Revisión interna de la propuesta por parte de TI, Seguridad y Cumplimiento de la institución.</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Institución</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3–5 días hábiles</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2</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Sesión de Q&amp;A técnica: aclaración de dudas sobre alcance, arquitectura y metodología.</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 + Institución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Día 5–7</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3</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Aprobación formal de la propuesta técnica y económica por parte del comité de evaluación.</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Institución (Compras + TI)</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Según calendario RFP</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4</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Firma del contrato de servicios y NDA. Designación del sponsor ejecutivo y responsable técnico de la institución.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Áreas legales y dirección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Post-adjudicación</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5</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Kick-off del proyecto: validación de supuestos, agenda de la Fase 1 y accesos de plataforma.</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 + Equipo Institución</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Semana 1</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6</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Inicio de la Fase 1 — Discovery &amp; Assessment.</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Semana 1–2</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D2137" w:val="clear"/>
            <w:tcMar>
              <w:top w:type="dxa" w:w="320"/>
              <w:left w:type="dxa" w:w="400"/>
              <w:bottom w:type="dxa" w:w="320"/>
              <w:right w:type="dxa" w:w="400"/>
            </w:tcMar>
          </w:tcPr>
          <w:p>
            <w:pPr>
              <w:spacing w:before="0" w:after="80"/>
              <w:jc w:val="center"/>
            </w:pPr>
            <w:r>
              <w:rPr>
                <w:rFonts w:ascii="Calibri" w:cs="Calibri" w:eastAsia="Calibri" w:hAnsi="Calibri"/>
                <w:b/>
                <w:bCs/>
                <w:color w:val="FFFFFF"/>
                <w:sz w:val="32"/>
                <w:szCs w:val="32"/>
              </w:rPr>
              <w:t xml:space="preserve">¿Listo para avanzar?</w:t>
            </w:r>
          </w:p>
          <w:p>
            <w:pPr>
              <w:spacing w:before="0" w:after="80"/>
              <w:jc w:val="center"/>
            </w:pPr>
            <w:r>
              <w:rPr>
                <w:rFonts w:ascii="Calibri" w:cs="Calibri" w:eastAsia="Calibri" w:hAnsi="Calibri"/>
                <w:color w:val="BBDEFB"/>
                <w:sz w:val="22"/>
                <w:szCs w:val="22"/>
              </w:rPr>
              <w:t xml:space="preserve">Contáctanos para agendar la sesión de Q&amp;A técnica</w:t>
            </w:r>
          </w:p>
          <w:p>
            <w:pPr>
              <w:spacing w:before="80" w:after="40"/>
              <w:jc w:val="center"/>
            </w:pPr>
            <w:r>
              <w:rPr>
                <w:rFonts w:ascii="Calibri" w:cs="Calibri" w:eastAsia="Calibri" w:hAnsi="Calibri"/>
                <w:b/>
                <w:bCs/>
                <w:color w:val="F9A825"/>
                <w:sz w:val="20"/>
                <w:szCs w:val="20"/>
              </w:rPr>
              <w:t xml:space="preserve">[nombre@empresa.com.mx]   ·   [+52 55 XXXX-XXXX]   ·   [www.empresa.com.mx]</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79D9" w:sz="8" w:space="4"/>
      </w:pBdr>
      <w:tabs>
        <w:tab w:val="right" w:pos="9360"/>
      </w:tabs>
      <w:spacing w:before="80" w:after="0"/>
    </w:pPr>
    <w:r>
      <w:rPr>
        <w:rFonts w:ascii="Calibri" w:cs="Calibri" w:eastAsia="Calibri" w:hAnsi="Calibri"/>
        <w:color w:val="455A64"/>
        <w:sz w:val="16"/>
        <w:szCs w:val="16"/>
      </w:rPr>
      <w:t xml:space="preserve">[INSTITUCIÓN]  ·  RFP Cloud Service Provider  ·  2025</w:t>
    </w:r>
    <w:r>
      <w:rPr>
        <w:sz w:val="16"/>
        <w:szCs w:val="16"/>
      </w:rPr>
      <w:t xml:space="preserve">	</w:t>
    </w:r>
    <w:r>
      <w:rPr>
        <w:rFonts w:ascii="Calibri" w:cs="Calibri" w:eastAsia="Calibri" w:hAnsi="Calibri"/>
        <w:color w:val="455A64"/>
        <w:sz w:val="16"/>
        <w:szCs w:val="16"/>
      </w:rPr>
      <w:t xml:space="preserve">Página </w:t>
    </w:r>
    <w:fldSimple w:instr="PAGE"/>
    <w:r>
      <w:rPr>
        <w:rFonts w:ascii="Calibri" w:cs="Calibri" w:eastAsia="Calibri" w:hAnsi="Calibri"/>
        <w:color w:val="455A64"/>
        <w:sz w:val="16"/>
        <w:szCs w:val="16"/>
      </w:rPr>
      <w:t xml:space="preserve"> de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79D9" w:sz="8" w:space="4"/>
      </w:pBdr>
      <w:tabs>
        <w:tab w:val="right" w:pos="9360"/>
      </w:tabs>
      <w:spacing w:before="0" w:after="80"/>
    </w:pPr>
    <w:r>
      <w:rPr>
        <w:rFonts w:ascii="Calibri" w:cs="Calibri" w:eastAsia="Calibri" w:hAnsi="Calibri"/>
        <w:color w:val="455A64"/>
        <w:sz w:val="16"/>
        <w:szCs w:val="16"/>
      </w:rPr>
      <w:t xml:space="preserve">[NOMBRE DEL PROVEEDOR]  ·  Propuesta Azure Landing Zone  ·  Confidencial</w:t>
    </w:r>
    <w:r>
      <w:rPr>
        <w:sz w:val="16"/>
        <w:szCs w:val="16"/>
      </w:rPr>
      <w:t xml:space="preserve">	</w:t>
    </w:r>
    <w:r>
      <w:rPr>
        <w:rFonts w:ascii="Calibri" w:cs="Calibri" w:eastAsia="Calibri" w:hAnsi="Calibri"/>
        <w:i/>
        <w:iCs/>
        <w:color w:val="455A64"/>
        <w:sz w:val="16"/>
        <w:szCs w:val="16"/>
      </w:rPr>
      <w:t xml:space="preserve">Versión 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Calibri" w:cs="Calibri" w:eastAsia="Calibri" w:hAnsi="Calibri"/>
      <w:b/>
      <w:bCs/>
      <w:color w:val="0D2137"/>
      <w:sz w:val="34"/>
      <w:szCs w:val="34"/>
    </w:rPr>
  </w:style>
  <w:style w:type="paragraph" w:styleId="Heading2">
    <w:name w:val="Heading 2"/>
    <w:basedOn w:val="Normal"/>
    <w:next w:val="Normal"/>
    <w:pPr>
      <w:spacing w:before="280" w:after="100"/>
      <w:outlineLvl w:val="1"/>
    </w:pPr>
    <w:rPr>
      <w:rFonts w:ascii="Calibri" w:cs="Calibri" w:eastAsia="Calibri" w:hAnsi="Calibri"/>
      <w:b/>
      <w:bCs/>
      <w:color w:val="1565C0"/>
      <w:sz w:val="26"/>
      <w:szCs w:val="26"/>
    </w:rPr>
  </w:style>
  <w:style w:type="paragraph" w:styleId="Heading3">
    <w:name w:val="Heading 3"/>
    <w:basedOn w:val="Normal"/>
    <w:next w:val="Normal"/>
    <w:pPr>
      <w:spacing w:before="200" w:after="80"/>
      <w:outlineLvl w:val="2"/>
    </w:pPr>
    <w:rPr>
      <w:rFonts w:ascii="Calibri" w:cs="Calibri" w:eastAsia="Calibri" w:hAnsi="Calibri"/>
      <w:b/>
      <w:bCs/>
      <w:color w:val="0D21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2026-03-23T01:24:19.841Z</dcterms:created>
  <dcterms:modified xsi:type="dcterms:W3CDTF">2026-03-23T01:24:19.841Z</dcterms:modified>
</cp:coreProperties>
</file>

<file path=docProps/custom.xml><?xml version="1.0" encoding="utf-8"?>
<Properties xmlns="http://schemas.openxmlformats.org/officeDocument/2006/custom-properties" xmlns:vt="http://schemas.openxmlformats.org/officeDocument/2006/docPropsVTypes"/>
</file>