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SQL Server 2025 — Licenciamiento y ruta de modernización</w:t>
      </w:r>
    </w:p>
    <w:p>
      <w:pPr>
        <w:spacing w:after="260"/>
      </w:pPr>
      <w:r>
        <w:rPr>
          <w:i/>
          <w:iCs/>
          <w:color w:val="595959"/>
          <w:sz w:val="22"/>
          <w:szCs w:val="22"/>
        </w:rPr>
        <w:t xml:space="preserve">Respuesta a las dudas del cliente sobre licenciamiento Standard, requisitos de actualización y opciones de migración a Azure</w:t>
      </w:r>
    </w:p>
    <w:p>
      <w:pPr>
        <w:pBdr>
          <w:bottom w:val="single" w:color="1F3864" w:sz="10" w:space="6"/>
        </w:pBdr>
        <w:spacing w:after="300"/>
      </w:pPr>
      <w:r>
        <w:rPr>
          <w:color w:val="595959"/>
          <w:sz w:val="20"/>
          <w:szCs w:val="20"/>
        </w:rPr>
        <w:t xml:space="preserve">Agosto 2026</w:t>
      </w:r>
    </w:p>
    <w:p>
      <w:pPr>
        <w:pStyle w:val="Heading1"/>
        <w:pBdr>
          <w:bottom w:val="single" w:color="1F3864" w:sz="6" w:space="4"/>
        </w:pBdr>
        <w:spacing w:after="160" w:before="360"/>
      </w:pPr>
      <w:r>
        <w:rPr>
          <w:b/>
          <w:bCs/>
          <w:color w:val="1F3864"/>
          <w:sz w:val="28"/>
          <w:szCs w:val="28"/>
        </w:rPr>
        <w:t xml:space="preserve">1. Resumen ejecutivo</w:t>
      </w:r>
    </w:p>
    <w:p>
      <w:pPr>
        <w:spacing w:after="160" w:line="276"/>
      </w:pPr>
      <w:r>
        <w:rPr>
          <w:sz w:val="22"/>
          <w:szCs w:val="22"/>
        </w:rPr>
        <w:t xml:space="preserve">El cliente opera actualmente varios servidores con SQL Server 2016, versión que llegó al fin de su soporte extendido el 14 de julio de 2026. A partir de esa fecha, Microsoft ya no libera parches de seguridad regulares para esa versión, salvo que se contraten Extended Security Updates (ESU). Esto convierte la modernización a SQL Server 2025 (o la migración a Azure) en un proyecto de seguridad y cumplimiento, no solo de actualización tecnológica.</w:t>
      </w:r>
    </w:p>
    <w:p>
      <w:pPr>
        <w:spacing w:after="160" w:line="276"/>
      </w:pPr>
      <w:r>
        <w:rPr>
          <w:sz w:val="22"/>
          <w:szCs w:val="22"/>
        </w:rPr>
        <w:t xml:space="preserve">A continuación se detallan: (1) el licenciamiento de SQL Server 2025 Standard por core, (2) la confirmación sobre Power BI Report Server, (3) otras consideraciones de licenciamiento, (4) los requisitos técnicos para actualizar el ambiente, (5) la evaluación de migración a Azure (costos y beneficios) y (6) los programas de Microsoft disponibles para apoyar el proyecto.</w:t>
      </w:r>
    </w:p>
    <w:p>
      <w:pPr>
        <w:pStyle w:val="Heading1"/>
        <w:pBdr>
          <w:bottom w:val="single" w:color="1F3864" w:sz="6" w:space="4"/>
        </w:pBdr>
        <w:spacing w:after="160" w:before="360"/>
      </w:pPr>
      <w:r>
        <w:rPr>
          <w:b/>
          <w:bCs/>
          <w:color w:val="1F3864"/>
          <w:sz w:val="28"/>
          <w:szCs w:val="28"/>
        </w:rPr>
        <w:t xml:space="preserve">2. Licenciamiento de SQL Server 2025 Standard</w:t>
      </w:r>
    </w:p>
    <w:p>
      <w:pPr>
        <w:pStyle w:val="Heading2"/>
        <w:spacing w:after="120" w:before="260"/>
      </w:pPr>
      <w:r>
        <w:rPr>
          <w:b/>
          <w:bCs/>
          <w:color w:val="2E74B5"/>
          <w:sz w:val="24"/>
          <w:szCs w:val="24"/>
        </w:rPr>
        <w:t xml:space="preserve">2.1 Precio por el modelo de Core (pregunta 1)</w:t>
      </w:r>
    </w:p>
    <w:p>
      <w:pPr>
        <w:spacing w:after="160" w:line="276"/>
      </w:pPr>
      <w:r>
        <w:rPr>
          <w:sz w:val="22"/>
          <w:szCs w:val="22"/>
        </w:rPr>
        <w:t xml:space="preserve">Es correcto: SQL Server 2025 mantiene el mismo modelo de licenciamiento por core que 2022, sin cambios de precio de lista. Standard se vende en paquetes de 2 cores y el mínimo de licenciamiento es 4 cores por procesador físico (o por máquina virtual), es decir, 2 paquetes como mínimo por servidor/VM.</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200"/>
        <w:gridCol w:w="3040"/>
      </w:tblGrid>
      <w:tr>
        <w:trPr>
          <w:tblHeader/>
        </w:trPr>
        <w:tc>
          <w:tcPr>
            <w:tcW w:type="dxa" w:w="2600"/>
            <w:shd w:fill="1F3864" w:val="clear"/>
            <w:tcMar>
              <w:top w:type="dxa" w:w="80"/>
              <w:left w:type="dxa" w:w="100"/>
              <w:bottom w:type="dxa" w:w="80"/>
              <w:right w:type="dxa" w:w="100"/>
            </w:tcMar>
          </w:tcPr>
          <w:p>
            <w:pPr>
              <w:jc w:val="left"/>
            </w:pPr>
            <w:r>
              <w:rPr>
                <w:b/>
                <w:bCs/>
                <w:color w:val="FFFFFF"/>
                <w:sz w:val="20"/>
                <w:szCs w:val="20"/>
              </w:rPr>
              <w:t xml:space="preserve">Edición / modelo</w:t>
            </w:r>
          </w:p>
        </w:tc>
        <w:tc>
          <w:tcPr>
            <w:tcW w:type="dxa" w:w="1900"/>
            <w:shd w:fill="1F3864" w:val="clear"/>
            <w:tcMar>
              <w:top w:type="dxa" w:w="80"/>
              <w:left w:type="dxa" w:w="100"/>
              <w:bottom w:type="dxa" w:w="80"/>
              <w:right w:type="dxa" w:w="100"/>
            </w:tcMar>
          </w:tcPr>
          <w:p>
            <w:pPr>
              <w:jc w:val="left"/>
            </w:pPr>
            <w:r>
              <w:rPr>
                <w:b/>
                <w:bCs/>
                <w:color w:val="FFFFFF"/>
                <w:sz w:val="20"/>
                <w:szCs w:val="20"/>
              </w:rPr>
              <w:t xml:space="preserve">Precio lista (USD)</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Unidad de licenciamiento</w:t>
            </w:r>
          </w:p>
        </w:tc>
        <w:tc>
          <w:tcPr>
            <w:tcW w:type="dxa" w:w="3040"/>
            <w:shd w:fill="1F3864" w:val="clear"/>
            <w:tcMar>
              <w:top w:type="dxa" w:w="80"/>
              <w:left w:type="dxa" w:w="100"/>
              <w:bottom w:type="dxa" w:w="80"/>
              <w:right w:type="dxa" w:w="100"/>
            </w:tcMar>
          </w:tcPr>
          <w:p>
            <w:pPr>
              <w:jc w:val="left"/>
            </w:pPr>
            <w:r>
              <w:rPr>
                <w:b/>
                <w:bCs/>
                <w:color w:val="FFFFFF"/>
                <w:sz w:val="20"/>
                <w:szCs w:val="20"/>
              </w:rPr>
              <w:t xml:space="preserve">Canal</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Enterprise – por core</w:t>
            </w:r>
          </w:p>
        </w:tc>
        <w:tc>
          <w:tcPr>
            <w:tcW w:type="dxa" w:w="1900"/>
            <w:tcMar>
              <w:top w:type="dxa" w:w="80"/>
              <w:left w:type="dxa" w:w="100"/>
              <w:bottom w:type="dxa" w:w="80"/>
              <w:right w:type="dxa" w:w="100"/>
            </w:tcMar>
          </w:tcPr>
          <w:p>
            <w:pPr>
              <w:jc w:val="left"/>
            </w:pPr>
            <w:r>
              <w:rPr>
                <w:b w:val="false"/>
                <w:bCs w:val="false"/>
                <w:color w:val="000000"/>
                <w:sz w:val="20"/>
                <w:szCs w:val="20"/>
              </w:rPr>
              <w:t xml:space="preserve">$15,123</w:t>
            </w:r>
          </w:p>
        </w:tc>
        <w:tc>
          <w:tcPr>
            <w:tcW w:type="dxa" w:w="2200"/>
            <w:tcMar>
              <w:top w:type="dxa" w:w="80"/>
              <w:left w:type="dxa" w:w="100"/>
              <w:bottom w:type="dxa" w:w="80"/>
              <w:right w:type="dxa" w:w="100"/>
            </w:tcMar>
          </w:tcPr>
          <w:p>
            <w:pPr>
              <w:jc w:val="left"/>
            </w:pPr>
            <w:r>
              <w:rPr>
                <w:b w:val="false"/>
                <w:bCs w:val="false"/>
                <w:color w:val="000000"/>
                <w:sz w:val="20"/>
                <w:szCs w:val="20"/>
              </w:rPr>
              <w:t xml:space="preserve">Paquete de 2 cores</w:t>
            </w:r>
          </w:p>
        </w:tc>
        <w:tc>
          <w:tcPr>
            <w:tcW w:type="dxa" w:w="3040"/>
            <w:tcMar>
              <w:top w:type="dxa" w:w="80"/>
              <w:left w:type="dxa" w:w="100"/>
              <w:bottom w:type="dxa" w:w="80"/>
              <w:right w:type="dxa" w:w="100"/>
            </w:tcMar>
          </w:tcPr>
          <w:p>
            <w:pPr>
              <w:jc w:val="left"/>
            </w:pPr>
            <w:r>
              <w:rPr>
                <w:b w:val="false"/>
                <w:bCs w:val="false"/>
                <w:color w:val="000000"/>
                <w:sz w:val="20"/>
                <w:szCs w:val="20"/>
              </w:rPr>
              <w:t xml:space="preserve">Licenciamiento por volumen / hosting</w:t>
            </w:r>
          </w:p>
        </w:tc>
      </w:tr>
      <w:tr>
        <w:tc>
          <w:tcPr>
            <w:tcW w:type="dxa" w:w="2600"/>
            <w:shd w:fill="DCE6F1" w:val="clear"/>
            <w:tcMar>
              <w:top w:type="dxa" w:w="80"/>
              <w:left w:type="dxa" w:w="100"/>
              <w:bottom w:type="dxa" w:w="80"/>
              <w:right w:type="dxa" w:w="100"/>
            </w:tcMar>
          </w:tcPr>
          <w:p>
            <w:pPr>
              <w:jc w:val="left"/>
            </w:pPr>
            <w:r>
              <w:rPr>
                <w:b w:val="false"/>
                <w:bCs w:val="false"/>
                <w:color w:val="000000"/>
                <w:sz w:val="20"/>
                <w:szCs w:val="20"/>
              </w:rPr>
              <w:t xml:space="preserve">Standard – por core</w:t>
            </w:r>
          </w:p>
        </w:tc>
        <w:tc>
          <w:tcPr>
            <w:tcW w:type="dxa" w:w="1900"/>
            <w:shd w:fill="DCE6F1" w:val="clear"/>
            <w:tcMar>
              <w:top w:type="dxa" w:w="80"/>
              <w:left w:type="dxa" w:w="100"/>
              <w:bottom w:type="dxa" w:w="80"/>
              <w:right w:type="dxa" w:w="100"/>
            </w:tcMar>
          </w:tcPr>
          <w:p>
            <w:pPr>
              <w:jc w:val="left"/>
            </w:pPr>
            <w:r>
              <w:rPr>
                <w:b w:val="false"/>
                <w:bCs w:val="false"/>
                <w:color w:val="000000"/>
                <w:sz w:val="20"/>
                <w:szCs w:val="20"/>
              </w:rPr>
              <w:t xml:space="preserve">$3,945</w:t>
            </w:r>
          </w:p>
        </w:tc>
        <w:tc>
          <w:tcPr>
            <w:tcW w:type="dxa" w:w="2200"/>
            <w:shd w:fill="DCE6F1" w:val="clear"/>
            <w:tcMar>
              <w:top w:type="dxa" w:w="80"/>
              <w:left w:type="dxa" w:w="100"/>
              <w:bottom w:type="dxa" w:w="80"/>
              <w:right w:type="dxa" w:w="100"/>
            </w:tcMar>
          </w:tcPr>
          <w:p>
            <w:pPr>
              <w:jc w:val="left"/>
            </w:pPr>
            <w:r>
              <w:rPr>
                <w:b w:val="false"/>
                <w:bCs w:val="false"/>
                <w:color w:val="000000"/>
                <w:sz w:val="20"/>
                <w:szCs w:val="20"/>
              </w:rPr>
              <w:t xml:space="preserve">Paquete de 2 cores</w:t>
            </w:r>
          </w:p>
        </w:tc>
        <w:tc>
          <w:tcPr>
            <w:tcW w:type="dxa" w:w="3040"/>
            <w:shd w:fill="DCE6F1" w:val="clear"/>
            <w:tcMar>
              <w:top w:type="dxa" w:w="80"/>
              <w:left w:type="dxa" w:w="100"/>
              <w:bottom w:type="dxa" w:w="80"/>
              <w:right w:type="dxa" w:w="100"/>
            </w:tcMar>
          </w:tcPr>
          <w:p>
            <w:pPr>
              <w:jc w:val="left"/>
            </w:pPr>
            <w:r>
              <w:rPr>
                <w:b w:val="false"/>
                <w:bCs w:val="false"/>
                <w:color w:val="000000"/>
                <w:sz w:val="20"/>
                <w:szCs w:val="20"/>
              </w:rPr>
              <w:t xml:space="preserve">Licenciamiento por volumen / hosting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Standard – Server</w:t>
            </w:r>
          </w:p>
        </w:tc>
        <w:tc>
          <w:tcPr>
            <w:tcW w:type="dxa" w:w="1900"/>
            <w:tcMar>
              <w:top w:type="dxa" w:w="80"/>
              <w:left w:type="dxa" w:w="100"/>
              <w:bottom w:type="dxa" w:w="80"/>
              <w:right w:type="dxa" w:w="100"/>
            </w:tcMar>
          </w:tcPr>
          <w:p>
            <w:pPr>
              <w:jc w:val="left"/>
            </w:pPr>
            <w:r>
              <w:rPr>
                <w:b w:val="false"/>
                <w:bCs w:val="false"/>
                <w:color w:val="000000"/>
                <w:sz w:val="20"/>
                <w:szCs w:val="20"/>
              </w:rPr>
              <w:t xml:space="preserve">$989</w:t>
            </w:r>
          </w:p>
        </w:tc>
        <w:tc>
          <w:tcPr>
            <w:tcW w:type="dxa" w:w="2200"/>
            <w:tcMar>
              <w:top w:type="dxa" w:w="80"/>
              <w:left w:type="dxa" w:w="100"/>
              <w:bottom w:type="dxa" w:w="80"/>
              <w:right w:type="dxa" w:w="100"/>
            </w:tcMar>
          </w:tcPr>
          <w:p>
            <w:pPr>
              <w:jc w:val="left"/>
            </w:pPr>
            <w:r>
              <w:rPr>
                <w:b w:val="false"/>
                <w:bCs w:val="false"/>
                <w:color w:val="000000"/>
                <w:sz w:val="20"/>
                <w:szCs w:val="20"/>
              </w:rPr>
              <w:t xml:space="preserve">Licencia de servidor (+ CAL)</w:t>
            </w:r>
          </w:p>
        </w:tc>
        <w:tc>
          <w:tcPr>
            <w:tcW w:type="dxa" w:w="3040"/>
            <w:tcMar>
              <w:top w:type="dxa" w:w="80"/>
              <w:left w:type="dxa" w:w="100"/>
              <w:bottom w:type="dxa" w:w="80"/>
              <w:right w:type="dxa" w:w="100"/>
            </w:tcMar>
          </w:tcPr>
          <w:p>
            <w:pPr>
              <w:jc w:val="left"/>
            </w:pPr>
            <w:r>
              <w:rPr>
                <w:b w:val="false"/>
                <w:bCs w:val="false"/>
                <w:color w:val="000000"/>
                <w:sz w:val="20"/>
                <w:szCs w:val="20"/>
              </w:rPr>
              <w:t xml:space="preserve">Licenciamiento por volumen / hosting</w:t>
            </w:r>
          </w:p>
        </w:tc>
      </w:tr>
      <w:tr>
        <w:tc>
          <w:tcPr>
            <w:tcW w:type="dxa" w:w="2600"/>
            <w:shd w:fill="DCE6F1" w:val="clear"/>
            <w:tcMar>
              <w:top w:type="dxa" w:w="80"/>
              <w:left w:type="dxa" w:w="100"/>
              <w:bottom w:type="dxa" w:w="80"/>
              <w:right w:type="dxa" w:w="100"/>
            </w:tcMar>
          </w:tcPr>
          <w:p>
            <w:pPr>
              <w:jc w:val="left"/>
            </w:pPr>
            <w:r>
              <w:rPr>
                <w:b w:val="false"/>
                <w:bCs w:val="false"/>
                <w:color w:val="000000"/>
                <w:sz w:val="20"/>
                <w:szCs w:val="20"/>
              </w:rPr>
              <w:t xml:space="preserve">Standard – CAL</w:t>
            </w:r>
          </w:p>
        </w:tc>
        <w:tc>
          <w:tcPr>
            <w:tcW w:type="dxa" w:w="1900"/>
            <w:shd w:fill="DCE6F1" w:val="clear"/>
            <w:tcMar>
              <w:top w:type="dxa" w:w="80"/>
              <w:left w:type="dxa" w:w="100"/>
              <w:bottom w:type="dxa" w:w="80"/>
              <w:right w:type="dxa" w:w="100"/>
            </w:tcMar>
          </w:tcPr>
          <w:p>
            <w:pPr>
              <w:jc w:val="left"/>
            </w:pPr>
            <w:r>
              <w:rPr>
                <w:b w:val="false"/>
                <w:bCs w:val="false"/>
                <w:color w:val="000000"/>
                <w:sz w:val="20"/>
                <w:szCs w:val="20"/>
              </w:rPr>
              <w:t xml:space="preserve">$230</w:t>
            </w:r>
          </w:p>
        </w:tc>
        <w:tc>
          <w:tcPr>
            <w:tcW w:type="dxa" w:w="2200"/>
            <w:shd w:fill="DCE6F1" w:val="clear"/>
            <w:tcMar>
              <w:top w:type="dxa" w:w="80"/>
              <w:left w:type="dxa" w:w="100"/>
              <w:bottom w:type="dxa" w:w="80"/>
              <w:right w:type="dxa" w:w="100"/>
            </w:tcMar>
          </w:tcPr>
          <w:p>
            <w:pPr>
              <w:jc w:val="left"/>
            </w:pPr>
            <w:r>
              <w:rPr>
                <w:b w:val="false"/>
                <w:bCs w:val="false"/>
                <w:color w:val="000000"/>
                <w:sz w:val="20"/>
                <w:szCs w:val="20"/>
              </w:rPr>
              <w:t xml:space="preserve">CAL (usuario o dispositivo)</w:t>
            </w:r>
          </w:p>
        </w:tc>
        <w:tc>
          <w:tcPr>
            <w:tcW w:type="dxa" w:w="3040"/>
            <w:shd w:fill="DCE6F1" w:val="clear"/>
            <w:tcMar>
              <w:top w:type="dxa" w:w="80"/>
              <w:left w:type="dxa" w:w="100"/>
              <w:bottom w:type="dxa" w:w="80"/>
              <w:right w:type="dxa" w:w="100"/>
            </w:tcMar>
          </w:tcPr>
          <w:p>
            <w:pPr>
              <w:jc w:val="left"/>
            </w:pPr>
            <w:r>
              <w:rPr>
                <w:b w:val="false"/>
                <w:bCs w:val="false"/>
                <w:color w:val="000000"/>
                <w:sz w:val="20"/>
                <w:szCs w:val="20"/>
              </w:rPr>
              <w:t xml:space="preserve">Licenciamiento por volumen / hosting</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Enterprise – suscripción</w:t>
            </w:r>
          </w:p>
        </w:tc>
        <w:tc>
          <w:tcPr>
            <w:tcW w:type="dxa" w:w="1900"/>
            <w:tcMar>
              <w:top w:type="dxa" w:w="80"/>
              <w:left w:type="dxa" w:w="100"/>
              <w:bottom w:type="dxa" w:w="80"/>
              <w:right w:type="dxa" w:w="100"/>
            </w:tcMar>
          </w:tcPr>
          <w:p>
            <w:pPr>
              <w:jc w:val="left"/>
            </w:pPr>
            <w:r>
              <w:rPr>
                <w:b w:val="false"/>
                <w:bCs w:val="false"/>
                <w:color w:val="000000"/>
                <w:sz w:val="20"/>
                <w:szCs w:val="20"/>
              </w:rPr>
              <w:t xml:space="preserve">$5,434 / año</w:t>
            </w:r>
          </w:p>
        </w:tc>
        <w:tc>
          <w:tcPr>
            <w:tcW w:type="dxa" w:w="2200"/>
            <w:tcMar>
              <w:top w:type="dxa" w:w="80"/>
              <w:left w:type="dxa" w:w="100"/>
              <w:bottom w:type="dxa" w:w="80"/>
              <w:right w:type="dxa" w:w="100"/>
            </w:tcMar>
          </w:tcPr>
          <w:p>
            <w:pPr>
              <w:jc w:val="left"/>
            </w:pPr>
            <w:r>
              <w:rPr>
                <w:b w:val="false"/>
                <w:bCs w:val="false"/>
                <w:color w:val="000000"/>
                <w:sz w:val="20"/>
                <w:szCs w:val="20"/>
              </w:rPr>
              <w:t xml:space="preserve">Paquete de 2 cores</w:t>
            </w:r>
          </w:p>
        </w:tc>
        <w:tc>
          <w:tcPr>
            <w:tcW w:type="dxa" w:w="3040"/>
            <w:tcMar>
              <w:top w:type="dxa" w:w="80"/>
              <w:left w:type="dxa" w:w="100"/>
              <w:bottom w:type="dxa" w:w="80"/>
              <w:right w:type="dxa" w:w="100"/>
            </w:tcMar>
          </w:tcPr>
          <w:p>
            <w:pPr>
              <w:jc w:val="left"/>
            </w:pPr>
            <w:r>
              <w:rPr>
                <w:b w:val="false"/>
                <w:bCs w:val="false"/>
                <w:color w:val="000000"/>
                <w:sz w:val="20"/>
                <w:szCs w:val="20"/>
              </w:rPr>
              <w:t xml:space="preserve">Licenciamiento por volumen</w:t>
            </w:r>
          </w:p>
        </w:tc>
      </w:tr>
      <w:tr>
        <w:tc>
          <w:tcPr>
            <w:tcW w:type="dxa" w:w="2600"/>
            <w:shd w:fill="DCE6F1" w:val="clear"/>
            <w:tcMar>
              <w:top w:type="dxa" w:w="80"/>
              <w:left w:type="dxa" w:w="100"/>
              <w:bottom w:type="dxa" w:w="80"/>
              <w:right w:type="dxa" w:w="100"/>
            </w:tcMar>
          </w:tcPr>
          <w:p>
            <w:pPr>
              <w:jc w:val="left"/>
            </w:pPr>
            <w:r>
              <w:rPr>
                <w:b w:val="false"/>
                <w:bCs w:val="false"/>
                <w:color w:val="000000"/>
                <w:sz w:val="20"/>
                <w:szCs w:val="20"/>
              </w:rPr>
              <w:t xml:space="preserve">Standard – suscripción</w:t>
            </w:r>
          </w:p>
        </w:tc>
        <w:tc>
          <w:tcPr>
            <w:tcW w:type="dxa" w:w="1900"/>
            <w:shd w:fill="DCE6F1" w:val="clear"/>
            <w:tcMar>
              <w:top w:type="dxa" w:w="80"/>
              <w:left w:type="dxa" w:w="100"/>
              <w:bottom w:type="dxa" w:w="80"/>
              <w:right w:type="dxa" w:w="100"/>
            </w:tcMar>
          </w:tcPr>
          <w:p>
            <w:pPr>
              <w:jc w:val="left"/>
            </w:pPr>
            <w:r>
              <w:rPr>
                <w:b w:val="false"/>
                <w:bCs w:val="false"/>
                <w:color w:val="000000"/>
                <w:sz w:val="20"/>
                <w:szCs w:val="20"/>
              </w:rPr>
              <w:t xml:space="preserve">$1,418 / año</w:t>
            </w:r>
          </w:p>
        </w:tc>
        <w:tc>
          <w:tcPr>
            <w:tcW w:type="dxa" w:w="2200"/>
            <w:shd w:fill="DCE6F1" w:val="clear"/>
            <w:tcMar>
              <w:top w:type="dxa" w:w="80"/>
              <w:left w:type="dxa" w:w="100"/>
              <w:bottom w:type="dxa" w:w="80"/>
              <w:right w:type="dxa" w:w="100"/>
            </w:tcMar>
          </w:tcPr>
          <w:p>
            <w:pPr>
              <w:jc w:val="left"/>
            </w:pPr>
            <w:r>
              <w:rPr>
                <w:b w:val="false"/>
                <w:bCs w:val="false"/>
                <w:color w:val="000000"/>
                <w:sz w:val="20"/>
                <w:szCs w:val="20"/>
              </w:rPr>
              <w:t xml:space="preserve">Paquete de 2 cores</w:t>
            </w:r>
          </w:p>
        </w:tc>
        <w:tc>
          <w:tcPr>
            <w:tcW w:type="dxa" w:w="3040"/>
            <w:shd w:fill="DCE6F1" w:val="clear"/>
            <w:tcMar>
              <w:top w:type="dxa" w:w="80"/>
              <w:left w:type="dxa" w:w="100"/>
              <w:bottom w:type="dxa" w:w="80"/>
              <w:right w:type="dxa" w:w="100"/>
            </w:tcMar>
          </w:tcPr>
          <w:p>
            <w:pPr>
              <w:jc w:val="left"/>
            </w:pPr>
            <w:r>
              <w:rPr>
                <w:b w:val="false"/>
                <w:bCs w:val="false"/>
                <w:color w:val="000000"/>
                <w:sz w:val="20"/>
                <w:szCs w:val="20"/>
              </w:rPr>
              <w:t xml:space="preserve">Licenciamiento por volumen</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Pago por uso (Azure Arc) – Enterprise</w:t>
            </w:r>
          </w:p>
        </w:tc>
        <w:tc>
          <w:tcPr>
            <w:tcW w:type="dxa" w:w="1900"/>
            <w:tcMar>
              <w:top w:type="dxa" w:w="80"/>
              <w:left w:type="dxa" w:w="100"/>
              <w:bottom w:type="dxa" w:w="80"/>
              <w:right w:type="dxa" w:w="100"/>
            </w:tcMar>
          </w:tcPr>
          <w:p>
            <w:pPr>
              <w:jc w:val="left"/>
            </w:pPr>
            <w:r>
              <w:rPr>
                <w:b w:val="false"/>
                <w:bCs w:val="false"/>
                <w:color w:val="000000"/>
                <w:sz w:val="20"/>
                <w:szCs w:val="20"/>
              </w:rPr>
              <w:t xml:space="preserve">$274/mes  ó  $0.375/hora</w:t>
            </w:r>
          </w:p>
        </w:tc>
        <w:tc>
          <w:tcPr>
            <w:tcW w:type="dxa" w:w="2200"/>
            <w:tcMar>
              <w:top w:type="dxa" w:w="80"/>
              <w:left w:type="dxa" w:w="100"/>
              <w:bottom w:type="dxa" w:w="80"/>
              <w:right w:type="dxa" w:w="100"/>
            </w:tcMar>
          </w:tcPr>
          <w:p>
            <w:pPr>
              <w:jc w:val="left"/>
            </w:pPr>
            <w:r>
              <w:rPr>
                <w:b w:val="false"/>
                <w:bCs w:val="false"/>
                <w:color w:val="000000"/>
                <w:sz w:val="20"/>
                <w:szCs w:val="20"/>
              </w:rPr>
              <w:t xml:space="preserve">Por core habilitado</w:t>
            </w:r>
          </w:p>
        </w:tc>
        <w:tc>
          <w:tcPr>
            <w:tcW w:type="dxa" w:w="3040"/>
            <w:tcMar>
              <w:top w:type="dxa" w:w="80"/>
              <w:left w:type="dxa" w:w="100"/>
              <w:bottom w:type="dxa" w:w="80"/>
              <w:right w:type="dxa" w:w="100"/>
            </w:tcMar>
          </w:tcPr>
          <w:p>
            <w:pPr>
              <w:jc w:val="left"/>
            </w:pPr>
            <w:r>
              <w:rPr>
                <w:b w:val="false"/>
                <w:bCs w:val="false"/>
                <w:color w:val="000000"/>
                <w:sz w:val="20"/>
                <w:szCs w:val="20"/>
              </w:rPr>
              <w:t xml:space="preserve">Azure Arc (facturación híbrida)</w:t>
            </w:r>
          </w:p>
        </w:tc>
      </w:tr>
      <w:tr>
        <w:tc>
          <w:tcPr>
            <w:tcW w:type="dxa" w:w="2600"/>
            <w:shd w:fill="DCE6F1" w:val="clear"/>
            <w:tcMar>
              <w:top w:type="dxa" w:w="80"/>
              <w:left w:type="dxa" w:w="100"/>
              <w:bottom w:type="dxa" w:w="80"/>
              <w:right w:type="dxa" w:w="100"/>
            </w:tcMar>
          </w:tcPr>
          <w:p>
            <w:pPr>
              <w:jc w:val="left"/>
            </w:pPr>
            <w:r>
              <w:rPr>
                <w:b w:val="false"/>
                <w:bCs w:val="false"/>
                <w:color w:val="000000"/>
                <w:sz w:val="20"/>
                <w:szCs w:val="20"/>
              </w:rPr>
              <w:t xml:space="preserve">Pago por uso (Azure Arc) – Standard</w:t>
            </w:r>
          </w:p>
        </w:tc>
        <w:tc>
          <w:tcPr>
            <w:tcW w:type="dxa" w:w="1900"/>
            <w:shd w:fill="DCE6F1" w:val="clear"/>
            <w:tcMar>
              <w:top w:type="dxa" w:w="80"/>
              <w:left w:type="dxa" w:w="100"/>
              <w:bottom w:type="dxa" w:w="80"/>
              <w:right w:type="dxa" w:w="100"/>
            </w:tcMar>
          </w:tcPr>
          <w:p>
            <w:pPr>
              <w:jc w:val="left"/>
            </w:pPr>
            <w:r>
              <w:rPr>
                <w:b w:val="false"/>
                <w:bCs w:val="false"/>
                <w:color w:val="000000"/>
                <w:sz w:val="20"/>
                <w:szCs w:val="20"/>
              </w:rPr>
              <w:t xml:space="preserve">$73/mes  ó  $0.100/hora</w:t>
            </w:r>
          </w:p>
        </w:tc>
        <w:tc>
          <w:tcPr>
            <w:tcW w:type="dxa" w:w="2200"/>
            <w:shd w:fill="DCE6F1" w:val="clear"/>
            <w:tcMar>
              <w:top w:type="dxa" w:w="80"/>
              <w:left w:type="dxa" w:w="100"/>
              <w:bottom w:type="dxa" w:w="80"/>
              <w:right w:type="dxa" w:w="100"/>
            </w:tcMar>
          </w:tcPr>
          <w:p>
            <w:pPr>
              <w:jc w:val="left"/>
            </w:pPr>
            <w:r>
              <w:rPr>
                <w:b w:val="false"/>
                <w:bCs w:val="false"/>
                <w:color w:val="000000"/>
                <w:sz w:val="20"/>
                <w:szCs w:val="20"/>
              </w:rPr>
              <w:t xml:space="preserve">Por core habilitado</w:t>
            </w:r>
          </w:p>
        </w:tc>
        <w:tc>
          <w:tcPr>
            <w:tcW w:type="dxa" w:w="3040"/>
            <w:shd w:fill="DCE6F1" w:val="clear"/>
            <w:tcMar>
              <w:top w:type="dxa" w:w="80"/>
              <w:left w:type="dxa" w:w="100"/>
              <w:bottom w:type="dxa" w:w="80"/>
              <w:right w:type="dxa" w:w="100"/>
            </w:tcMar>
          </w:tcPr>
          <w:p>
            <w:pPr>
              <w:jc w:val="left"/>
            </w:pPr>
            <w:r>
              <w:rPr>
                <w:b w:val="false"/>
                <w:bCs w:val="false"/>
                <w:color w:val="000000"/>
                <w:sz w:val="20"/>
                <w:szCs w:val="20"/>
              </w:rPr>
              <w:t xml:space="preserve">Azure Arc (facturación híbrida)</w:t>
            </w:r>
          </w:p>
        </w:tc>
      </w:tr>
    </w:tbl>
    <w:p>
      <w:pPr>
        <w:spacing w:after="160" w:line="276"/>
      </w:pPr>
      <w:r>
        <w:rPr>
          <w:i/>
          <w:iCs/>
          <w:color w:val="595959"/>
          <w:sz w:val="20"/>
          <w:szCs w:val="20"/>
        </w:rPr>
        <w:t xml:space="preserve">Precios de lista (Open, sin nivel de descuento) publicados por Microsoft, vigentes desde noviembre de 2025 / enero de 2026. Su distribuidor o partner Microsoft puede ofrecer precios distintos según el programa de licenciamiento (EA, MPSA, CSP) y nivel de descuento.</w:t>
      </w:r>
    </w:p>
    <w:p>
      <w:pPr>
        <w:spacing w:after="120"/>
      </w:pPr>
    </w:p>
    <w:p>
      <w:pPr>
        <w:spacing w:after="160" w:line="276"/>
      </w:pPr>
      <w:r>
        <w:rPr>
          <w:sz w:val="22"/>
          <w:szCs w:val="22"/>
        </w:rPr>
        <w:t xml:space="preserve">Aplicado al escenario típico de un servidor con 4 cores en Standard:</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600"/>
        <w:gridCol w:w="2570"/>
        <w:gridCol w:w="2570"/>
      </w:tblGrid>
      <w:tr>
        <w:trPr>
          <w:tblHeader/>
        </w:trPr>
        <w:tc>
          <w:tcPr>
            <w:tcW w:type="dxa" w:w="4600"/>
            <w:shd w:fill="1F3864" w:val="clear"/>
            <w:tcMar>
              <w:top w:type="dxa" w:w="80"/>
              <w:left w:type="dxa" w:w="100"/>
              <w:bottom w:type="dxa" w:w="80"/>
              <w:right w:type="dxa" w:w="100"/>
            </w:tcMar>
          </w:tcPr>
          <w:p>
            <w:pPr>
              <w:jc w:val="left"/>
            </w:pPr>
            <w:r>
              <w:rPr>
                <w:b/>
                <w:bCs/>
                <w:color w:val="FFFFFF"/>
                <w:sz w:val="20"/>
                <w:szCs w:val="20"/>
              </w:rPr>
              <w:t xml:space="preserve">Concepto</w:t>
            </w:r>
          </w:p>
        </w:tc>
        <w:tc>
          <w:tcPr>
            <w:tcW w:type="dxa" w:w="2570"/>
            <w:shd w:fill="1F3864" w:val="clear"/>
            <w:tcMar>
              <w:top w:type="dxa" w:w="80"/>
              <w:left w:type="dxa" w:w="100"/>
              <w:bottom w:type="dxa" w:w="80"/>
              <w:right w:type="dxa" w:w="100"/>
            </w:tcMar>
          </w:tcPr>
          <w:p>
            <w:pPr>
              <w:jc w:val="left"/>
            </w:pPr>
            <w:r>
              <w:rPr>
                <w:b/>
                <w:bCs/>
                <w:color w:val="FFFFFF"/>
                <w:sz w:val="20"/>
                <w:szCs w:val="20"/>
              </w:rPr>
              <w:t xml:space="preserve">Modelo perpetuo</w:t>
            </w:r>
          </w:p>
        </w:tc>
        <w:tc>
          <w:tcPr>
            <w:tcW w:type="dxa" w:w="2570"/>
            <w:shd w:fill="1F3864" w:val="clear"/>
            <w:tcMar>
              <w:top w:type="dxa" w:w="80"/>
              <w:left w:type="dxa" w:w="100"/>
              <w:bottom w:type="dxa" w:w="80"/>
              <w:right w:type="dxa" w:w="100"/>
            </w:tcMar>
          </w:tcPr>
          <w:p>
            <w:pPr>
              <w:jc w:val="left"/>
            </w:pPr>
            <w:r>
              <w:rPr>
                <w:b/>
                <w:bCs/>
                <w:color w:val="FFFFFF"/>
                <w:sz w:val="20"/>
                <w:szCs w:val="20"/>
              </w:rPr>
              <w:t xml:space="preserve">Modelo suscripción</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Precio por paquete de 2 cores</w:t>
            </w:r>
          </w:p>
        </w:tc>
        <w:tc>
          <w:tcPr>
            <w:tcW w:type="dxa" w:w="2570"/>
            <w:tcMar>
              <w:top w:type="dxa" w:w="80"/>
              <w:left w:type="dxa" w:w="100"/>
              <w:bottom w:type="dxa" w:w="80"/>
              <w:right w:type="dxa" w:w="100"/>
            </w:tcMar>
          </w:tcPr>
          <w:p>
            <w:pPr>
              <w:jc w:val="left"/>
            </w:pPr>
            <w:r>
              <w:rPr>
                <w:b w:val="false"/>
                <w:bCs w:val="false"/>
                <w:color w:val="000000"/>
                <w:sz w:val="20"/>
                <w:szCs w:val="20"/>
              </w:rPr>
              <w:t xml:space="preserve">$3,945</w:t>
            </w:r>
          </w:p>
        </w:tc>
        <w:tc>
          <w:tcPr>
            <w:tcW w:type="dxa" w:w="2570"/>
            <w:tcMar>
              <w:top w:type="dxa" w:w="80"/>
              <w:left w:type="dxa" w:w="100"/>
              <w:bottom w:type="dxa" w:w="80"/>
              <w:right w:type="dxa" w:w="100"/>
            </w:tcMar>
          </w:tcPr>
          <w:p>
            <w:pPr>
              <w:jc w:val="left"/>
            </w:pPr>
            <w:r>
              <w:rPr>
                <w:b w:val="false"/>
                <w:bCs w:val="false"/>
                <w:color w:val="000000"/>
                <w:sz w:val="20"/>
                <w:szCs w:val="20"/>
              </w:rPr>
              <w:t xml:space="preserve">$1,418 / año</w:t>
            </w:r>
          </w:p>
        </w:tc>
      </w:tr>
      <w:tr>
        <w:tc>
          <w:tcPr>
            <w:tcW w:type="dxa" w:w="4600"/>
            <w:shd w:fill="DCE6F1" w:val="clear"/>
            <w:tcMar>
              <w:top w:type="dxa" w:w="80"/>
              <w:left w:type="dxa" w:w="100"/>
              <w:bottom w:type="dxa" w:w="80"/>
              <w:right w:type="dxa" w:w="100"/>
            </w:tcMar>
          </w:tcPr>
          <w:p>
            <w:pPr>
              <w:jc w:val="left"/>
            </w:pPr>
            <w:r>
              <w:rPr>
                <w:b w:val="false"/>
                <w:bCs w:val="false"/>
                <w:color w:val="000000"/>
                <w:sz w:val="20"/>
                <w:szCs w:val="20"/>
              </w:rPr>
              <w:t xml:space="preserve">Paquetes necesarios (mínimo 4 cores)</w:t>
            </w:r>
          </w:p>
        </w:tc>
        <w:tc>
          <w:tcPr>
            <w:tcW w:type="dxa" w:w="2570"/>
            <w:shd w:fill="DCE6F1" w:val="clear"/>
            <w:tcMar>
              <w:top w:type="dxa" w:w="80"/>
              <w:left w:type="dxa" w:w="100"/>
              <w:bottom w:type="dxa" w:w="80"/>
              <w:right w:type="dxa" w:w="100"/>
            </w:tcMar>
          </w:tcPr>
          <w:p>
            <w:pPr>
              <w:jc w:val="left"/>
            </w:pPr>
            <w:r>
              <w:rPr>
                <w:b w:val="false"/>
                <w:bCs w:val="false"/>
                <w:color w:val="000000"/>
                <w:sz w:val="20"/>
                <w:szCs w:val="20"/>
              </w:rPr>
              <w:t xml:space="preserve">2 paquetes</w:t>
            </w:r>
          </w:p>
        </w:tc>
        <w:tc>
          <w:tcPr>
            <w:tcW w:type="dxa" w:w="2570"/>
            <w:shd w:fill="DCE6F1" w:val="clear"/>
            <w:tcMar>
              <w:top w:type="dxa" w:w="80"/>
              <w:left w:type="dxa" w:w="100"/>
              <w:bottom w:type="dxa" w:w="80"/>
              <w:right w:type="dxa" w:w="100"/>
            </w:tcMar>
          </w:tcPr>
          <w:p>
            <w:pPr>
              <w:jc w:val="left"/>
            </w:pPr>
            <w:r>
              <w:rPr>
                <w:b w:val="false"/>
                <w:bCs w:val="false"/>
                <w:color w:val="000000"/>
                <w:sz w:val="20"/>
                <w:szCs w:val="20"/>
              </w:rPr>
              <w:t xml:space="preserve">2 paquetes</w:t>
            </w:r>
          </w:p>
        </w:tc>
      </w:tr>
      <w:tr>
        <w:tc>
          <w:tcPr>
            <w:tcW w:type="dxa" w:w="4600"/>
            <w:tcMar>
              <w:top w:type="dxa" w:w="80"/>
              <w:left w:type="dxa" w:w="100"/>
              <w:bottom w:type="dxa" w:w="80"/>
              <w:right w:type="dxa" w:w="100"/>
            </w:tcMar>
          </w:tcPr>
          <w:p>
            <w:pPr>
              <w:jc w:val="left"/>
            </w:pPr>
            <w:r>
              <w:rPr>
                <w:b/>
                <w:bCs/>
                <w:color w:val="000000"/>
                <w:sz w:val="20"/>
                <w:szCs w:val="20"/>
              </w:rPr>
              <w:t xml:space="preserve">Costo total por servidor de 4 cores</w:t>
            </w:r>
          </w:p>
        </w:tc>
        <w:tc>
          <w:tcPr>
            <w:tcW w:type="dxa" w:w="2570"/>
            <w:tcMar>
              <w:top w:type="dxa" w:w="80"/>
              <w:left w:type="dxa" w:w="100"/>
              <w:bottom w:type="dxa" w:w="80"/>
              <w:right w:type="dxa" w:w="100"/>
            </w:tcMar>
          </w:tcPr>
          <w:p>
            <w:pPr>
              <w:jc w:val="left"/>
            </w:pPr>
            <w:r>
              <w:rPr>
                <w:b/>
                <w:bCs/>
                <w:color w:val="000000"/>
                <w:sz w:val="20"/>
                <w:szCs w:val="20"/>
              </w:rPr>
              <w:t xml:space="preserve">$7,890 (pago único)</w:t>
            </w:r>
          </w:p>
        </w:tc>
        <w:tc>
          <w:tcPr>
            <w:tcW w:type="dxa" w:w="2570"/>
            <w:tcMar>
              <w:top w:type="dxa" w:w="80"/>
              <w:left w:type="dxa" w:w="100"/>
              <w:bottom w:type="dxa" w:w="80"/>
              <w:right w:type="dxa" w:w="100"/>
            </w:tcMar>
          </w:tcPr>
          <w:p>
            <w:pPr>
              <w:jc w:val="left"/>
            </w:pPr>
            <w:r>
              <w:rPr>
                <w:b/>
                <w:bCs/>
                <w:color w:val="000000"/>
                <w:sz w:val="20"/>
                <w:szCs w:val="20"/>
              </w:rPr>
              <w:t xml:space="preserve">$2,836 / año</w:t>
            </w:r>
          </w:p>
        </w:tc>
      </w:tr>
    </w:tbl>
    <w:p>
      <w:pPr>
        <w:spacing w:after="160"/>
      </w:pPr>
    </w:p>
    <w:p>
      <w:pPr>
        <w:pBdr>
          <w:left w:val="single" w:color="BF8F00" w:sz="18" w:space="8"/>
        </w:pBdr>
        <w:shd w:fill="FFF2CC" w:val="clear"/>
        <w:spacing w:after="200"/>
      </w:pPr>
      <w:r>
        <w:rPr>
          <w:i/>
          <w:iCs/>
          <w:color w:val="7F6000"/>
          <w:sz w:val="21"/>
          <w:szCs w:val="21"/>
        </w:rPr>
        <w:t xml:space="preserve">Si el cliente tiene servidores con más de 4 cores físicos por procesador, o máquinas virtuales con más vCPUs, el número de paquetes de 2 cores a licenciar crece proporcionalmente (ej. un servidor de 8 cores requiere 4 paquetes).</w:t>
      </w:r>
    </w:p>
    <w:p>
      <w:pPr>
        <w:pStyle w:val="Heading2"/>
        <w:spacing w:after="120" w:before="260"/>
      </w:pPr>
      <w:r>
        <w:rPr>
          <w:b/>
          <w:bCs/>
          <w:color w:val="2E74B5"/>
          <w:sz w:val="24"/>
          <w:szCs w:val="24"/>
        </w:rPr>
        <w:t xml:space="preserve">2.2 Power BI Report Server incluido (pregunta 2)</w:t>
      </w:r>
    </w:p>
    <w:p>
      <w:pPr>
        <w:spacing w:after="160" w:line="276"/>
      </w:pPr>
      <w:r>
        <w:rPr>
          <w:sz w:val="22"/>
          <w:szCs w:val="22"/>
        </w:rPr>
        <w:t xml:space="preserve">Correcto. A partir de SQL Server 2025, la licencia de Power BI Report Server está incluida tanto en la edición Standard como en Enterprise, y ya no requiere Software Assurance activa para ejecutarlo (como sí lo requerían las versiones anteriores, donde era exclusivo de Enterprise con SA vigente). Esto representa un ahorro relevante si el cliente hoy paga Enterprise únicamente para tener derecho a Power BI Report Server: con SQL Server 2025 Standard ya queda cubierto.</w:t>
      </w:r>
    </w:p>
    <w:p>
      <w:pPr>
        <w:pStyle w:val="Heading2"/>
        <w:spacing w:after="120" w:before="260"/>
      </w:pPr>
      <w:r>
        <w:rPr>
          <w:b/>
          <w:bCs/>
          <w:color w:val="2E74B5"/>
          <w:sz w:val="24"/>
          <w:szCs w:val="24"/>
        </w:rPr>
        <w:t xml:space="preserve">2.3 ¿El licenciamiento por core cubre todo? (pregunta 3)</w:t>
      </w:r>
    </w:p>
    <w:p>
      <w:pPr>
        <w:spacing w:after="160" w:line="276"/>
      </w:pPr>
      <w:r>
        <w:rPr>
          <w:sz w:val="22"/>
          <w:szCs w:val="22"/>
        </w:rPr>
        <w:t xml:space="preserve">El licenciamiento por core cubre el acceso ilimitado de usuarios/dispositivos a la base de datos (no se requieren CALs bajo este modelo), pero hay puntos adicionales que conviene validar antes de dar por cerrado el presupuesto:</w:t>
      </w:r>
    </w:p>
    <w:p>
      <w:pPr>
        <w:pStyle w:val="ListParagraph"/>
        <w:numPr>
          <w:ilvl w:val="0"/>
          <w:numId w:val="2"/>
        </w:numPr>
        <w:spacing w:after="80" w:line="276"/>
      </w:pPr>
      <w:r>
        <w:rPr>
          <w:sz w:val="22"/>
          <w:szCs w:val="22"/>
        </w:rPr>
        <w:t xml:space="preserve">Software Assurance (SA) / suscripción: si las instancias corren en máquinas virtuales y se desea "movilidad de licencia" (mover la VM entre hosts físicos sin quedar atado a uno), se necesita SA o adquirir la licencia como suscripción. Sin SA, la licencia perpetua queda ligada al host físico.</w:t>
      </w:r>
    </w:p>
    <w:p>
      <w:pPr>
        <w:pStyle w:val="ListParagraph"/>
        <w:numPr>
          <w:ilvl w:val="0"/>
          <w:numId w:val="2"/>
        </w:numPr>
        <w:spacing w:after="80" w:line="276"/>
      </w:pPr>
      <w:r>
        <w:rPr>
          <w:sz w:val="22"/>
          <w:szCs w:val="22"/>
        </w:rPr>
        <w:t xml:space="preserve">Windows Server: la licencia de SQL Server no incluye el sistema operativo; hay que licenciar Windows Server por separado (o usar Azure, donde el SO ya está incluido en el costo de cómputo).</w:t>
      </w:r>
    </w:p>
    <w:p>
      <w:pPr>
        <w:pStyle w:val="ListParagraph"/>
        <w:numPr>
          <w:ilvl w:val="0"/>
          <w:numId w:val="2"/>
        </w:numPr>
        <w:spacing w:after="80" w:line="276"/>
      </w:pPr>
      <w:r>
        <w:rPr>
          <w:sz w:val="22"/>
          <w:szCs w:val="22"/>
        </w:rPr>
        <w:t xml:space="preserve">Alta disponibilidad (Always On): Standard permite solo réplicas básicas de disponibilidad (2 nodos, sin legibilidad secundaria); si el proyecto requiere Always On Availability Groups con múltiples réplicas activas, se necesitaría Enterprise.</w:t>
      </w:r>
    </w:p>
    <w:p>
      <w:pPr>
        <w:pStyle w:val="ListParagraph"/>
        <w:numPr>
          <w:ilvl w:val="0"/>
          <w:numId w:val="2"/>
        </w:numPr>
        <w:spacing w:after="80" w:line="276"/>
      </w:pPr>
      <w:r>
        <w:rPr>
          <w:sz w:val="22"/>
          <w:szCs w:val="22"/>
        </w:rPr>
        <w:t xml:space="preserve">Escala de cómputo: Standard 2025 ahora soporta hasta 32 cores y 256 GB de RAM por instancia (antes 24 cores / 128 GB en 2022); si algún servidor excede esos límites, esa instancia sí requeriría Enterprise.</w:t>
      </w:r>
    </w:p>
    <w:p>
      <w:pPr>
        <w:pStyle w:val="ListParagraph"/>
        <w:numPr>
          <w:ilvl w:val="0"/>
          <w:numId w:val="2"/>
        </w:numPr>
        <w:spacing w:after="80" w:line="276"/>
      </w:pPr>
      <w:r>
        <w:rPr>
          <w:sz w:val="22"/>
          <w:szCs w:val="22"/>
        </w:rPr>
        <w:t xml:space="preserve">Herramientas de respaldo, monitoreo y antivirus, así como soporte de terceros, no están incluidas en la licencia de SQL Server.</w:t>
      </w:r>
    </w:p>
    <w:p>
      <w:pPr>
        <w:pStyle w:val="ListParagraph"/>
        <w:numPr>
          <w:ilvl w:val="0"/>
          <w:numId w:val="2"/>
        </w:numPr>
        <w:spacing w:after="80" w:line="276"/>
      </w:pPr>
      <w:r>
        <w:rPr>
          <w:sz w:val="22"/>
          <w:szCs w:val="22"/>
        </w:rPr>
        <w:t xml:space="preserve">Descuentos: los precios mostrados son de lista (Open NL); el precio final dependerá del programa de licenciamiento del cliente (EA, MPSA, CSP) y puede ser menor.</w:t>
      </w:r>
    </w:p>
    <w:p>
      <w:pPr>
        <w:spacing w:after="160" w:line="276"/>
      </w:pPr>
      <w:r>
        <w:rPr>
          <w:sz w:val="22"/>
          <w:szCs w:val="22"/>
        </w:rPr>
        <w:t xml:space="preserve">Con esas salvedades, para un escenario estándar de 4 cores sin Always On avanzado, el licenciamiento por core efectivamente cubre la operación completa de la base de datos, incluyendo ahora Power BI Report Server.</w:t>
      </w:r>
    </w:p>
    <w:p>
      <w:pPr>
        <w:pStyle w:val="Heading1"/>
        <w:pBdr>
          <w:bottom w:val="single" w:color="1F3864" w:sz="6" w:space="4"/>
        </w:pBdr>
        <w:spacing w:after="160" w:before="360"/>
      </w:pPr>
      <w:r>
        <w:rPr>
          <w:b/>
          <w:bCs/>
          <w:color w:val="1F3864"/>
          <w:sz w:val="28"/>
          <w:szCs w:val="28"/>
        </w:rPr>
        <w:t xml:space="preserve">3. Requisitos para actualizar el ambiente (SQL Server 2016 → 2025)</w:t>
      </w:r>
    </w:p>
    <w:p>
      <w:pPr>
        <w:pStyle w:val="Heading2"/>
        <w:spacing w:after="120" w:before="260"/>
      </w:pPr>
      <w:r>
        <w:rPr>
          <w:b/>
          <w:bCs/>
          <w:color w:val="2E74B5"/>
          <w:sz w:val="24"/>
          <w:szCs w:val="24"/>
        </w:rPr>
        <w:t xml:space="preserve">3.1 Requisitos de software y hardware de SQL Server 2025</w:t>
      </w:r>
    </w:p>
    <w:p>
      <w:pPr>
        <w:pStyle w:val="ListParagraph"/>
        <w:numPr>
          <w:ilvl w:val="0"/>
          <w:numId w:val="2"/>
        </w:numPr>
        <w:spacing w:after="80" w:line="276"/>
      </w:pPr>
      <w:r>
        <w:rPr>
          <w:sz w:val="22"/>
          <w:szCs w:val="22"/>
        </w:rPr>
        <w:t xml:space="preserve">Sistema operativo: Windows 10 o superior / Windows Server 2019 o superior (Windows Server 2016, el que probablemente hospeda hoy las instancias, no está soportado como SO para instalar SQL Server 2025; se requiere actualizar también el sistema operativo, o migrar a una VM/host con SO más reciente).</w:t>
      </w:r>
    </w:p>
    <w:p>
      <w:pPr>
        <w:pStyle w:val="ListParagraph"/>
        <w:numPr>
          <w:ilvl w:val="0"/>
          <w:numId w:val="2"/>
        </w:numPr>
        <w:spacing w:after="80" w:line="276"/>
      </w:pPr>
      <w:r>
        <w:rPr>
          <w:sz w:val="22"/>
          <w:szCs w:val="22"/>
        </w:rPr>
        <w:t xml:space="preserve">.NET Framework 4.7.2 o superior.</w:t>
      </w:r>
    </w:p>
    <w:p>
      <w:pPr>
        <w:pStyle w:val="ListParagraph"/>
        <w:numPr>
          <w:ilvl w:val="0"/>
          <w:numId w:val="2"/>
        </w:numPr>
        <w:spacing w:after="80" w:line="276"/>
      </w:pPr>
      <w:r>
        <w:rPr>
          <w:sz w:val="22"/>
          <w:szCs w:val="22"/>
        </w:rPr>
        <w:t xml:space="preserve">Procesador x64 (AMD/Intel), 1.4 GHz mínimo, 2.0 GHz recomendado.</w:t>
      </w:r>
    </w:p>
    <w:p>
      <w:pPr>
        <w:pStyle w:val="ListParagraph"/>
        <w:numPr>
          <w:ilvl w:val="0"/>
          <w:numId w:val="2"/>
        </w:numPr>
        <w:spacing w:after="80" w:line="276"/>
      </w:pPr>
      <w:r>
        <w:rPr>
          <w:sz w:val="22"/>
          <w:szCs w:val="22"/>
        </w:rPr>
        <w:t xml:space="preserve">Memoria: 1 GB mínimo, 4 GB o más recomendado (creciendo según el tamaño de la base de datos).</w:t>
      </w:r>
    </w:p>
    <w:p>
      <w:pPr>
        <w:pStyle w:val="ListParagraph"/>
        <w:numPr>
          <w:ilvl w:val="0"/>
          <w:numId w:val="2"/>
        </w:numPr>
        <w:spacing w:after="80" w:line="276"/>
      </w:pPr>
      <w:r>
        <w:rPr>
          <w:sz w:val="22"/>
          <w:szCs w:val="22"/>
        </w:rPr>
        <w:t xml:space="preserve">Disco: mínimo 6 GB de espacio libre para la instalación.</w:t>
      </w:r>
    </w:p>
    <w:p>
      <w:pPr>
        <w:pStyle w:val="ListParagraph"/>
        <w:numPr>
          <w:ilvl w:val="0"/>
          <w:numId w:val="2"/>
        </w:numPr>
        <w:spacing w:after="80" w:line="276"/>
      </w:pPr>
      <w:r>
        <w:rPr>
          <w:sz w:val="22"/>
          <w:szCs w:val="22"/>
        </w:rPr>
        <w:t xml:space="preserve">Standard Edition 2025 soporta hasta 32 cores y 256 GB de RAM por instancia; conviene medir el consumo actual de los servidores 2016 para confirmar que entran en esos límites.</w:t>
      </w:r>
    </w:p>
    <w:p>
      <w:pPr>
        <w:pStyle w:val="Heading2"/>
        <w:spacing w:after="120" w:before="260"/>
      </w:pPr>
      <w:r>
        <w:rPr>
          <w:b/>
          <w:bCs/>
          <w:color w:val="2E74B5"/>
          <w:sz w:val="24"/>
          <w:szCs w:val="24"/>
        </w:rPr>
        <w:t xml:space="preserve">3.2 Ruta de actualización recomendada</w:t>
      </w:r>
    </w:p>
    <w:p>
      <w:pPr>
        <w:pStyle w:val="ListParagraph"/>
        <w:numPr>
          <w:ilvl w:val="0"/>
          <w:numId w:val="2"/>
        </w:numPr>
        <w:spacing w:after="80" w:line="276"/>
      </w:pPr>
      <w:r>
        <w:rPr>
          <w:sz w:val="22"/>
          <w:szCs w:val="22"/>
        </w:rPr>
        <w:t xml:space="preserve">Inventario y evaluación: levantar inventario completo de instancias 2016 (edición, cores, tamaño de BD, features en uso — Reporting Services, SSIS, Always On, CLR, jobs de agente) usando Azure Migrate o Data Migration Assistant (DMA), ambos gratuitos.</w:t>
      </w:r>
    </w:p>
    <w:p>
      <w:pPr>
        <w:pStyle w:val="ListParagraph"/>
        <w:numPr>
          <w:ilvl w:val="0"/>
          <w:numId w:val="2"/>
        </w:numPr>
        <w:spacing w:after="80" w:line="276"/>
      </w:pPr>
      <w:r>
        <w:rPr>
          <w:sz w:val="22"/>
          <w:szCs w:val="22"/>
        </w:rPr>
        <w:t xml:space="preserve">Compatibilidad de aplicaciones: validar con DMA breaking changes y deprecated features entre 2016 y 2025 (nivel de compatibilidad de base de datos, sintaxis T-SQL en desuso, etc.).</w:t>
      </w:r>
    </w:p>
    <w:p>
      <w:pPr>
        <w:pStyle w:val="ListParagraph"/>
        <w:numPr>
          <w:ilvl w:val="0"/>
          <w:numId w:val="2"/>
        </w:numPr>
        <w:spacing w:after="80" w:line="276"/>
      </w:pPr>
      <w:r>
        <w:rPr>
          <w:sz w:val="22"/>
          <w:szCs w:val="22"/>
        </w:rPr>
        <w:t xml:space="preserve">Estrategia de actualización: por la brecha de varias versiones, normalmente se recomienda migración vía backup/restore o detach/attach hacia el nuevo servidor (en lugar de upgrade in-place), lo que también resuelve el requisito de sistema operativo.</w:t>
      </w:r>
    </w:p>
    <w:p>
      <w:pPr>
        <w:pStyle w:val="ListParagraph"/>
        <w:numPr>
          <w:ilvl w:val="0"/>
          <w:numId w:val="2"/>
        </w:numPr>
        <w:spacing w:after="80" w:line="276"/>
      </w:pPr>
      <w:r>
        <w:rPr>
          <w:sz w:val="22"/>
          <w:szCs w:val="22"/>
        </w:rPr>
        <w:t xml:space="preserve">Ambiente de prueba: validar la aplicación en SQL Server 2025 Developer Edition (gratuita, mismas capacidades que Standard/Enterprise) antes de tocar producción.</w:t>
      </w:r>
    </w:p>
    <w:p>
      <w:pPr>
        <w:pStyle w:val="ListParagraph"/>
        <w:numPr>
          <w:ilvl w:val="0"/>
          <w:numId w:val="2"/>
        </w:numPr>
        <w:spacing w:after="80" w:line="276"/>
      </w:pPr>
      <w:r>
        <w:rPr>
          <w:sz w:val="22"/>
          <w:szCs w:val="22"/>
        </w:rPr>
        <w:t xml:space="preserve">Ventana de migración y rollback: planear la migración de cada servidor con ventana de mantenimiento y plan de reversa.</w:t>
      </w:r>
    </w:p>
    <w:p>
      <w:pPr>
        <w:pBdr>
          <w:left w:val="single" w:color="BF8F00" w:sz="18" w:space="8"/>
        </w:pBdr>
        <w:shd w:fill="FFF2CC" w:val="clear"/>
        <w:spacing w:after="200"/>
      </w:pPr>
      <w:r>
        <w:rPr>
          <w:i/>
          <w:iCs/>
          <w:color w:val="7F6000"/>
          <w:sz w:val="21"/>
          <w:szCs w:val="21"/>
        </w:rPr>
        <w:t xml:space="preserve">Dato relevante para la planeación: SQL Server 2016 salió de soporte extendido el 14 de julio de 2026. Sin un contrato de Extended Security Updates (ESU), las instancias que sigan en 2016 ya no reciben parches de seguridad críticos.</w:t>
      </w:r>
    </w:p>
    <w:p>
      <w:pPr>
        <w:pStyle w:val="Heading1"/>
        <w:pBdr>
          <w:bottom w:val="single" w:color="1F3864" w:sz="6" w:space="4"/>
        </w:pBdr>
        <w:spacing w:after="160" w:before="360"/>
      </w:pPr>
      <w:r>
        <w:rPr>
          <w:b/>
          <w:bCs/>
          <w:color w:val="1F3864"/>
          <w:sz w:val="28"/>
          <w:szCs w:val="28"/>
        </w:rPr>
        <w:t xml:space="preserve">4. Migración a Azure: costos y beneficios</w:t>
      </w:r>
    </w:p>
    <w:p>
      <w:pPr>
        <w:spacing w:after="160" w:line="276"/>
      </w:pPr>
      <w:r>
        <w:rPr>
          <w:sz w:val="22"/>
          <w:szCs w:val="22"/>
        </w:rPr>
        <w:t xml:space="preserve">Antes de decidir entre actualizar on-premises a SQL Server 2025 o migrar a la nube, vale la pena evaluar las dos rutas principales que ofrece Azure para bases de datos SQL Server:</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900"/>
        <w:gridCol w:w="3920"/>
        <w:gridCol w:w="3920"/>
      </w:tblGrid>
      <w:tr>
        <w:trPr>
          <w:tblHeader/>
        </w:trPr>
        <w:tc>
          <w:tcPr>
            <w:tcW w:type="dxa" w:w="1900"/>
            <w:shd w:fill="1F3864" w:val="clear"/>
            <w:tcMar>
              <w:top w:type="dxa" w:w="80"/>
              <w:left w:type="dxa" w:w="100"/>
              <w:bottom w:type="dxa" w:w="80"/>
              <w:right w:type="dxa" w:w="100"/>
            </w:tcMar>
          </w:tcPr>
          <w:p>
            <w:pPr>
              <w:jc w:val="left"/>
            </w:pPr>
            <w:r>
              <w:rPr>
                <w:b/>
                <w:bCs/>
                <w:color w:val="FFFFFF"/>
                <w:sz w:val="20"/>
                <w:szCs w:val="20"/>
              </w:rPr>
              <w:t xml:space="preserve"/>
            </w:r>
          </w:p>
        </w:tc>
        <w:tc>
          <w:tcPr>
            <w:tcW w:type="dxa" w:w="3920"/>
            <w:shd w:fill="1F3864" w:val="clear"/>
            <w:tcMar>
              <w:top w:type="dxa" w:w="80"/>
              <w:left w:type="dxa" w:w="100"/>
              <w:bottom w:type="dxa" w:w="80"/>
              <w:right w:type="dxa" w:w="100"/>
            </w:tcMar>
          </w:tcPr>
          <w:p>
            <w:pPr>
              <w:jc w:val="left"/>
            </w:pPr>
            <w:r>
              <w:rPr>
                <w:b/>
                <w:bCs/>
                <w:color w:val="FFFFFF"/>
                <w:sz w:val="20"/>
                <w:szCs w:val="20"/>
              </w:rPr>
              <w:t xml:space="preserve">SQL Server en Azure VM (IaaS)</w:t>
            </w:r>
          </w:p>
        </w:tc>
        <w:tc>
          <w:tcPr>
            <w:tcW w:type="dxa" w:w="3920"/>
            <w:shd w:fill="1F3864" w:val="clear"/>
            <w:tcMar>
              <w:top w:type="dxa" w:w="80"/>
              <w:left w:type="dxa" w:w="100"/>
              <w:bottom w:type="dxa" w:w="80"/>
              <w:right w:type="dxa" w:w="100"/>
            </w:tcMar>
          </w:tcPr>
          <w:p>
            <w:pPr>
              <w:jc w:val="left"/>
            </w:pPr>
            <w:r>
              <w:rPr>
                <w:b/>
                <w:bCs/>
                <w:color w:val="FFFFFF"/>
                <w:sz w:val="20"/>
                <w:szCs w:val="20"/>
              </w:rPr>
              <w:t xml:space="preserve">Azure SQL Managed Instance (PaaS)</w:t>
            </w:r>
          </w:p>
        </w:tc>
      </w:tr>
      <w:tr>
        <w:tc>
          <w:tcPr>
            <w:tcW w:type="dxa" w:w="1900"/>
            <w:tcMar>
              <w:top w:type="dxa" w:w="80"/>
              <w:left w:type="dxa" w:w="100"/>
              <w:bottom w:type="dxa" w:w="80"/>
              <w:right w:type="dxa" w:w="100"/>
            </w:tcMar>
          </w:tcPr>
          <w:p>
            <w:pPr>
              <w:jc w:val="left"/>
            </w:pPr>
            <w:r>
              <w:rPr>
                <w:b/>
                <w:bCs/>
                <w:color w:val="000000"/>
                <w:sz w:val="20"/>
                <w:szCs w:val="20"/>
              </w:rPr>
              <w:t xml:space="preserve">Compatibilidad</w:t>
            </w:r>
          </w:p>
        </w:tc>
        <w:tc>
          <w:tcPr>
            <w:tcW w:type="dxa" w:w="3920"/>
            <w:tcMar>
              <w:top w:type="dxa" w:w="80"/>
              <w:left w:type="dxa" w:w="100"/>
              <w:bottom w:type="dxa" w:w="80"/>
              <w:right w:type="dxa" w:w="100"/>
            </w:tcMar>
          </w:tcPr>
          <w:p>
            <w:pPr>
              <w:jc w:val="left"/>
            </w:pPr>
            <w:r>
              <w:rPr>
                <w:b w:val="false"/>
                <w:bCs w:val="false"/>
                <w:color w:val="000000"/>
                <w:sz w:val="20"/>
                <w:szCs w:val="20"/>
              </w:rPr>
              <w:t xml:space="preserve">Máxima; control total del SO y motor, ideal para features que dependen de la versión/edición on-prem</w:t>
            </w:r>
          </w:p>
        </w:tc>
        <w:tc>
          <w:tcPr>
            <w:tcW w:type="dxa" w:w="3920"/>
            <w:tcMar>
              <w:top w:type="dxa" w:w="80"/>
              <w:left w:type="dxa" w:w="100"/>
              <w:bottom w:type="dxa" w:w="80"/>
              <w:right w:type="dxa" w:w="100"/>
            </w:tcMar>
          </w:tcPr>
          <w:p>
            <w:pPr>
              <w:jc w:val="left"/>
            </w:pPr>
            <w:r>
              <w:rPr>
                <w:b w:val="false"/>
                <w:bCs w:val="false"/>
                <w:color w:val="000000"/>
                <w:sz w:val="20"/>
                <w:szCs w:val="20"/>
              </w:rPr>
              <w:t xml:space="preserve">Muy alta (compatibilidad casi 100% con SQL Server); requiere validar features específicas</w:t>
            </w:r>
          </w:p>
        </w:tc>
      </w:tr>
      <w:tr>
        <w:tc>
          <w:tcPr>
            <w:tcW w:type="dxa" w:w="1900"/>
            <w:shd w:fill="DCE6F1" w:val="clear"/>
            <w:tcMar>
              <w:top w:type="dxa" w:w="80"/>
              <w:left w:type="dxa" w:w="100"/>
              <w:bottom w:type="dxa" w:w="80"/>
              <w:right w:type="dxa" w:w="100"/>
            </w:tcMar>
          </w:tcPr>
          <w:p>
            <w:pPr>
              <w:jc w:val="left"/>
            </w:pPr>
            <w:r>
              <w:rPr>
                <w:b/>
                <w:bCs/>
                <w:color w:val="000000"/>
                <w:sz w:val="20"/>
                <w:szCs w:val="20"/>
              </w:rPr>
              <w:t xml:space="preserve">Administración</w:t>
            </w:r>
          </w:p>
        </w:tc>
        <w:tc>
          <w:tcPr>
            <w:tcW w:type="dxa" w:w="3920"/>
            <w:shd w:fill="DCE6F1" w:val="clear"/>
            <w:tcMar>
              <w:top w:type="dxa" w:w="80"/>
              <w:left w:type="dxa" w:w="100"/>
              <w:bottom w:type="dxa" w:w="80"/>
              <w:right w:type="dxa" w:w="100"/>
            </w:tcMar>
          </w:tcPr>
          <w:p>
            <w:pPr>
              <w:jc w:val="left"/>
            </w:pPr>
            <w:r>
              <w:rPr>
                <w:b w:val="false"/>
                <w:bCs w:val="false"/>
                <w:color w:val="000000"/>
                <w:sz w:val="20"/>
                <w:szCs w:val="20"/>
              </w:rPr>
              <w:t xml:space="preserve">A cargo del cliente (parches de SO, backups, HA)</w:t>
            </w:r>
          </w:p>
        </w:tc>
        <w:tc>
          <w:tcPr>
            <w:tcW w:type="dxa" w:w="3920"/>
            <w:shd w:fill="DCE6F1" w:val="clear"/>
            <w:tcMar>
              <w:top w:type="dxa" w:w="80"/>
              <w:left w:type="dxa" w:w="100"/>
              <w:bottom w:type="dxa" w:w="80"/>
              <w:right w:type="dxa" w:w="100"/>
            </w:tcMar>
          </w:tcPr>
          <w:p>
            <w:pPr>
              <w:jc w:val="left"/>
            </w:pPr>
            <w:r>
              <w:rPr>
                <w:b w:val="false"/>
                <w:bCs w:val="false"/>
                <w:color w:val="000000"/>
                <w:sz w:val="20"/>
                <w:szCs w:val="20"/>
              </w:rPr>
              <w:t xml:space="preserve">Administrada por Microsoft: parches, backups y HA automáticos</w:t>
            </w:r>
          </w:p>
        </w:tc>
      </w:tr>
      <w:tr>
        <w:tc>
          <w:tcPr>
            <w:tcW w:type="dxa" w:w="1900"/>
            <w:tcMar>
              <w:top w:type="dxa" w:w="80"/>
              <w:left w:type="dxa" w:w="100"/>
              <w:bottom w:type="dxa" w:w="80"/>
              <w:right w:type="dxa" w:w="100"/>
            </w:tcMar>
          </w:tcPr>
          <w:p>
            <w:pPr>
              <w:jc w:val="left"/>
            </w:pPr>
            <w:r>
              <w:rPr>
                <w:b/>
                <w:bCs/>
                <w:color w:val="000000"/>
                <w:sz w:val="20"/>
                <w:szCs w:val="20"/>
              </w:rPr>
              <w:t xml:space="preserve">Licenciamiento</w:t>
            </w:r>
          </w:p>
        </w:tc>
        <w:tc>
          <w:tcPr>
            <w:tcW w:type="dxa" w:w="3920"/>
            <w:tcMar>
              <w:top w:type="dxa" w:w="80"/>
              <w:left w:type="dxa" w:w="100"/>
              <w:bottom w:type="dxa" w:w="80"/>
              <w:right w:type="dxa" w:w="100"/>
            </w:tcMar>
          </w:tcPr>
          <w:p>
            <w:pPr>
              <w:jc w:val="left"/>
            </w:pPr>
            <w:r>
              <w:rPr>
                <w:b w:val="false"/>
                <w:bCs w:val="false"/>
                <w:color w:val="000000"/>
                <w:sz w:val="20"/>
                <w:szCs w:val="20"/>
              </w:rPr>
              <w:t xml:space="preserve">Licencia propia (con Azure Hybrid Benefit) o incluida en el precio de la VM</w:t>
            </w:r>
          </w:p>
        </w:tc>
        <w:tc>
          <w:tcPr>
            <w:tcW w:type="dxa" w:w="3920"/>
            <w:tcMar>
              <w:top w:type="dxa" w:w="80"/>
              <w:left w:type="dxa" w:w="100"/>
              <w:bottom w:type="dxa" w:w="80"/>
              <w:right w:type="dxa" w:w="100"/>
            </w:tcMar>
          </w:tcPr>
          <w:p>
            <w:pPr>
              <w:jc w:val="left"/>
            </w:pPr>
            <w:r>
              <w:rPr>
                <w:b w:val="false"/>
                <w:bCs w:val="false"/>
                <w:color w:val="000000"/>
                <w:sz w:val="20"/>
                <w:szCs w:val="20"/>
              </w:rPr>
              <w:t xml:space="preserve">Incluido en el precio del servicio o con Azure Hybrid Benefit</w:t>
            </w:r>
          </w:p>
        </w:tc>
      </w:tr>
      <w:tr>
        <w:tc>
          <w:tcPr>
            <w:tcW w:type="dxa" w:w="1900"/>
            <w:shd w:fill="DCE6F1" w:val="clear"/>
            <w:tcMar>
              <w:top w:type="dxa" w:w="80"/>
              <w:left w:type="dxa" w:w="100"/>
              <w:bottom w:type="dxa" w:w="80"/>
              <w:right w:type="dxa" w:w="100"/>
            </w:tcMar>
          </w:tcPr>
          <w:p>
            <w:pPr>
              <w:jc w:val="left"/>
            </w:pPr>
            <w:r>
              <w:rPr>
                <w:b/>
                <w:bCs/>
                <w:color w:val="000000"/>
                <w:sz w:val="20"/>
                <w:szCs w:val="20"/>
              </w:rPr>
              <w:t xml:space="preserve">Esfuerzo de migración</w:t>
            </w:r>
          </w:p>
        </w:tc>
        <w:tc>
          <w:tcPr>
            <w:tcW w:type="dxa" w:w="3920"/>
            <w:shd w:fill="DCE6F1" w:val="clear"/>
            <w:tcMar>
              <w:top w:type="dxa" w:w="80"/>
              <w:left w:type="dxa" w:w="100"/>
              <w:bottom w:type="dxa" w:w="80"/>
              <w:right w:type="dxa" w:w="100"/>
            </w:tcMar>
          </w:tcPr>
          <w:p>
            <w:pPr>
              <w:jc w:val="left"/>
            </w:pPr>
            <w:r>
              <w:rPr>
                <w:b w:val="false"/>
                <w:bCs w:val="false"/>
                <w:color w:val="000000"/>
                <w:sz w:val="20"/>
                <w:szCs w:val="20"/>
              </w:rPr>
              <w:t xml:space="preserve">Bajo (lift-and-shift)</w:t>
            </w:r>
          </w:p>
        </w:tc>
        <w:tc>
          <w:tcPr>
            <w:tcW w:type="dxa" w:w="3920"/>
            <w:shd w:fill="DCE6F1" w:val="clear"/>
            <w:tcMar>
              <w:top w:type="dxa" w:w="80"/>
              <w:left w:type="dxa" w:w="100"/>
              <w:bottom w:type="dxa" w:w="80"/>
              <w:right w:type="dxa" w:w="100"/>
            </w:tcMar>
          </w:tcPr>
          <w:p>
            <w:pPr>
              <w:jc w:val="left"/>
            </w:pPr>
            <w:r>
              <w:rPr>
                <w:b w:val="false"/>
                <w:bCs w:val="false"/>
                <w:color w:val="000000"/>
                <w:sz w:val="20"/>
                <w:szCs w:val="20"/>
              </w:rPr>
              <w:t xml:space="preserve">Medio (revisar compatibilidad de features y tamaño)</w:t>
            </w:r>
          </w:p>
        </w:tc>
      </w:tr>
      <w:tr>
        <w:tc>
          <w:tcPr>
            <w:tcW w:type="dxa" w:w="1900"/>
            <w:tcMar>
              <w:top w:type="dxa" w:w="80"/>
              <w:left w:type="dxa" w:w="100"/>
              <w:bottom w:type="dxa" w:w="80"/>
              <w:right w:type="dxa" w:w="100"/>
            </w:tcMar>
          </w:tcPr>
          <w:p>
            <w:pPr>
              <w:jc w:val="left"/>
            </w:pPr>
            <w:r>
              <w:rPr>
                <w:b/>
                <w:bCs/>
                <w:color w:val="000000"/>
                <w:sz w:val="20"/>
                <w:szCs w:val="20"/>
              </w:rPr>
              <w:t xml:space="preserve">Mejor para</w:t>
            </w:r>
          </w:p>
        </w:tc>
        <w:tc>
          <w:tcPr>
            <w:tcW w:type="dxa" w:w="3920"/>
            <w:tcMar>
              <w:top w:type="dxa" w:w="80"/>
              <w:left w:type="dxa" w:w="100"/>
              <w:bottom w:type="dxa" w:w="80"/>
              <w:right w:type="dxa" w:w="100"/>
            </w:tcMar>
          </w:tcPr>
          <w:p>
            <w:pPr>
              <w:jc w:val="left"/>
            </w:pPr>
            <w:r>
              <w:rPr>
                <w:b w:val="false"/>
                <w:bCs w:val="false"/>
                <w:color w:val="000000"/>
                <w:sz w:val="20"/>
                <w:szCs w:val="20"/>
              </w:rPr>
              <w:t xml:space="preserve">Migración rápida sin cambios de aplicación</w:t>
            </w:r>
          </w:p>
        </w:tc>
        <w:tc>
          <w:tcPr>
            <w:tcW w:type="dxa" w:w="3920"/>
            <w:tcMar>
              <w:top w:type="dxa" w:w="80"/>
              <w:left w:type="dxa" w:w="100"/>
              <w:bottom w:type="dxa" w:w="80"/>
              <w:right w:type="dxa" w:w="100"/>
            </w:tcMar>
          </w:tcPr>
          <w:p>
            <w:pPr>
              <w:jc w:val="left"/>
            </w:pPr>
            <w:r>
              <w:rPr>
                <w:b w:val="false"/>
                <w:bCs w:val="false"/>
                <w:color w:val="000000"/>
                <w:sz w:val="20"/>
                <w:szCs w:val="20"/>
              </w:rPr>
              <w:t xml:space="preserve">Reducir carga operativa y modernizar a mediano plazo</w:t>
            </w:r>
          </w:p>
        </w:tc>
      </w:tr>
    </w:tbl>
    <w:p>
      <w:pPr>
        <w:spacing w:after="160"/>
      </w:pPr>
    </w:p>
    <w:p>
      <w:pPr>
        <w:pStyle w:val="Heading2"/>
        <w:spacing w:after="120" w:before="260"/>
      </w:pPr>
      <w:r>
        <w:rPr>
          <w:b/>
          <w:bCs/>
          <w:color w:val="2E74B5"/>
          <w:sz w:val="24"/>
          <w:szCs w:val="24"/>
        </w:rPr>
        <w:t xml:space="preserve">4.1 Costos estimados en Azure</w:t>
      </w:r>
    </w:p>
    <w:p>
      <w:pPr>
        <w:pStyle w:val="ListParagraph"/>
        <w:numPr>
          <w:ilvl w:val="0"/>
          <w:numId w:val="2"/>
        </w:numPr>
        <w:spacing w:after="80" w:line="276"/>
      </w:pPr>
      <w:r>
        <w:rPr>
          <w:sz w:val="22"/>
          <w:szCs w:val="22"/>
        </w:rPr>
        <w:t xml:space="preserve">Pago por uso vía Azure Arc (para instancias on-premises o en VM que se conectan a Azure Arc, sin migrar la carga en sí): Standard $0.100/hora (~$73/mes) por instancia habilitada; Enterprise $0.375/hora (~$274/mes).</w:t>
      </w:r>
    </w:p>
    <w:p>
      <w:pPr>
        <w:pStyle w:val="ListParagraph"/>
        <w:numPr>
          <w:ilvl w:val="0"/>
          <w:numId w:val="2"/>
        </w:numPr>
        <w:spacing w:after="80" w:line="276"/>
      </w:pPr>
      <w:r>
        <w:rPr>
          <w:sz w:val="22"/>
          <w:szCs w:val="22"/>
        </w:rPr>
        <w:t xml:space="preserve">Azure Hybrid Benefit: si el cliente conserva licencias de SQL Server con Software Assurance vigente, puede reutilizarlas en Azure (VM o Managed Instance) y reducir significativamente el costo de cómputo — es habitual ver ahorros de entre 30% y 55% frente al pago de licencia + cómputo por separado.</w:t>
      </w:r>
    </w:p>
    <w:p>
      <w:pPr>
        <w:pStyle w:val="ListParagraph"/>
        <w:numPr>
          <w:ilvl w:val="0"/>
          <w:numId w:val="2"/>
        </w:numPr>
        <w:spacing w:after="80" w:line="276"/>
      </w:pPr>
      <w:r>
        <w:rPr>
          <w:sz w:val="22"/>
          <w:szCs w:val="22"/>
        </w:rPr>
        <w:t xml:space="preserve">Azure SQL Managed Instance / Azure SQL Database: se cobra por vCore/DTU consumido; con planes de ahorro ("savings plan for databases") Microsoft indica ahorros de hasta 35% frente a pago por consumo ("pay-as-you-go"), comparado con un compromiso de 1 año.</w:t>
      </w:r>
    </w:p>
    <w:p>
      <w:pPr>
        <w:pStyle w:val="ListParagraph"/>
        <w:numPr>
          <w:ilvl w:val="0"/>
          <w:numId w:val="2"/>
        </w:numPr>
        <w:spacing w:after="80" w:line="276"/>
      </w:pPr>
      <w:r>
        <w:rPr>
          <w:sz w:val="22"/>
          <w:szCs w:val="22"/>
        </w:rPr>
        <w:t xml:space="preserve">Costo evitado de infraestructura física: al mover a PaaS se elimina la necesidad de refrescar hardware, licencias de Windows Server, y parte del esfuerzo operativo de parchado y respaldo.</w:t>
      </w:r>
    </w:p>
    <w:p>
      <w:pPr>
        <w:pStyle w:val="Heading2"/>
        <w:spacing w:after="120" w:before="260"/>
      </w:pPr>
      <w:r>
        <w:rPr>
          <w:b/>
          <w:bCs/>
          <w:color w:val="2E74B5"/>
          <w:sz w:val="24"/>
          <w:szCs w:val="24"/>
        </w:rPr>
        <w:t xml:space="preserve">4.2 Beneficios de mover la carga a Azure</w:t>
      </w:r>
    </w:p>
    <w:p>
      <w:pPr>
        <w:pStyle w:val="ListParagraph"/>
        <w:numPr>
          <w:ilvl w:val="0"/>
          <w:numId w:val="2"/>
        </w:numPr>
        <w:spacing w:after="80" w:line="276"/>
      </w:pPr>
      <w:r>
        <w:rPr>
          <w:sz w:val="22"/>
          <w:szCs w:val="22"/>
        </w:rPr>
        <w:t xml:space="preserve">Evergreen / sin fecha de fin de soporte del motor: Azure SQL Database y Managed Instance se mantienen siempre en la versión más reciente, eliminando el riesgo recurrente de fin de soporte que hoy enfrenta el cliente con SQL Server 2016.</w:t>
      </w:r>
    </w:p>
    <w:p>
      <w:pPr>
        <w:pStyle w:val="ListParagraph"/>
        <w:numPr>
          <w:ilvl w:val="0"/>
          <w:numId w:val="2"/>
        </w:numPr>
        <w:spacing w:after="80" w:line="276"/>
      </w:pPr>
      <w:r>
        <w:rPr>
          <w:sz w:val="22"/>
          <w:szCs w:val="22"/>
        </w:rPr>
        <w:t xml:space="preserve">Alta disponibilidad y recuperación ante desastres integradas, sin configurar Always On manualmente.</w:t>
      </w:r>
    </w:p>
    <w:p>
      <w:pPr>
        <w:pStyle w:val="ListParagraph"/>
        <w:numPr>
          <w:ilvl w:val="0"/>
          <w:numId w:val="2"/>
        </w:numPr>
        <w:spacing w:after="80" w:line="276"/>
      </w:pPr>
      <w:r>
        <w:rPr>
          <w:sz w:val="22"/>
          <w:szCs w:val="22"/>
        </w:rPr>
        <w:t xml:space="preserve">Parches y respaldos automáticos administrados por Microsoft (en el modelo PaaS).</w:t>
      </w:r>
    </w:p>
    <w:p>
      <w:pPr>
        <w:pStyle w:val="ListParagraph"/>
        <w:numPr>
          <w:ilvl w:val="0"/>
          <w:numId w:val="2"/>
        </w:numPr>
        <w:spacing w:after="80" w:line="276"/>
      </w:pPr>
      <w:r>
        <w:rPr>
          <w:sz w:val="22"/>
          <w:szCs w:val="22"/>
        </w:rPr>
        <w:t xml:space="preserve">Elasticidad: escalar cómputo/almacenamiento bajo demanda sin comprar hardware nuevo.</w:t>
      </w:r>
    </w:p>
    <w:p>
      <w:pPr>
        <w:pStyle w:val="ListParagraph"/>
        <w:numPr>
          <w:ilvl w:val="0"/>
          <w:numId w:val="2"/>
        </w:numPr>
        <w:spacing w:after="80" w:line="276"/>
      </w:pPr>
      <w:r>
        <w:rPr>
          <w:sz w:val="22"/>
          <w:szCs w:val="22"/>
        </w:rPr>
        <w:t xml:space="preserve">Seguridad y cumplimiento: cifrado, auditoría y Microsoft Defender for Cloud integrados.</w:t>
      </w:r>
    </w:p>
    <w:p>
      <w:pPr>
        <w:pStyle w:val="ListParagraph"/>
        <w:numPr>
          <w:ilvl w:val="0"/>
          <w:numId w:val="2"/>
        </w:numPr>
        <w:spacing w:after="80" w:line="276"/>
      </w:pPr>
      <w:r>
        <w:rPr>
          <w:sz w:val="22"/>
          <w:szCs w:val="22"/>
        </w:rPr>
        <w:t xml:space="preserve">Costo operativo predecible (modelo OPEX en vez de CAPEX).</w:t>
      </w:r>
    </w:p>
    <w:p>
      <w:pPr>
        <w:pStyle w:val="Heading1"/>
        <w:pBdr>
          <w:bottom w:val="single" w:color="1F3864" w:sz="6" w:space="4"/>
        </w:pBdr>
        <w:spacing w:after="160" w:before="360"/>
      </w:pPr>
      <w:r>
        <w:rPr>
          <w:b/>
          <w:bCs/>
          <w:color w:val="1F3864"/>
          <w:sz w:val="28"/>
          <w:szCs w:val="28"/>
        </w:rPr>
        <w:t xml:space="preserve">5. El costo de no actuar: Extended Security Updates (ESU) para SQL Server 2016</w:t>
      </w:r>
    </w:p>
    <w:p>
      <w:pPr>
        <w:spacing w:after="160" w:line="276"/>
      </w:pPr>
      <w:r>
        <w:rPr>
          <w:sz w:val="22"/>
          <w:szCs w:val="22"/>
        </w:rPr>
        <w:t xml:space="preserve">Si alguno de los servidores no puede migrarse a tiempo, Microsoft ofrece ESU como puente temporal (solo actualizaciones críticas de seguridad, sin nuevas funciones ni soporte técnico general), por un máximo de 3 años adicionales (hasta el 17 de julio de 2029). El costo se calcula como porcentaje del precio de la licencia original y aumenta cada año:</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600"/>
        <w:gridCol w:w="5140"/>
      </w:tblGrid>
      <w:tr>
        <w:trPr>
          <w:tblHeader/>
        </w:trPr>
        <w:tc>
          <w:tcPr>
            <w:tcW w:type="dxa" w:w="4600"/>
            <w:shd w:fill="1F3864" w:val="clear"/>
            <w:tcMar>
              <w:top w:type="dxa" w:w="80"/>
              <w:left w:type="dxa" w:w="100"/>
              <w:bottom w:type="dxa" w:w="80"/>
              <w:right w:type="dxa" w:w="100"/>
            </w:tcMar>
          </w:tcPr>
          <w:p>
            <w:pPr>
              <w:jc w:val="left"/>
            </w:pPr>
            <w:r>
              <w:rPr>
                <w:b/>
                <w:bCs/>
                <w:color w:val="FFFFFF"/>
                <w:sz w:val="20"/>
                <w:szCs w:val="20"/>
              </w:rPr>
              <w:t xml:space="preserve">Año de cobertura ESU</w:t>
            </w:r>
          </w:p>
        </w:tc>
        <w:tc>
          <w:tcPr>
            <w:tcW w:type="dxa" w:w="5140"/>
            <w:shd w:fill="1F3864" w:val="clear"/>
            <w:tcMar>
              <w:top w:type="dxa" w:w="80"/>
              <w:left w:type="dxa" w:w="100"/>
              <w:bottom w:type="dxa" w:w="80"/>
              <w:right w:type="dxa" w:w="100"/>
            </w:tcMar>
          </w:tcPr>
          <w:p>
            <w:pPr>
              <w:jc w:val="left"/>
            </w:pPr>
            <w:r>
              <w:rPr>
                <w:b/>
                <w:bCs/>
                <w:color w:val="FFFFFF"/>
                <w:sz w:val="20"/>
                <w:szCs w:val="20"/>
              </w:rPr>
              <w:t xml:space="preserve">Costo respecto a la licencia original</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Año 1 (jul 2026 – jul 2027)</w:t>
            </w:r>
          </w:p>
        </w:tc>
        <w:tc>
          <w:tcPr>
            <w:tcW w:type="dxa" w:w="5140"/>
            <w:tcMar>
              <w:top w:type="dxa" w:w="80"/>
              <w:left w:type="dxa" w:w="100"/>
              <w:bottom w:type="dxa" w:w="80"/>
              <w:right w:type="dxa" w:w="100"/>
            </w:tcMar>
          </w:tcPr>
          <w:p>
            <w:pPr>
              <w:jc w:val="left"/>
            </w:pPr>
            <w:r>
              <w:rPr>
                <w:b w:val="false"/>
                <w:bCs w:val="false"/>
                <w:color w:val="000000"/>
                <w:sz w:val="20"/>
                <w:szCs w:val="20"/>
              </w:rPr>
              <w:t xml:space="preserve">75% del precio de licencia original, por año</w:t>
            </w:r>
          </w:p>
        </w:tc>
      </w:tr>
      <w:tr>
        <w:tc>
          <w:tcPr>
            <w:tcW w:type="dxa" w:w="4600"/>
            <w:shd w:fill="DCE6F1" w:val="clear"/>
            <w:tcMar>
              <w:top w:type="dxa" w:w="80"/>
              <w:left w:type="dxa" w:w="100"/>
              <w:bottom w:type="dxa" w:w="80"/>
              <w:right w:type="dxa" w:w="100"/>
            </w:tcMar>
          </w:tcPr>
          <w:p>
            <w:pPr>
              <w:jc w:val="left"/>
            </w:pPr>
            <w:r>
              <w:rPr>
                <w:b w:val="false"/>
                <w:bCs w:val="false"/>
                <w:color w:val="000000"/>
                <w:sz w:val="20"/>
                <w:szCs w:val="20"/>
              </w:rPr>
              <w:t xml:space="preserve">Año 2 (jul 2027 – jul 2028)</w:t>
            </w:r>
          </w:p>
        </w:tc>
        <w:tc>
          <w:tcPr>
            <w:tcW w:type="dxa" w:w="5140"/>
            <w:shd w:fill="DCE6F1" w:val="clear"/>
            <w:tcMar>
              <w:top w:type="dxa" w:w="80"/>
              <w:left w:type="dxa" w:w="100"/>
              <w:bottom w:type="dxa" w:w="80"/>
              <w:right w:type="dxa" w:w="100"/>
            </w:tcMar>
          </w:tcPr>
          <w:p>
            <w:pPr>
              <w:jc w:val="left"/>
            </w:pPr>
            <w:r>
              <w:rPr>
                <w:b w:val="false"/>
                <w:bCs w:val="false"/>
                <w:color w:val="000000"/>
                <w:sz w:val="20"/>
                <w:szCs w:val="20"/>
              </w:rPr>
              <w:t xml:space="preserve">150% del precio de licencia original, por año</w:t>
            </w:r>
          </w:p>
        </w:tc>
      </w:tr>
      <w:tr>
        <w:tc>
          <w:tcPr>
            <w:tcW w:type="dxa" w:w="4600"/>
            <w:tcMar>
              <w:top w:type="dxa" w:w="80"/>
              <w:left w:type="dxa" w:w="100"/>
              <w:bottom w:type="dxa" w:w="80"/>
              <w:right w:type="dxa" w:w="100"/>
            </w:tcMar>
          </w:tcPr>
          <w:p>
            <w:pPr>
              <w:jc w:val="left"/>
            </w:pPr>
            <w:r>
              <w:rPr>
                <w:b w:val="false"/>
                <w:bCs w:val="false"/>
                <w:color w:val="000000"/>
                <w:sz w:val="20"/>
                <w:szCs w:val="20"/>
              </w:rPr>
              <w:t xml:space="preserve">Año 3 (jul 2028 – jul 2029)</w:t>
            </w:r>
          </w:p>
        </w:tc>
        <w:tc>
          <w:tcPr>
            <w:tcW w:type="dxa" w:w="5140"/>
            <w:tcMar>
              <w:top w:type="dxa" w:w="80"/>
              <w:left w:type="dxa" w:w="100"/>
              <w:bottom w:type="dxa" w:w="80"/>
              <w:right w:type="dxa" w:w="100"/>
            </w:tcMar>
          </w:tcPr>
          <w:p>
            <w:pPr>
              <w:jc w:val="left"/>
            </w:pPr>
            <w:r>
              <w:rPr>
                <w:b w:val="false"/>
                <w:bCs w:val="false"/>
                <w:color w:val="000000"/>
                <w:sz w:val="20"/>
                <w:szCs w:val="20"/>
              </w:rPr>
              <w:t xml:space="preserve">300% del precio de licencia original, por año</w:t>
            </w:r>
          </w:p>
        </w:tc>
      </w:tr>
    </w:tbl>
    <w:p>
      <w:pPr>
        <w:spacing w:after="160"/>
      </w:pPr>
    </w:p>
    <w:p>
      <w:pPr>
        <w:pBdr>
          <w:left w:val="single" w:color="BF8F00" w:sz="18" w:space="8"/>
        </w:pBdr>
        <w:shd w:fill="FFF2CC" w:val="clear"/>
        <w:spacing w:after="200"/>
      </w:pPr>
      <w:r>
        <w:rPr>
          <w:i/>
          <w:iCs/>
          <w:color w:val="7F6000"/>
          <w:sz w:val="21"/>
          <w:szCs w:val="21"/>
        </w:rPr>
        <w:t xml:space="preserve">En 3 años, el costo acumulado de ESU puede superar el 500% del valor de la licencia original — por eso Microsoft y la mayoría de asesores de licenciamiento recomiendan usar ESU solo como puente de corto plazo mientras se ejecuta la migración, no como estrategia permanente. Una excepción: migrar la carga de trabajo a una VM de SQL Server en Azure puede simplificar la gestión de ESU al centralizarla en Azure Arc.</w:t>
      </w:r>
    </w:p>
    <w:p>
      <w:pPr>
        <w:pStyle w:val="Heading1"/>
        <w:pBdr>
          <w:bottom w:val="single" w:color="1F3864" w:sz="6" w:space="4"/>
        </w:pBdr>
        <w:spacing w:after="160" w:before="360"/>
      </w:pPr>
      <w:r>
        <w:rPr>
          <w:b/>
          <w:bCs/>
          <w:color w:val="1F3864"/>
          <w:sz w:val="28"/>
          <w:szCs w:val="28"/>
        </w:rPr>
        <w:t xml:space="preserve">6. Programas de Microsoft para apoyar la modernización</w:t>
      </w:r>
    </w:p>
    <w:p>
      <w:pPr>
        <w:spacing w:after="160" w:line="276"/>
      </w:pPr>
      <w:r>
        <w:rPr>
          <w:sz w:val="22"/>
          <w:szCs w:val="22"/>
        </w:rPr>
        <w:t xml:space="preserve">Sí existen programas de Microsoft diseñados específicamente para apoyar a clientes con este tipo de proyecto de migración/modernización:</w:t>
      </w:r>
    </w:p>
    <w:p>
      <w:pPr>
        <w:pStyle w:val="ListParagraph"/>
        <w:numPr>
          <w:ilvl w:val="0"/>
          <w:numId w:val="2"/>
        </w:numPr>
        <w:spacing w:after="80" w:line="276"/>
      </w:pPr>
      <w:r>
        <w:rPr>
          <w:sz w:val="22"/>
          <w:szCs w:val="22"/>
        </w:rPr>
        <w:t xml:space="preserve">Azure Accelerate (antes llamado Azure Migrate and Modernize): programa insignia de Microsoft para financiar migraciones a Azure de Windows Server, SQL Server, Linux, SAP y Oracle, entre otros. Ofrece fondeo para partners certificados, créditos de Azure y, a través de Cloud Accelerate Factory, soporte de ingeniería de Microsoft sin costo para el despliegue de más de 30 servicios de Azure.</w:t>
      </w:r>
    </w:p>
    <w:p>
      <w:pPr>
        <w:pStyle w:val="ListParagraph"/>
        <w:numPr>
          <w:ilvl w:val="0"/>
          <w:numId w:val="2"/>
        </w:numPr>
        <w:spacing w:after="80" w:line="276"/>
      </w:pPr>
      <w:r>
        <w:rPr>
          <w:sz w:val="22"/>
          <w:szCs w:val="22"/>
        </w:rPr>
        <w:t xml:space="preserve">Frontier Accelerate for Azure: extensión más reciente del programa, enfocada en modernización de datos; ofrece hasta 35% de ahorro en tarifas de pago por uso mediante planes de ahorro para bases de datos, además de fondeo de servicios de implementación y créditos de Azure equivalentes al 50% del consumo estimado del primer año.</w:t>
      </w:r>
    </w:p>
    <w:p>
      <w:pPr>
        <w:pStyle w:val="ListParagraph"/>
        <w:numPr>
          <w:ilvl w:val="0"/>
          <w:numId w:val="2"/>
        </w:numPr>
        <w:spacing w:after="80" w:line="276"/>
      </w:pPr>
      <w:r>
        <w:rPr>
          <w:sz w:val="22"/>
          <w:szCs w:val="22"/>
        </w:rPr>
        <w:t xml:space="preserve">Azure Migrate: herramienta gratuita de Microsoft para descubrimiento, evaluación (incluye caso de negocio / business case con estimación de ahorro) y ejecución de la migración de servidores y bases de datos SQL Server hacia Azure.</w:t>
      </w:r>
    </w:p>
    <w:p>
      <w:pPr>
        <w:pStyle w:val="ListParagraph"/>
        <w:numPr>
          <w:ilvl w:val="0"/>
          <w:numId w:val="2"/>
        </w:numPr>
        <w:spacing w:after="80" w:line="276"/>
      </w:pPr>
      <w:r>
        <w:rPr>
          <w:sz w:val="22"/>
          <w:szCs w:val="22"/>
        </w:rPr>
        <w:t xml:space="preserve">Data Migration Assistant (DMA) y Azure SQL Migration extension (Azure Data Studio): herramientas gratuitas para evaluar compatibilidad y ejecutar la migración de bases de datos on-premises hacia SQL Server 2025 o Azure SQL.</w:t>
      </w:r>
    </w:p>
    <w:p>
      <w:pPr>
        <w:pStyle w:val="ListParagraph"/>
        <w:numPr>
          <w:ilvl w:val="0"/>
          <w:numId w:val="2"/>
        </w:numPr>
        <w:spacing w:after="80" w:line="276"/>
      </w:pPr>
      <w:r>
        <w:rPr>
          <w:sz w:val="22"/>
          <w:szCs w:val="22"/>
        </w:rPr>
        <w:t xml:space="preserve">Azure Hybrid Benefit: no es un programa de fondeo, pero es el mecanismo que permite reutilizar licencias de SQL Server con Software Assurance vigente para reducir el costo de cómputo en Azure.</w:t>
      </w:r>
    </w:p>
    <w:p>
      <w:pPr>
        <w:spacing w:after="160" w:line="276"/>
      </w:pPr>
      <w:r>
        <w:rPr>
          <w:sz w:val="22"/>
          <w:szCs w:val="22"/>
        </w:rPr>
        <w:t xml:space="preserve">El acceso a fondeo de Azure Accelerate / Frontier Accelerate normalmente se gestiona a través de un partner Microsoft especializado (como el que atiende al cliente) o directamente con el representante de cuenta de Microsoft, quien evalúa elegibilidad según el consumo de Azure proyectado y el alcance del proyecto.</w:t>
      </w:r>
    </w:p>
    <w:p>
      <w:pPr>
        <w:pStyle w:val="Heading1"/>
        <w:pBdr>
          <w:bottom w:val="single" w:color="1F3864" w:sz="6" w:space="4"/>
        </w:pBdr>
        <w:spacing w:after="160" w:before="360"/>
      </w:pPr>
      <w:r>
        <w:rPr>
          <w:b/>
          <w:bCs/>
          <w:color w:val="1F3864"/>
          <w:sz w:val="28"/>
          <w:szCs w:val="28"/>
        </w:rPr>
        <w:t xml:space="preserve">7. Conclusiones y próximos pasos sugeridos</w:t>
      </w:r>
    </w:p>
    <w:p>
      <w:pPr>
        <w:pStyle w:val="ListParagraph"/>
        <w:numPr>
          <w:ilvl w:val="0"/>
          <w:numId w:val="2"/>
        </w:numPr>
        <w:spacing w:after="80" w:line="276"/>
      </w:pPr>
      <w:r>
        <w:rPr>
          <w:sz w:val="22"/>
          <w:szCs w:val="22"/>
        </w:rPr>
        <w:t xml:space="preserve">Confirmar el número real de cores físicos (o vCPUs si son VMs) por servidor para dimensionar con precisión cuántos paquetes de 2 cores se requieren en cada instancia.</w:t>
      </w:r>
    </w:p>
    <w:p>
      <w:pPr>
        <w:pStyle w:val="ListParagraph"/>
        <w:numPr>
          <w:ilvl w:val="0"/>
          <w:numId w:val="2"/>
        </w:numPr>
        <w:spacing w:after="80" w:line="276"/>
      </w:pPr>
      <w:r>
        <w:rPr>
          <w:sz w:val="22"/>
          <w:szCs w:val="22"/>
        </w:rPr>
        <w:t xml:space="preserve">Definir, por servidor, si la ruta será: (a) actualizar en sitio a SQL Server 2025 Standard, (b) migrar a una VM de SQL Server en Azure (IaaS), o (c) modernizar hacia Azure SQL Managed Instance (PaaS).</w:t>
      </w:r>
    </w:p>
    <w:p>
      <w:pPr>
        <w:pStyle w:val="ListParagraph"/>
        <w:numPr>
          <w:ilvl w:val="0"/>
          <w:numId w:val="2"/>
        </w:numPr>
        <w:spacing w:after="80" w:line="276"/>
      </w:pPr>
      <w:r>
        <w:rPr>
          <w:sz w:val="22"/>
          <w:szCs w:val="22"/>
        </w:rPr>
        <w:t xml:space="preserve">Solicitar al equipo de cuenta de Microsoft o al distribuidor una cotización formal con el nivel de descuento del programa de licenciamiento del cliente, y consultar elegibilidad para fondeo de Azure Accelerate / Frontier Accelerate.</w:t>
      </w:r>
    </w:p>
    <w:p>
      <w:pPr>
        <w:pStyle w:val="ListParagraph"/>
        <w:numPr>
          <w:ilvl w:val="0"/>
          <w:numId w:val="2"/>
        </w:numPr>
        <w:spacing w:after="80" w:line="276"/>
      </w:pPr>
      <w:r>
        <w:rPr>
          <w:sz w:val="22"/>
          <w:szCs w:val="22"/>
        </w:rPr>
        <w:t xml:space="preserve">Ejecutar una evaluación con Azure Migrate para obtener el caso de negocio (business case) con el costo comparativo real entre on-premises, IaaS y PaaS.</w:t>
      </w:r>
    </w:p>
    <w:p>
      <w:pPr>
        <w:pStyle w:val="ListParagraph"/>
        <w:numPr>
          <w:ilvl w:val="0"/>
          <w:numId w:val="2"/>
        </w:numPr>
        <w:spacing w:after="80" w:line="276"/>
      </w:pPr>
      <w:r>
        <w:rPr>
          <w:sz w:val="22"/>
          <w:szCs w:val="22"/>
        </w:rPr>
        <w:t xml:space="preserve">Priorizar la migración considerando que SQL Server 2016 ya se encuentra fuera de soporte extendido desde julio de 2026.</w:t>
      </w:r>
    </w:p>
    <w:p>
      <w:pPr>
        <w:spacing w:before="300"/>
      </w:pPr>
    </w:p>
    <w:p>
      <w:pPr>
        <w:spacing w:after="160" w:line="276"/>
      </w:pPr>
      <w:r>
        <w:rPr>
          <w:i/>
          <w:iCs/>
          <w:color w:val="595959"/>
          <w:sz w:val="19"/>
          <w:szCs w:val="19"/>
        </w:rPr>
        <w:t xml:space="preserve">Nota: los precios mostrados son de lista (Open, no-level) publicados por Microsoft y pueden variar según el programa de licenciamiento, el partner, la región y promociones vigentes. Se recomienda validar la cotización final con un partner autorizado de Microsoft.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2026-08-23T22:57:15.704Z</dcterms:created>
  <dcterms:modified xsi:type="dcterms:W3CDTF">2026-08-23T22:57:15.717Z</dcterms:modified>
</cp:coreProperties>
</file>

<file path=docProps/custom.xml><?xml version="1.0" encoding="utf-8"?>
<Properties xmlns="http://schemas.openxmlformats.org/officeDocument/2006/custom-properties" xmlns:vt="http://schemas.openxmlformats.org/officeDocument/2006/docPropsVTypes"/>
</file>