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GUÍA DE ONBOARDING</w:t>
      </w:r>
    </w:p>
    <w:p>
      <w:pPr>
        <w:spacing w:after="400"/>
        <w:jc w:val="center"/>
      </w:pPr>
      <w:r>
        <w:rPr>
          <w:color w:val="2E74B5"/>
          <w:sz w:val="26"/>
          <w:szCs w:val="26"/>
        </w:rPr>
        <w:t xml:space="preserve">Microsoft 365 — Configuración fundamental tras la contratación del servicio</w:t>
      </w:r>
    </w:p>
    <w:p>
      <w:pPr>
        <w:spacing w:after="100"/>
        <w:jc w:val="center"/>
      </w:pPr>
      <w:r>
        <w:rPr>
          <w:i/>
          <w:iCs/>
          <w:color w:val="595959"/>
          <w:sz w:val="20"/>
          <w:szCs w:val="20"/>
        </w:rPr>
        <w:t xml:space="preserve">Documento de referencia y mejores prácticas</w:t>
      </w:r>
    </w:p>
    <w:p>
      <w:pPr>
        <w:spacing w:before="800"/>
        <w:jc w:val="center"/>
      </w:pPr>
      <w:r>
        <w:rPr>
          <w:color w:val="595959"/>
          <w:sz w:val="18"/>
          <w:szCs w:val="18"/>
        </w:rPr>
        <w:t xml:space="preserve">19 de julio de 2026</w:t>
      </w:r>
    </w:p>
    <w:p>
      <w:r>
        <w:br w:type="page"/>
      </w:r>
    </w:p>
    <w:p>
      <w:pPr>
        <w:pStyle w:val="Heading1"/>
        <w:spacing w:after="160" w:before="360"/>
      </w:pPr>
      <w:r>
        <w:rPr>
          <w:b/>
          <w:bCs/>
          <w:color w:val="1F3864"/>
          <w:sz w:val="30"/>
          <w:szCs w:val="30"/>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sz w:val="30"/>
          <w:szCs w:val="30"/>
        </w:rPr>
        <w:t xml:space="preserve">1. Introducción</w:t>
      </w:r>
    </w:p>
    <w:p>
      <w:pPr>
        <w:spacing w:after="140"/>
      </w:pPr>
      <w:r>
        <w:rPr>
          <w:color w:val="262626"/>
          <w:sz w:val="21"/>
          <w:szCs w:val="21"/>
        </w:rPr>
        <w:t xml:space="preserve">Esta guía resume los pasos y las mejores prácticas recomendadas para realizar el onboarding (puesta en marcha) de Microsoft 365 una vez contratado el servicio. Está pensada como una checklist de referencia rápida para el administrador de TI responsable de la configuración inicial del tenant.</w:t>
      </w:r>
    </w:p>
    <w:p>
      <w:pPr>
        <w:spacing w:after="140"/>
      </w:pPr>
      <w:r>
        <w:rPr>
          <w:color w:val="262626"/>
          <w:sz w:val="21"/>
          <w:szCs w:val="21"/>
        </w:rPr>
        <w:t xml:space="preserve">El objetivo es dejar una base sólida en seguridad, identidad y gobierno de datos antes de comenzar a operar de forma masiva (migración de correo, despliegue de equipos, etc.).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DEBF7" w:val="clear"/>
            <w:tcMar>
              <w:top w:type="dxa" w:w="120"/>
              <w:left w:type="dxa" w:w="160"/>
              <w:bottom w:type="dxa" w:w="120"/>
              <w:right w:type="dxa" w:w="160"/>
            </w:tcMar>
          </w:tcPr>
          <w:p>
            <w:pPr>
              <w:spacing w:after="40"/>
            </w:pPr>
            <w:r>
              <w:rPr>
                <w:b/>
                <w:bCs/>
                <w:color w:val="1F3864"/>
                <w:sz w:val="21"/>
                <w:szCs w:val="21"/>
              </w:rPr>
              <w:t xml:space="preserve">💡 Antes de empezar</w:t>
            </w:r>
          </w:p>
          <w:p>
            <w:r>
              <w:rPr>
                <w:color w:val="333333"/>
                <w:sz w:val="20"/>
                <w:szCs w:val="20"/>
              </w:rPr>
              <w:t xml:space="preserve">Documenta las credenciales del Administrador Global en un gestor de contraseñas empresarial y evita usar esa cuenta para el trabajo diario.</w:t>
            </w:r>
          </w:p>
        </w:tc>
      </w:tr>
    </w:tbl>
    <w:p>
      <w:pPr>
        <w:spacing w:after="120"/>
      </w:pPr>
    </w:p>
    <w:p>
      <w:pPr>
        <w:pStyle w:val="Heading1"/>
        <w:spacing w:after="160" w:before="360"/>
      </w:pPr>
      <w:r>
        <w:rPr>
          <w:b/>
          <w:bCs/>
          <w:color w:val="1F3864"/>
          <w:sz w:val="30"/>
          <w:szCs w:val="30"/>
        </w:rPr>
        <w:t xml:space="preserve">2. Configuración inicial del tenant</w:t>
      </w:r>
    </w:p>
    <w:p>
      <w:pPr>
        <w:pStyle w:val="Heading2"/>
        <w:spacing w:after="120" w:before="260"/>
      </w:pPr>
      <w:r>
        <w:rPr>
          <w:b/>
          <w:bCs/>
          <w:color w:val="2E74B5"/>
          <w:sz w:val="24"/>
          <w:szCs w:val="24"/>
        </w:rPr>
        <w:t xml:space="preserve">2.1 Dominio y verificación</w:t>
      </w:r>
    </w:p>
    <w:p>
      <w:pPr>
        <w:pStyle w:val="ListParagraph"/>
        <w:numPr>
          <w:ilvl w:val="0"/>
          <w:numId w:val="2"/>
        </w:numPr>
        <w:spacing w:after="60"/>
      </w:pPr>
      <w:r>
        <w:rPr>
          <w:color w:val="262626"/>
          <w:sz w:val="21"/>
          <w:szCs w:val="21"/>
        </w:rPr>
        <w:t xml:space="preserve">Agregar y verificar el dominio propio de la organización (ejemplo: empresa.com) en el Centro de administración de Microsoft 365.</w:t>
      </w:r>
    </w:p>
    <w:p>
      <w:pPr>
        <w:pStyle w:val="ListParagraph"/>
        <w:numPr>
          <w:ilvl w:val="0"/>
          <w:numId w:val="2"/>
        </w:numPr>
        <w:spacing w:after="60"/>
      </w:pPr>
      <w:r>
        <w:rPr>
          <w:color w:val="262626"/>
          <w:sz w:val="21"/>
          <w:szCs w:val="21"/>
        </w:rPr>
        <w:t xml:space="preserve">Configurar los registros DNS: MX, SPF, DKIM y DMARC para asegurar la correcta entrega y autenticidad del correo.</w:t>
      </w:r>
    </w:p>
    <w:p>
      <w:pPr>
        <w:pStyle w:val="ListParagraph"/>
        <w:numPr>
          <w:ilvl w:val="0"/>
          <w:numId w:val="2"/>
        </w:numPr>
        <w:spacing w:after="60"/>
      </w:pPr>
      <w:r>
        <w:rPr>
          <w:color w:val="262626"/>
          <w:sz w:val="21"/>
          <w:szCs w:val="21"/>
        </w:rPr>
        <w:t xml:space="preserve">Establecer el dominio propio como predeterminado para nuevas cuentas (evitar usar el dominio *.onmicrosoft.com en producción).</w:t>
      </w:r>
    </w:p>
    <w:p>
      <w:pPr>
        <w:spacing w:after="80"/>
      </w:pPr>
    </w:p>
    <w:p>
      <w:pPr>
        <w:pStyle w:val="Heading2"/>
        <w:spacing w:after="120" w:before="260"/>
      </w:pPr>
      <w:r>
        <w:rPr>
          <w:b/>
          <w:bCs/>
          <w:color w:val="2E74B5"/>
          <w:sz w:val="24"/>
          <w:szCs w:val="24"/>
        </w:rPr>
        <w:t xml:space="preserve">2.2 Administradores y roles</w:t>
      </w:r>
    </w:p>
    <w:p>
      <w:pPr>
        <w:pStyle w:val="ListParagraph"/>
        <w:numPr>
          <w:ilvl w:val="0"/>
          <w:numId w:val="2"/>
        </w:numPr>
        <w:spacing w:after="60"/>
      </w:pPr>
      <w:r>
        <w:rPr>
          <w:color w:val="262626"/>
          <w:sz w:val="21"/>
          <w:szCs w:val="21"/>
        </w:rPr>
        <w:t xml:space="preserve">Crear al menos 2 cuentas de Administrador Global "break-glass" (emergencia), excluidas de políticas de acceso condicional y MFA basada en dispositivo, con contraseñas largas y resguardadas físicamente.</w:t>
      </w:r>
    </w:p>
    <w:p>
      <w:pPr>
        <w:pStyle w:val="ListParagraph"/>
        <w:numPr>
          <w:ilvl w:val="0"/>
          <w:numId w:val="2"/>
        </w:numPr>
        <w:spacing w:after="60"/>
      </w:pPr>
      <w:r>
        <w:rPr>
          <w:color w:val="262626"/>
          <w:sz w:val="21"/>
          <w:szCs w:val="21"/>
        </w:rPr>
        <w:t xml:space="preserve">Asignar roles administrativos según el principio de mínimo privilegio (Roles de Azure AD: Administrador de Usuarios, de Exchange, de SharePoint, etc.) en vez de usar Administrador Global para todo.</w:t>
      </w:r>
    </w:p>
    <w:p>
      <w:pPr>
        <w:pStyle w:val="ListParagraph"/>
        <w:numPr>
          <w:ilvl w:val="0"/>
          <w:numId w:val="2"/>
        </w:numPr>
        <w:spacing w:after="60"/>
      </w:pPr>
      <w:r>
        <w:rPr>
          <w:color w:val="262626"/>
          <w:sz w:val="21"/>
          <w:szCs w:val="21"/>
        </w:rPr>
        <w:t xml:space="preserve">Activar Privileged Identity Management (PIM) si se cuenta con licencia Azure AD P2, para roles administrativos temporales ("just-in-time").</w:t>
      </w:r>
    </w:p>
    <w:p>
      <w:pPr>
        <w:spacing w:after="120"/>
      </w:pPr>
    </w:p>
    <w:p>
      <w:pPr>
        <w:pStyle w:val="Heading1"/>
        <w:spacing w:after="160" w:before="360"/>
      </w:pPr>
      <w:r>
        <w:rPr>
          <w:b/>
          <w:bCs/>
          <w:color w:val="1F3864"/>
          <w:sz w:val="30"/>
          <w:szCs w:val="30"/>
        </w:rPr>
        <w:t xml:space="preserve">3. Cuentas de usuario y convención de nombres</w:t>
      </w:r>
    </w:p>
    <w:p>
      <w:pPr>
        <w:spacing w:after="140"/>
      </w:pPr>
      <w:r>
        <w:rPr>
          <w:color w:val="262626"/>
          <w:sz w:val="21"/>
          <w:szCs w:val="21"/>
        </w:rPr>
        <w:t xml:space="preserve">Definir la convención de nombres antes de crear cuentas evita inconsistencias difíciles de corregir después.</w:t>
      </w:r>
    </w:p>
    <w:p>
      <w:pPr>
        <w:pStyle w:val="Heading2"/>
        <w:spacing w:after="120" w:before="260"/>
      </w:pPr>
      <w:r>
        <w:rPr>
          <w:b/>
          <w:bCs/>
          <w:color w:val="2E74B5"/>
          <w:sz w:val="24"/>
          <w:szCs w:val="24"/>
        </w:rPr>
        <w:t xml:space="preserve">3.1 Convención recomendada para el nombre de usuario (UPN)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5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Elemento</w:t>
            </w:r>
          </w:p>
        </w:tc>
        <w:tc>
          <w:tcPr>
            <w:tcW w:type="dxa" w:w="3500"/>
            <w:shd w:fill="1F3864" w:val="clear"/>
            <w:tcMar>
              <w:top w:type="dxa" w:w="80"/>
              <w:left w:type="dxa" w:w="100"/>
              <w:bottom w:type="dxa" w:w="80"/>
              <w:right w:type="dxa" w:w="100"/>
            </w:tcMar>
          </w:tcPr>
          <w:p>
            <w:r>
              <w:rPr>
                <w:b/>
                <w:bCs/>
                <w:color w:val="FFFFFF"/>
                <w:sz w:val="19"/>
                <w:szCs w:val="19"/>
              </w:rPr>
              <w:t xml:space="preserve">Formato sugerido</w:t>
            </w:r>
          </w:p>
        </w:tc>
        <w:tc>
          <w:tcPr>
            <w:tcW w:type="dxa" w:w="3250"/>
            <w:shd w:fill="1F3864" w:val="clear"/>
            <w:tcMar>
              <w:top w:type="dxa" w:w="80"/>
              <w:left w:type="dxa" w:w="100"/>
              <w:bottom w:type="dxa" w:w="80"/>
              <w:right w:type="dxa" w:w="100"/>
            </w:tcMar>
          </w:tcPr>
          <w:p>
            <w:r>
              <w:rPr>
                <w:b/>
                <w:bCs/>
                <w:color w:val="FFFFFF"/>
                <w:sz w:val="19"/>
                <w:szCs w:val="19"/>
              </w:rPr>
              <w:t xml:space="preserve">Ejemplo</w:t>
            </w:r>
          </w:p>
        </w:tc>
      </w:tr>
      <w:tr>
        <w:tc>
          <w:tcPr>
            <w:tcW w:type="dxa" w:w="2600"/>
            <w:shd w:fill="FFFFFF" w:val="clear"/>
            <w:tcMar>
              <w:top w:type="dxa" w:w="70"/>
              <w:left w:type="dxa" w:w="100"/>
              <w:bottom w:type="dxa" w:w="70"/>
              <w:right w:type="dxa" w:w="100"/>
            </w:tcMar>
          </w:tcPr>
          <w:p>
            <w:r>
              <w:rPr>
                <w:color w:val="262626"/>
                <w:sz w:val="19"/>
                <w:szCs w:val="19"/>
              </w:rPr>
              <w:t xml:space="preserve">Cuenta estándar</w:t>
            </w:r>
          </w:p>
        </w:tc>
        <w:tc>
          <w:tcPr>
            <w:tcW w:type="dxa" w:w="3500"/>
            <w:shd w:fill="FFFFFF" w:val="clear"/>
            <w:tcMar>
              <w:top w:type="dxa" w:w="70"/>
              <w:left w:type="dxa" w:w="100"/>
              <w:bottom w:type="dxa" w:w="70"/>
              <w:right w:type="dxa" w:w="100"/>
            </w:tcMar>
          </w:tcPr>
          <w:p>
            <w:r>
              <w:rPr>
                <w:color w:val="262626"/>
                <w:sz w:val="19"/>
                <w:szCs w:val="19"/>
              </w:rPr>
              <w:t xml:space="preserve">nombre.apellido@dominio.com</w:t>
            </w:r>
          </w:p>
        </w:tc>
        <w:tc>
          <w:tcPr>
            <w:tcW w:type="dxa" w:w="3250"/>
            <w:shd w:fill="FFFFFF" w:val="clear"/>
            <w:tcMar>
              <w:top w:type="dxa" w:w="70"/>
              <w:left w:type="dxa" w:w="100"/>
              <w:bottom w:type="dxa" w:w="70"/>
              <w:right w:type="dxa" w:w="100"/>
            </w:tcMar>
          </w:tcPr>
          <w:p>
            <w:r>
              <w:rPr>
                <w:color w:val="262626"/>
                <w:sz w:val="19"/>
                <w:szCs w:val="19"/>
              </w:rPr>
              <w:t xml:space="preserve">juan.perez@empresa.com</w:t>
            </w:r>
          </w:p>
        </w:tc>
      </w:tr>
      <w:tr>
        <w:tc>
          <w:tcPr>
            <w:tcW w:type="dxa" w:w="2600"/>
            <w:shd w:fill="F2F6FA" w:val="clear"/>
            <w:tcMar>
              <w:top w:type="dxa" w:w="70"/>
              <w:left w:type="dxa" w:w="100"/>
              <w:bottom w:type="dxa" w:w="70"/>
              <w:right w:type="dxa" w:w="100"/>
            </w:tcMar>
          </w:tcPr>
          <w:p>
            <w:r>
              <w:rPr>
                <w:color w:val="262626"/>
                <w:sz w:val="19"/>
                <w:szCs w:val="19"/>
              </w:rPr>
              <w:t xml:space="preserve">Nombres duplicados</w:t>
            </w:r>
          </w:p>
        </w:tc>
        <w:tc>
          <w:tcPr>
            <w:tcW w:type="dxa" w:w="3500"/>
            <w:shd w:fill="F2F6FA" w:val="clear"/>
            <w:tcMar>
              <w:top w:type="dxa" w:w="70"/>
              <w:left w:type="dxa" w:w="100"/>
              <w:bottom w:type="dxa" w:w="70"/>
              <w:right w:type="dxa" w:w="100"/>
            </w:tcMar>
          </w:tcPr>
          <w:p>
            <w:r>
              <w:rPr>
                <w:color w:val="262626"/>
                <w:sz w:val="19"/>
                <w:szCs w:val="19"/>
              </w:rPr>
              <w:t xml:space="preserve">nombre.apellido2@dominio.com</w:t>
            </w:r>
          </w:p>
        </w:tc>
        <w:tc>
          <w:tcPr>
            <w:tcW w:type="dxa" w:w="3250"/>
            <w:shd w:fill="F2F6FA" w:val="clear"/>
            <w:tcMar>
              <w:top w:type="dxa" w:w="70"/>
              <w:left w:type="dxa" w:w="100"/>
              <w:bottom w:type="dxa" w:w="70"/>
              <w:right w:type="dxa" w:w="100"/>
            </w:tcMar>
          </w:tcPr>
          <w:p>
            <w:r>
              <w:rPr>
                <w:color w:val="262626"/>
                <w:sz w:val="19"/>
                <w:szCs w:val="19"/>
              </w:rPr>
              <w:t xml:space="preserve">juan.perez2@empresa.com</w:t>
            </w:r>
          </w:p>
        </w:tc>
      </w:tr>
      <w:tr>
        <w:tc>
          <w:tcPr>
            <w:tcW w:type="dxa" w:w="2600"/>
            <w:shd w:fill="FFFFFF" w:val="clear"/>
            <w:tcMar>
              <w:top w:type="dxa" w:w="70"/>
              <w:left w:type="dxa" w:w="100"/>
              <w:bottom w:type="dxa" w:w="70"/>
              <w:right w:type="dxa" w:w="100"/>
            </w:tcMar>
          </w:tcPr>
          <w:p>
            <w:r>
              <w:rPr>
                <w:color w:val="262626"/>
                <w:sz w:val="19"/>
                <w:szCs w:val="19"/>
              </w:rPr>
              <w:t xml:space="preserve">Cuenta de administrador</w:t>
            </w:r>
          </w:p>
        </w:tc>
        <w:tc>
          <w:tcPr>
            <w:tcW w:type="dxa" w:w="3500"/>
            <w:shd w:fill="FFFFFF" w:val="clear"/>
            <w:tcMar>
              <w:top w:type="dxa" w:w="70"/>
              <w:left w:type="dxa" w:w="100"/>
              <w:bottom w:type="dxa" w:w="70"/>
              <w:right w:type="dxa" w:w="100"/>
            </w:tcMar>
          </w:tcPr>
          <w:p>
            <w:r>
              <w:rPr>
                <w:color w:val="262626"/>
                <w:sz w:val="19"/>
                <w:szCs w:val="19"/>
              </w:rPr>
              <w:t xml:space="preserve">adm-nombre.apellido@dominio.com</w:t>
            </w:r>
          </w:p>
        </w:tc>
        <w:tc>
          <w:tcPr>
            <w:tcW w:type="dxa" w:w="3250"/>
            <w:shd w:fill="FFFFFF" w:val="clear"/>
            <w:tcMar>
              <w:top w:type="dxa" w:w="70"/>
              <w:left w:type="dxa" w:w="100"/>
              <w:bottom w:type="dxa" w:w="70"/>
              <w:right w:type="dxa" w:w="100"/>
            </w:tcMar>
          </w:tcPr>
          <w:p>
            <w:r>
              <w:rPr>
                <w:color w:val="262626"/>
                <w:sz w:val="19"/>
                <w:szCs w:val="19"/>
              </w:rPr>
              <w:t xml:space="preserve">adm-juan.perez@empresa.com</w:t>
            </w:r>
          </w:p>
        </w:tc>
      </w:tr>
      <w:tr>
        <w:tc>
          <w:tcPr>
            <w:tcW w:type="dxa" w:w="2600"/>
            <w:shd w:fill="F2F6FA" w:val="clear"/>
            <w:tcMar>
              <w:top w:type="dxa" w:w="70"/>
              <w:left w:type="dxa" w:w="100"/>
              <w:bottom w:type="dxa" w:w="70"/>
              <w:right w:type="dxa" w:w="100"/>
            </w:tcMar>
          </w:tcPr>
          <w:p>
            <w:r>
              <w:rPr>
                <w:color w:val="262626"/>
                <w:sz w:val="19"/>
                <w:szCs w:val="19"/>
              </w:rPr>
              <w:t xml:space="preserve">Cuenta de servicio</w:t>
            </w:r>
          </w:p>
        </w:tc>
        <w:tc>
          <w:tcPr>
            <w:tcW w:type="dxa" w:w="3500"/>
            <w:shd w:fill="F2F6FA" w:val="clear"/>
            <w:tcMar>
              <w:top w:type="dxa" w:w="70"/>
              <w:left w:type="dxa" w:w="100"/>
              <w:bottom w:type="dxa" w:w="70"/>
              <w:right w:type="dxa" w:w="100"/>
            </w:tcMar>
          </w:tcPr>
          <w:p>
            <w:r>
              <w:rPr>
                <w:color w:val="262626"/>
                <w:sz w:val="19"/>
                <w:szCs w:val="19"/>
              </w:rPr>
              <w:t xml:space="preserve">svc-nombreservicio@dominio.com</w:t>
            </w:r>
          </w:p>
        </w:tc>
        <w:tc>
          <w:tcPr>
            <w:tcW w:type="dxa" w:w="3250"/>
            <w:shd w:fill="F2F6FA" w:val="clear"/>
            <w:tcMar>
              <w:top w:type="dxa" w:w="70"/>
              <w:left w:type="dxa" w:w="100"/>
              <w:bottom w:type="dxa" w:w="70"/>
              <w:right w:type="dxa" w:w="100"/>
            </w:tcMar>
          </w:tcPr>
          <w:p>
            <w:r>
              <w:rPr>
                <w:color w:val="262626"/>
                <w:sz w:val="19"/>
                <w:szCs w:val="19"/>
              </w:rPr>
              <w:t xml:space="preserve">svc-backup@empresa.com</w:t>
            </w:r>
          </w:p>
        </w:tc>
      </w:tr>
      <w:tr>
        <w:tc>
          <w:tcPr>
            <w:tcW w:type="dxa" w:w="2600"/>
            <w:shd w:fill="FFFFFF" w:val="clear"/>
            <w:tcMar>
              <w:top w:type="dxa" w:w="70"/>
              <w:left w:type="dxa" w:w="100"/>
              <w:bottom w:type="dxa" w:w="70"/>
              <w:right w:type="dxa" w:w="100"/>
            </w:tcMar>
          </w:tcPr>
          <w:p>
            <w:r>
              <w:rPr>
                <w:color w:val="262626"/>
                <w:sz w:val="19"/>
                <w:szCs w:val="19"/>
              </w:rPr>
              <w:t xml:space="preserve">Buzón compartido</w:t>
            </w:r>
          </w:p>
        </w:tc>
        <w:tc>
          <w:tcPr>
            <w:tcW w:type="dxa" w:w="3500"/>
            <w:shd w:fill="FFFFFF" w:val="clear"/>
            <w:tcMar>
              <w:top w:type="dxa" w:w="70"/>
              <w:left w:type="dxa" w:w="100"/>
              <w:bottom w:type="dxa" w:w="70"/>
              <w:right w:type="dxa" w:w="100"/>
            </w:tcMar>
          </w:tcPr>
          <w:p>
            <w:r>
              <w:rPr>
                <w:color w:val="262626"/>
                <w:sz w:val="19"/>
                <w:szCs w:val="19"/>
              </w:rPr>
              <w:t xml:space="preserve">nombre-area@dominio.com</w:t>
            </w:r>
          </w:p>
        </w:tc>
        <w:tc>
          <w:tcPr>
            <w:tcW w:type="dxa" w:w="3250"/>
            <w:shd w:fill="FFFFFF" w:val="clear"/>
            <w:tcMar>
              <w:top w:type="dxa" w:w="70"/>
              <w:left w:type="dxa" w:w="100"/>
              <w:bottom w:type="dxa" w:w="70"/>
              <w:right w:type="dxa" w:w="100"/>
            </w:tcMar>
          </w:tcPr>
          <w:p>
            <w:r>
              <w:rPr>
                <w:color w:val="262626"/>
                <w:sz w:val="19"/>
                <w:szCs w:val="19"/>
              </w:rPr>
              <w:t xml:space="preserve">ventas@empresa.com</w:t>
            </w:r>
          </w:p>
        </w:tc>
      </w:tr>
    </w:tbl>
    <w:p>
      <w:pPr>
        <w:spacing w:after="80"/>
      </w:pPr>
    </w:p>
    <w:p>
      <w:pPr>
        <w:pStyle w:val="Heading2"/>
        <w:spacing w:after="120" w:before="260"/>
      </w:pPr>
      <w:r>
        <w:rPr>
          <w:b/>
          <w:bCs/>
          <w:color w:val="2E74B5"/>
          <w:sz w:val="24"/>
          <w:szCs w:val="24"/>
        </w:rPr>
        <w:t xml:space="preserve">3.2 Buenas prácticas para altas de usuarios</w:t>
      </w:r>
    </w:p>
    <w:p>
      <w:pPr>
        <w:pStyle w:val="ListParagraph"/>
        <w:numPr>
          <w:ilvl w:val="0"/>
          <w:numId w:val="2"/>
        </w:numPr>
        <w:spacing w:after="60"/>
      </w:pPr>
      <w:r>
        <w:rPr>
          <w:color w:val="262626"/>
          <w:sz w:val="21"/>
          <w:szCs w:val="21"/>
        </w:rPr>
        <w:t xml:space="preserve">Usar el nombre para mostrar (Display Name) en formato "Nombre Apellido", consistente en toda la organización.</w:t>
      </w:r>
    </w:p>
    <w:p>
      <w:pPr>
        <w:pStyle w:val="ListParagraph"/>
        <w:numPr>
          <w:ilvl w:val="0"/>
          <w:numId w:val="2"/>
        </w:numPr>
        <w:spacing w:after="60"/>
      </w:pPr>
      <w:r>
        <w:rPr>
          <w:color w:val="262626"/>
          <w:sz w:val="21"/>
          <w:szCs w:val="21"/>
        </w:rPr>
        <w:t xml:space="preserve">Completar siempre los atributos de perfil: departamento, puesto, gerente, ubicación y teléfono (facilita reportes y políticas basadas en atributos).</w:t>
      </w:r>
    </w:p>
    <w:p>
      <w:pPr>
        <w:pStyle w:val="ListParagraph"/>
        <w:numPr>
          <w:ilvl w:val="0"/>
          <w:numId w:val="2"/>
        </w:numPr>
        <w:spacing w:after="60"/>
      </w:pPr>
      <w:r>
        <w:rPr>
          <w:color w:val="262626"/>
          <w:sz w:val="21"/>
          <w:szCs w:val="21"/>
        </w:rPr>
        <w:t xml:space="preserve">Asignar la licencia correspondiente en el momento del alta (evita cuentas sin licencia que generan buzones incompletos).</w:t>
      </w:r>
    </w:p>
    <w:p>
      <w:pPr>
        <w:pStyle w:val="ListParagraph"/>
        <w:numPr>
          <w:ilvl w:val="0"/>
          <w:numId w:val="2"/>
        </w:numPr>
        <w:spacing w:after="60"/>
      </w:pPr>
      <w:r>
        <w:rPr>
          <w:color w:val="262626"/>
          <w:sz w:val="21"/>
          <w:szCs w:val="21"/>
        </w:rPr>
        <w:t xml:space="preserve">Automatizar el aprovisionamiento desde el sistema de RR. HH. o Directorio Activo local mediante Azure AD Connect (sincronización híbrida) cuando exista un AD on-premises.</w:t>
      </w:r>
    </w:p>
    <w:p>
      <w:pPr>
        <w:pStyle w:val="ListParagraph"/>
        <w:numPr>
          <w:ilvl w:val="0"/>
          <w:numId w:val="2"/>
        </w:numPr>
        <w:spacing w:after="60"/>
      </w:pPr>
      <w:r>
        <w:rPr>
          <w:color w:val="262626"/>
          <w:sz w:val="21"/>
          <w:szCs w:val="21"/>
        </w:rPr>
        <w:t xml:space="preserve">Establecer un proceso formal de baja: deshabilitar la cuenta, revocar sesiones y licencias, y convertir el buzón en "compartido" si se requiere conservar el correo.</w:t>
      </w:r>
    </w:p>
    <w:p>
      <w:pPr>
        <w:spacing w:after="120"/>
      </w:pPr>
    </w:p>
    <w:p>
      <w:pPr>
        <w:pStyle w:val="Heading1"/>
        <w:spacing w:after="160" w:before="360"/>
      </w:pPr>
      <w:r>
        <w:rPr>
          <w:b/>
          <w:bCs/>
          <w:color w:val="1F3864"/>
          <w:sz w:val="30"/>
          <w:szCs w:val="30"/>
        </w:rPr>
        <w:t xml:space="preserve">4. Seguridad e identidad</w:t>
      </w:r>
    </w:p>
    <w:p>
      <w:pPr>
        <w:pStyle w:val="Heading2"/>
        <w:spacing w:after="120" w:before="260"/>
      </w:pPr>
      <w:r>
        <w:rPr>
          <w:b/>
          <w:bCs/>
          <w:color w:val="2E74B5"/>
          <w:sz w:val="24"/>
          <w:szCs w:val="24"/>
        </w:rPr>
        <w:t xml:space="preserve">4.1 Autenticación multifactor (MFA)</w:t>
      </w:r>
    </w:p>
    <w:p>
      <w:pPr>
        <w:pStyle w:val="ListParagraph"/>
        <w:numPr>
          <w:ilvl w:val="0"/>
          <w:numId w:val="2"/>
        </w:numPr>
        <w:spacing w:after="60"/>
      </w:pPr>
      <w:r>
        <w:rPr>
          <w:color w:val="262626"/>
          <w:sz w:val="21"/>
          <w:szCs w:val="21"/>
        </w:rPr>
        <w:t xml:space="preserve">Habilitar MFA para todos los usuarios, comenzando por cuentas administrativas.</w:t>
      </w:r>
    </w:p>
    <w:p>
      <w:pPr>
        <w:pStyle w:val="ListParagraph"/>
        <w:numPr>
          <w:ilvl w:val="0"/>
          <w:numId w:val="2"/>
        </w:numPr>
        <w:spacing w:after="60"/>
      </w:pPr>
      <w:r>
        <w:rPr>
          <w:color w:val="262626"/>
          <w:sz w:val="21"/>
          <w:szCs w:val="21"/>
        </w:rPr>
        <w:t xml:space="preserve">Usar Microsoft Authenticator (notificación push o código) en lugar de SMS, más resistente a ataques de phishing.</w:t>
      </w:r>
    </w:p>
    <w:p>
      <w:pPr>
        <w:pStyle w:val="ListParagraph"/>
        <w:numPr>
          <w:ilvl w:val="0"/>
          <w:numId w:val="2"/>
        </w:numPr>
        <w:spacing w:after="60"/>
      </w:pPr>
      <w:r>
        <w:rPr>
          <w:color w:val="262626"/>
          <w:sz w:val="21"/>
          <w:szCs w:val="21"/>
        </w:rPr>
        <w:t xml:space="preserve">Configurar métodos de respaldo (llamada telefónica o códigos de recuperación) para evitar bloqueos.</w:t>
      </w:r>
    </w:p>
    <w:p>
      <w:pPr>
        <w:spacing w:after="80"/>
      </w:pPr>
    </w:p>
    <w:p>
      <w:pPr>
        <w:pStyle w:val="Heading2"/>
        <w:spacing w:after="120" w:before="260"/>
      </w:pPr>
      <w:r>
        <w:rPr>
          <w:b/>
          <w:bCs/>
          <w:color w:val="2E74B5"/>
          <w:sz w:val="24"/>
          <w:szCs w:val="24"/>
        </w:rPr>
        <w:t xml:space="preserve">4.2 Acceso condicional</w:t>
      </w:r>
    </w:p>
    <w:p>
      <w:pPr>
        <w:pStyle w:val="ListParagraph"/>
        <w:numPr>
          <w:ilvl w:val="0"/>
          <w:numId w:val="2"/>
        </w:numPr>
        <w:spacing w:after="60"/>
      </w:pPr>
      <w:r>
        <w:rPr>
          <w:color w:val="262626"/>
          <w:sz w:val="21"/>
          <w:szCs w:val="21"/>
        </w:rPr>
        <w:t xml:space="preserve">Bloquear autenticación heredada (protocolos POP, IMAP, SMTP básico), causa frecuente de compromisos de cuenta.</w:t>
      </w:r>
    </w:p>
    <w:p>
      <w:pPr>
        <w:pStyle w:val="ListParagraph"/>
        <w:numPr>
          <w:ilvl w:val="0"/>
          <w:numId w:val="2"/>
        </w:numPr>
        <w:spacing w:after="60"/>
      </w:pPr>
      <w:r>
        <w:rPr>
          <w:color w:val="262626"/>
          <w:sz w:val="21"/>
          <w:szCs w:val="21"/>
        </w:rPr>
        <w:t xml:space="preserve">Exigir MFA al acceder desde redes no confiables o dispositivos no administrados.</w:t>
      </w:r>
    </w:p>
    <w:p>
      <w:pPr>
        <w:pStyle w:val="ListParagraph"/>
        <w:numPr>
          <w:ilvl w:val="0"/>
          <w:numId w:val="2"/>
        </w:numPr>
        <w:spacing w:after="60"/>
      </w:pPr>
      <w:r>
        <w:rPr>
          <w:color w:val="262626"/>
          <w:sz w:val="21"/>
          <w:szCs w:val="21"/>
        </w:rPr>
        <w:t xml:space="preserve">Requerir dispositivos compatibles/registrados (Intune) para acceder a datos corporativos sensibles.</w:t>
      </w:r>
    </w:p>
    <w:p>
      <w:pPr>
        <w:pStyle w:val="ListParagraph"/>
        <w:numPr>
          <w:ilvl w:val="0"/>
          <w:numId w:val="2"/>
        </w:numPr>
        <w:spacing w:after="60"/>
      </w:pPr>
      <w:r>
        <w:rPr>
          <w:color w:val="262626"/>
          <w:sz w:val="21"/>
          <w:szCs w:val="21"/>
        </w:rPr>
        <w:t xml:space="preserve">Bloquear o restringir el acceso desde países donde la organización no opera, si aplica.</w:t>
      </w:r>
    </w:p>
    <w:p>
      <w:pPr>
        <w:spacing w:after="80"/>
      </w:pPr>
    </w:p>
    <w:p>
      <w:pPr>
        <w:pStyle w:val="Heading2"/>
        <w:spacing w:after="120" w:before="260"/>
      </w:pPr>
      <w:r>
        <w:rPr>
          <w:b/>
          <w:bCs/>
          <w:color w:val="2E74B5"/>
          <w:sz w:val="24"/>
          <w:szCs w:val="24"/>
        </w:rPr>
        <w:t xml:space="preserve">4.3 Protección de datos</w:t>
      </w:r>
    </w:p>
    <w:p>
      <w:pPr>
        <w:pStyle w:val="ListParagraph"/>
        <w:numPr>
          <w:ilvl w:val="0"/>
          <w:numId w:val="2"/>
        </w:numPr>
        <w:spacing w:after="60"/>
      </w:pPr>
      <w:r>
        <w:rPr>
          <w:color w:val="262626"/>
          <w:sz w:val="21"/>
          <w:szCs w:val="21"/>
        </w:rPr>
        <w:t xml:space="preserve">Activar Microsoft Defender for Office 365 (o al menos Exchange Online Protection) contra phishing y malware.</w:t>
      </w:r>
    </w:p>
    <w:p>
      <w:pPr>
        <w:pStyle w:val="ListParagraph"/>
        <w:numPr>
          <w:ilvl w:val="0"/>
          <w:numId w:val="2"/>
        </w:numPr>
        <w:spacing w:after="60"/>
      </w:pPr>
      <w:r>
        <w:rPr>
          <w:color w:val="262626"/>
          <w:sz w:val="21"/>
          <w:szCs w:val="21"/>
        </w:rPr>
        <w:t xml:space="preserve">Configurar políticas de prevención de pérdida de datos (DLP) para información sensible (tarjetas de crédito, datos personales).</w:t>
      </w:r>
    </w:p>
    <w:p>
      <w:pPr>
        <w:pStyle w:val="ListParagraph"/>
        <w:numPr>
          <w:ilvl w:val="0"/>
          <w:numId w:val="2"/>
        </w:numPr>
        <w:spacing w:after="60"/>
      </w:pPr>
      <w:r>
        <w:rPr>
          <w:color w:val="262626"/>
          <w:sz w:val="21"/>
          <w:szCs w:val="21"/>
        </w:rPr>
        <w:t xml:space="preserve">Activar la papelera de eliminación y las directivas de retención en Exchange, SharePoint y OneDrive.</w:t>
      </w:r>
    </w:p>
    <w:p>
      <w:pPr>
        <w:pStyle w:val="ListParagraph"/>
        <w:numPr>
          <w:ilvl w:val="0"/>
          <w:numId w:val="2"/>
        </w:numPr>
        <w:spacing w:after="60"/>
      </w:pPr>
      <w:r>
        <w:rPr>
          <w:color w:val="262626"/>
          <w:sz w:val="21"/>
          <w:szCs w:val="21"/>
        </w:rPr>
        <w:t xml:space="preserve">Revisar y restringir el reenvío automático de correo hacia dominios externos.</w:t>
      </w:r>
    </w:p>
    <w:p>
      <w:pPr>
        <w:spacing w:after="120"/>
      </w:pPr>
    </w:p>
    <w:p>
      <w:pPr>
        <w:pStyle w:val="Heading1"/>
        <w:spacing w:after="160" w:before="360"/>
      </w:pPr>
      <w:r>
        <w:rPr>
          <w:b/>
          <w:bCs/>
          <w:color w:val="1F3864"/>
          <w:sz w:val="30"/>
          <w:szCs w:val="30"/>
        </w:rPr>
        <w:t xml:space="preserve">5. Grupos, Teams y colaboración</w:t>
      </w:r>
    </w:p>
    <w:p>
      <w:pPr>
        <w:pStyle w:val="Heading2"/>
        <w:spacing w:after="120" w:before="260"/>
      </w:pPr>
      <w:r>
        <w:rPr>
          <w:b/>
          <w:bCs/>
          <w:color w:val="2E74B5"/>
          <w:sz w:val="24"/>
          <w:szCs w:val="24"/>
        </w:rPr>
        <w:t xml:space="preserve">5.1 Grupos</w:t>
      </w:r>
    </w:p>
    <w:p>
      <w:pPr>
        <w:pStyle w:val="ListParagraph"/>
        <w:numPr>
          <w:ilvl w:val="0"/>
          <w:numId w:val="2"/>
        </w:numPr>
        <w:spacing w:after="60"/>
      </w:pPr>
      <w:r>
        <w:rPr>
          <w:color w:val="262626"/>
          <w:sz w:val="21"/>
          <w:szCs w:val="21"/>
        </w:rPr>
        <w:t xml:space="preserve">Usar Grupos de seguridad para permisos técnicos y Grupos de Microsoft 365 para colaboración (buzón, calendario, SharePoint compartidos).</w:t>
      </w:r>
    </w:p>
    <w:p>
      <w:pPr>
        <w:pStyle w:val="ListParagraph"/>
        <w:numPr>
          <w:ilvl w:val="0"/>
          <w:numId w:val="2"/>
        </w:numPr>
        <w:spacing w:after="60"/>
      </w:pPr>
      <w:r>
        <w:rPr>
          <w:color w:val="262626"/>
          <w:sz w:val="21"/>
          <w:szCs w:val="21"/>
        </w:rPr>
        <w:t xml:space="preserve">Definir una convención de nombres para grupos y equipos, por ejemplo: "grp-area-función" o "team-proyecto".</w:t>
      </w:r>
    </w:p>
    <w:p>
      <w:pPr>
        <w:pStyle w:val="ListParagraph"/>
        <w:numPr>
          <w:ilvl w:val="0"/>
          <w:numId w:val="2"/>
        </w:numPr>
        <w:spacing w:after="60"/>
      </w:pPr>
      <w:r>
        <w:rPr>
          <w:color w:val="262626"/>
          <w:sz w:val="21"/>
          <w:szCs w:val="21"/>
        </w:rPr>
        <w:t xml:space="preserve">Configurar políticas de expiración y caducidad de grupos para evitar acumulación de equipos inactivos.</w:t>
      </w:r>
    </w:p>
    <w:p>
      <w:pPr>
        <w:pStyle w:val="ListParagraph"/>
        <w:numPr>
          <w:ilvl w:val="0"/>
          <w:numId w:val="2"/>
        </w:numPr>
        <w:spacing w:after="60"/>
      </w:pPr>
      <w:r>
        <w:rPr>
          <w:color w:val="262626"/>
          <w:sz w:val="21"/>
          <w:szCs w:val="21"/>
        </w:rPr>
        <w:t xml:space="preserve">Restringir la creación libre de Grupos/Teams a un conjunto de usuarios autorizados, o pasar por un flujo de aprobación.</w:t>
      </w:r>
    </w:p>
    <w:p>
      <w:pPr>
        <w:spacing w:after="80"/>
      </w:pPr>
    </w:p>
    <w:p>
      <w:pPr>
        <w:pStyle w:val="Heading2"/>
        <w:spacing w:after="120" w:before="260"/>
      </w:pPr>
      <w:r>
        <w:rPr>
          <w:b/>
          <w:bCs/>
          <w:color w:val="2E74B5"/>
          <w:sz w:val="24"/>
          <w:szCs w:val="24"/>
        </w:rPr>
        <w:t xml:space="preserve">5.2 SharePoint y OneDrive</w:t>
      </w:r>
    </w:p>
    <w:p>
      <w:pPr>
        <w:pStyle w:val="ListParagraph"/>
        <w:numPr>
          <w:ilvl w:val="0"/>
          <w:numId w:val="2"/>
        </w:numPr>
        <w:spacing w:after="60"/>
      </w:pPr>
      <w:r>
        <w:rPr>
          <w:color w:val="262626"/>
          <w:sz w:val="21"/>
          <w:szCs w:val="21"/>
        </w:rPr>
        <w:t xml:space="preserve">Definir la estructura de sitios de SharePoint por departamento o proyecto antes de migrar archivos.</w:t>
      </w:r>
    </w:p>
    <w:p>
      <w:pPr>
        <w:pStyle w:val="ListParagraph"/>
        <w:numPr>
          <w:ilvl w:val="0"/>
          <w:numId w:val="2"/>
        </w:numPr>
        <w:spacing w:after="60"/>
      </w:pPr>
      <w:r>
        <w:rPr>
          <w:color w:val="262626"/>
          <w:sz w:val="21"/>
          <w:szCs w:val="21"/>
        </w:rPr>
        <w:t xml:space="preserve">Configurar el uso compartido externo de forma restringida por defecto (solo con invitación, no enlaces anónimos).</w:t>
      </w:r>
    </w:p>
    <w:p>
      <w:pPr>
        <w:pStyle w:val="ListParagraph"/>
        <w:numPr>
          <w:ilvl w:val="0"/>
          <w:numId w:val="2"/>
        </w:numPr>
        <w:spacing w:after="60"/>
      </w:pPr>
      <w:r>
        <w:rPr>
          <w:color w:val="262626"/>
          <w:sz w:val="21"/>
          <w:szCs w:val="21"/>
        </w:rPr>
        <w:t xml:space="preserve">Habilitar el versionado de documentos y las políticas de retención.</w:t>
      </w:r>
    </w:p>
    <w:p>
      <w:pPr>
        <w:spacing w:after="120"/>
      </w:pPr>
    </w:p>
    <w:p>
      <w:pPr>
        <w:pStyle w:val="Heading1"/>
        <w:spacing w:after="160" w:before="360"/>
      </w:pPr>
      <w:r>
        <w:rPr>
          <w:b/>
          <w:bCs/>
          <w:color w:val="1F3864"/>
          <w:sz w:val="30"/>
          <w:szCs w:val="30"/>
        </w:rPr>
        <w:t xml:space="preserve">6. Licenciamiento, monitoreo y soporte</w:t>
      </w:r>
    </w:p>
    <w:p>
      <w:pPr>
        <w:pStyle w:val="Heading2"/>
        <w:spacing w:after="120" w:before="260"/>
      </w:pPr>
      <w:r>
        <w:rPr>
          <w:b/>
          <w:bCs/>
          <w:color w:val="2E74B5"/>
          <w:sz w:val="24"/>
          <w:szCs w:val="24"/>
        </w:rPr>
        <w:t xml:space="preserve">6.1 Licenciamiento</w:t>
      </w:r>
    </w:p>
    <w:p>
      <w:pPr>
        <w:pStyle w:val="ListParagraph"/>
        <w:numPr>
          <w:ilvl w:val="0"/>
          <w:numId w:val="2"/>
        </w:numPr>
        <w:spacing w:after="60"/>
      </w:pPr>
      <w:r>
        <w:rPr>
          <w:color w:val="262626"/>
          <w:sz w:val="21"/>
          <w:szCs w:val="21"/>
        </w:rPr>
        <w:t xml:space="preserve">Usar grupos de licenciamiento basado en grupos ("group-based licensing") en vez de asignar licencias una por una.</w:t>
      </w:r>
    </w:p>
    <w:p>
      <w:pPr>
        <w:pStyle w:val="ListParagraph"/>
        <w:numPr>
          <w:ilvl w:val="0"/>
          <w:numId w:val="2"/>
        </w:numPr>
        <w:spacing w:after="60"/>
      </w:pPr>
      <w:r>
        <w:rPr>
          <w:color w:val="262626"/>
          <w:sz w:val="21"/>
          <w:szCs w:val="21"/>
        </w:rPr>
        <w:t xml:space="preserve">Revisar mensualmente el uso real de licencias contra las contratadas para optimizar costos.</w:t>
      </w:r>
    </w:p>
    <w:p>
      <w:pPr>
        <w:spacing w:after="80"/>
      </w:pPr>
    </w:p>
    <w:p>
      <w:pPr>
        <w:pStyle w:val="Heading2"/>
        <w:spacing w:after="120" w:before="260"/>
      </w:pPr>
      <w:r>
        <w:rPr>
          <w:b/>
          <w:bCs/>
          <w:color w:val="2E74B5"/>
          <w:sz w:val="24"/>
          <w:szCs w:val="24"/>
        </w:rPr>
        <w:t xml:space="preserve">6.2 Monitoreo</w:t>
      </w:r>
    </w:p>
    <w:p>
      <w:pPr>
        <w:pStyle w:val="ListParagraph"/>
        <w:numPr>
          <w:ilvl w:val="0"/>
          <w:numId w:val="2"/>
        </w:numPr>
        <w:spacing w:after="60"/>
      </w:pPr>
      <w:r>
        <w:rPr>
          <w:color w:val="262626"/>
          <w:sz w:val="21"/>
          <w:szCs w:val="21"/>
        </w:rPr>
        <w:t xml:space="preserve">Configurar alertas en el Centro de administración para actividades sospechosas (inicios de sesión de riesgo, cambios de administrador).</w:t>
      </w:r>
    </w:p>
    <w:p>
      <w:pPr>
        <w:pStyle w:val="ListParagraph"/>
        <w:numPr>
          <w:ilvl w:val="0"/>
          <w:numId w:val="2"/>
        </w:numPr>
        <w:spacing w:after="60"/>
      </w:pPr>
      <w:r>
        <w:rPr>
          <w:color w:val="262626"/>
          <w:sz w:val="21"/>
          <w:szCs w:val="21"/>
        </w:rPr>
        <w:t xml:space="preserve">Revisar periódicamente el "Puntaje de seguridad" (Microsoft Secure Score) y atender las recomendaciones prioritarias.</w:t>
      </w:r>
    </w:p>
    <w:p>
      <w:pPr>
        <w:pStyle w:val="ListParagraph"/>
        <w:numPr>
          <w:ilvl w:val="0"/>
          <w:numId w:val="2"/>
        </w:numPr>
        <w:spacing w:after="60"/>
      </w:pPr>
      <w:r>
        <w:rPr>
          <w:color w:val="262626"/>
          <w:sz w:val="21"/>
          <w:szCs w:val="21"/>
        </w:rPr>
        <w:t xml:space="preserve">Habilitar el registro de auditoría unificado para investigaciones futuras.</w:t>
      </w:r>
    </w:p>
    <w:p>
      <w:pPr>
        <w:spacing w:after="80"/>
      </w:pPr>
    </w:p>
    <w:p>
      <w:pPr>
        <w:pStyle w:val="Heading2"/>
        <w:spacing w:after="120" w:before="260"/>
      </w:pPr>
      <w:r>
        <w:rPr>
          <w:b/>
          <w:bCs/>
          <w:color w:val="2E74B5"/>
          <w:sz w:val="24"/>
          <w:szCs w:val="24"/>
        </w:rPr>
        <w:t xml:space="preserve">6.3 Capacitación y soporte</w:t>
      </w:r>
    </w:p>
    <w:p>
      <w:pPr>
        <w:pStyle w:val="ListParagraph"/>
        <w:numPr>
          <w:ilvl w:val="0"/>
          <w:numId w:val="2"/>
        </w:numPr>
        <w:spacing w:after="60"/>
      </w:pPr>
      <w:r>
        <w:rPr>
          <w:color w:val="262626"/>
          <w:sz w:val="21"/>
          <w:szCs w:val="21"/>
        </w:rPr>
        <w:t xml:space="preserve">Compartir con los usuarios finales una guía breve de primeros pasos (acceso a portal.office.com, instalación de apps, Outlook, Teams).</w:t>
      </w:r>
    </w:p>
    <w:p>
      <w:pPr>
        <w:pStyle w:val="ListParagraph"/>
        <w:numPr>
          <w:ilvl w:val="0"/>
          <w:numId w:val="2"/>
        </w:numPr>
        <w:spacing w:after="60"/>
      </w:pPr>
      <w:r>
        <w:rPr>
          <w:color w:val="262626"/>
          <w:sz w:val="21"/>
          <w:szCs w:val="21"/>
        </w:rPr>
        <w:t xml:space="preserve">Designar un punto de contacto interno (mesa de ayuda) para dudas de acceso y licenciamiento.</w:t>
      </w:r>
    </w:p>
    <w:p>
      <w:pPr>
        <w:spacing w:after="120"/>
      </w:pPr>
    </w:p>
    <w:p>
      <w:pPr>
        <w:pStyle w:val="Heading1"/>
        <w:spacing w:after="160" w:before="360"/>
      </w:pPr>
      <w:r>
        <w:rPr>
          <w:b/>
          <w:bCs/>
          <w:color w:val="1F3864"/>
          <w:sz w:val="30"/>
          <w:szCs w:val="30"/>
        </w:rPr>
        <w:t xml:space="preserve">7. Checklist resumen de onboarding</w:t>
      </w:r>
    </w:p>
    <w:p>
      <w:pPr>
        <w:pStyle w:val="ListParagraph"/>
        <w:numPr>
          <w:ilvl w:val="0"/>
          <w:numId w:val="3"/>
        </w:numPr>
        <w:spacing w:after="60"/>
      </w:pPr>
      <w:r>
        <w:rPr>
          <w:color w:val="262626"/>
          <w:sz w:val="21"/>
          <w:szCs w:val="21"/>
        </w:rPr>
        <w:t xml:space="preserve">Verificar dominio propio y registros DNS (MX, SPF, DKIM, DMARC).</w:t>
      </w:r>
    </w:p>
    <w:p>
      <w:pPr>
        <w:pStyle w:val="ListParagraph"/>
        <w:numPr>
          <w:ilvl w:val="0"/>
          <w:numId w:val="3"/>
        </w:numPr>
        <w:spacing w:after="60"/>
      </w:pPr>
      <w:r>
        <w:rPr>
          <w:color w:val="262626"/>
          <w:sz w:val="21"/>
          <w:szCs w:val="21"/>
        </w:rPr>
        <w:t xml:space="preserve">Crear cuentas de emergencia ("break-glass") y asignar roles administrativos mínimos necesarios.</w:t>
      </w:r>
    </w:p>
    <w:p>
      <w:pPr>
        <w:pStyle w:val="ListParagraph"/>
        <w:numPr>
          <w:ilvl w:val="0"/>
          <w:numId w:val="3"/>
        </w:numPr>
        <w:spacing w:after="60"/>
      </w:pPr>
      <w:r>
        <w:rPr>
          <w:color w:val="262626"/>
          <w:sz w:val="21"/>
          <w:szCs w:val="21"/>
        </w:rPr>
        <w:t xml:space="preserve">Definir y documentar la convención de nombres de usuario.</w:t>
      </w:r>
    </w:p>
    <w:p>
      <w:pPr>
        <w:pStyle w:val="ListParagraph"/>
        <w:numPr>
          <w:ilvl w:val="0"/>
          <w:numId w:val="3"/>
        </w:numPr>
        <w:spacing w:after="60"/>
      </w:pPr>
      <w:r>
        <w:rPr>
          <w:color w:val="262626"/>
          <w:sz w:val="21"/>
          <w:szCs w:val="21"/>
        </w:rPr>
        <w:t xml:space="preserve">Dar de alta usuarios con perfil completo y licencia asignada.</w:t>
      </w:r>
    </w:p>
    <w:p>
      <w:pPr>
        <w:pStyle w:val="ListParagraph"/>
        <w:numPr>
          <w:ilvl w:val="0"/>
          <w:numId w:val="3"/>
        </w:numPr>
        <w:spacing w:after="60"/>
      </w:pPr>
      <w:r>
        <w:rPr>
          <w:color w:val="262626"/>
          <w:sz w:val="21"/>
          <w:szCs w:val="21"/>
        </w:rPr>
        <w:t xml:space="preserve">Activar MFA y políticas de acceso condicional.</w:t>
      </w:r>
    </w:p>
    <w:p>
      <w:pPr>
        <w:pStyle w:val="ListParagraph"/>
        <w:numPr>
          <w:ilvl w:val="0"/>
          <w:numId w:val="3"/>
        </w:numPr>
        <w:spacing w:after="60"/>
      </w:pPr>
      <w:r>
        <w:rPr>
          <w:color w:val="262626"/>
          <w:sz w:val="21"/>
          <w:szCs w:val="21"/>
        </w:rPr>
        <w:t xml:space="preserve">Bloquear autenticación heredada.</w:t>
      </w:r>
    </w:p>
    <w:p>
      <w:pPr>
        <w:pStyle w:val="ListParagraph"/>
        <w:numPr>
          <w:ilvl w:val="0"/>
          <w:numId w:val="3"/>
        </w:numPr>
        <w:spacing w:after="60"/>
      </w:pPr>
      <w:r>
        <w:rPr>
          <w:color w:val="262626"/>
          <w:sz w:val="21"/>
          <w:szCs w:val="21"/>
        </w:rPr>
        <w:t xml:space="preserve">Configurar protección contra malware/phishing y políticas DLP.</w:t>
      </w:r>
    </w:p>
    <w:p>
      <w:pPr>
        <w:pStyle w:val="ListParagraph"/>
        <w:numPr>
          <w:ilvl w:val="0"/>
          <w:numId w:val="3"/>
        </w:numPr>
        <w:spacing w:after="60"/>
      </w:pPr>
      <w:r>
        <w:rPr>
          <w:color w:val="262626"/>
          <w:sz w:val="21"/>
          <w:szCs w:val="21"/>
        </w:rPr>
        <w:t xml:space="preserve">Definir estructura de grupos, Teams y SharePoint.</w:t>
      </w:r>
    </w:p>
    <w:p>
      <w:pPr>
        <w:pStyle w:val="ListParagraph"/>
        <w:numPr>
          <w:ilvl w:val="0"/>
          <w:numId w:val="3"/>
        </w:numPr>
        <w:spacing w:after="60"/>
      </w:pPr>
      <w:r>
        <w:rPr>
          <w:color w:val="262626"/>
          <w:sz w:val="21"/>
          <w:szCs w:val="21"/>
        </w:rPr>
        <w:t xml:space="preserve">Configurar retención y papelera de eliminación.</w:t>
      </w:r>
    </w:p>
    <w:p>
      <w:pPr>
        <w:pStyle w:val="ListParagraph"/>
        <w:numPr>
          <w:ilvl w:val="0"/>
          <w:numId w:val="3"/>
        </w:numPr>
        <w:spacing w:after="60"/>
      </w:pPr>
      <w:r>
        <w:rPr>
          <w:color w:val="262626"/>
          <w:sz w:val="21"/>
          <w:szCs w:val="21"/>
        </w:rPr>
        <w:t xml:space="preserve">Activar el registro de auditoría y revisar el Secure Score.</w:t>
      </w:r>
    </w:p>
    <w:p>
      <w:pPr>
        <w:pStyle w:val="ListParagraph"/>
        <w:numPr>
          <w:ilvl w:val="0"/>
          <w:numId w:val="3"/>
        </w:numPr>
        <w:spacing w:after="60"/>
      </w:pPr>
      <w:r>
        <w:rPr>
          <w:color w:val="262626"/>
          <w:sz w:val="21"/>
          <w:szCs w:val="21"/>
        </w:rPr>
        <w:t xml:space="preserve">Comunicar a los usuarios finales la guía de primeros pasos.</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DEBF7" w:val="clear"/>
            <w:tcMar>
              <w:top w:type="dxa" w:w="120"/>
              <w:left w:type="dxa" w:w="160"/>
              <w:bottom w:type="dxa" w:w="120"/>
              <w:right w:type="dxa" w:w="160"/>
            </w:tcMar>
          </w:tcPr>
          <w:p>
            <w:pPr>
              <w:spacing w:after="40"/>
            </w:pPr>
            <w:r>
              <w:rPr>
                <w:b/>
                <w:bCs/>
                <w:color w:val="1F3864"/>
                <w:sz w:val="21"/>
                <w:szCs w:val="21"/>
              </w:rPr>
              <w:t xml:space="preserve">💡 Recomendación final</w:t>
            </w:r>
          </w:p>
          <w:p>
            <w:r>
              <w:rPr>
                <w:color w:val="333333"/>
                <w:sz w:val="20"/>
                <w:szCs w:val="20"/>
              </w:rPr>
              <w:t xml:space="preserve">Repite esta checklist cada vez que se incorpore un nuevo departamento o se amplíe significativamente el número de usuarios, para mantener consistencia en la configuración.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Onboarding Microsoft 365</dc:title>
  <dc:creator>Guía M365</dc:creator>
  <cp:lastModifiedBy>Un-named</cp:lastModifiedBy>
  <cp:revision>1</cp:revision>
  <dcterms:created xsi:type="dcterms:W3CDTF">2026-07-19T20:56:55.923Z</dcterms:created>
  <dcterms:modified xsi:type="dcterms:W3CDTF">2026-07-19T20:56:55.924Z</dcterms:modified>
</cp:coreProperties>
</file>

<file path=docProps/custom.xml><?xml version="1.0" encoding="utf-8"?>
<Properties xmlns="http://schemas.openxmlformats.org/officeDocument/2006/custom-properties" xmlns:vt="http://schemas.openxmlformats.org/officeDocument/2006/docPropsVTypes"/>
</file>