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b/>
          <w:bCs/>
          <w:color w:val="1F3864"/>
          <w:sz w:val="48"/>
          <w:szCs w:val="48"/>
        </w:rPr>
        <w:t xml:space="preserve">Guía de Actividades</w:t>
      </w:r>
    </w:p>
    <w:p>
      <w:pPr>
        <w:spacing w:after="60"/>
        <w:jc w:val="center"/>
      </w:pPr>
      <w:r>
        <w:rPr>
          <w:b/>
          <w:bCs/>
          <w:color w:val="2E74B5"/>
          <w:sz w:val="30"/>
          <w:szCs w:val="30"/>
        </w:rPr>
        <w:t xml:space="preserve">Despliegue del Ambiente desde el Portal Web de Microsoft Azure</w:t>
      </w:r>
    </w:p>
    <w:p>
      <w:pPr>
        <w:spacing w:after="400"/>
        <w:jc w:val="center"/>
      </w:pPr>
      <w:r>
        <w:rPr>
          <w:i/>
          <w:iCs/>
          <w:color w:val="808080"/>
          <w:sz w:val="22"/>
          <w:szCs w:val="22"/>
        </w:rPr>
        <w:t xml:space="preserve">Arquitectura de 3 Niveles (IaaS) — Basada en bicep-arquitectura-3niveles / 0_1-Info_Infra_01.csv</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60"/>
              <w:left w:type="dxa" w:w="100"/>
              <w:bottom w:type="dxa" w:w="60"/>
              <w:right w:type="dxa" w:w="100"/>
            </w:tcMar>
          </w:tcPr>
          <w:p>
            <w:pPr>
              <w:jc w:val="left"/>
            </w:pPr>
            <w:r>
              <w:rPr>
                <w:b/>
                <w:bCs/>
                <w:color w:val="FFFFFF"/>
                <w:sz w:val="20"/>
                <w:szCs w:val="20"/>
              </w:rPr>
              <w:t xml:space="preserve">Dato</w:t>
            </w:r>
          </w:p>
        </w:tc>
        <w:tc>
          <w:tcPr>
            <w:tcW w:type="dxa" w:w="6300"/>
            <w:shd w:fill="1F3864" w:val="clear"/>
            <w:tcMar>
              <w:top w:type="dxa" w:w="60"/>
              <w:left w:type="dxa" w:w="100"/>
              <w:bottom w:type="dxa" w:w="60"/>
              <w:right w:type="dxa" w:w="100"/>
            </w:tcMar>
          </w:tcPr>
          <w:p>
            <w:pPr>
              <w:jc w:val="left"/>
            </w:pPr>
            <w:r>
              <w:rPr>
                <w:b/>
                <w:bCs/>
                <w:color w:val="FFFFFF"/>
                <w:sz w:val="20"/>
                <w:szCs w:val="20"/>
              </w:rPr>
              <w:t xml:space="preserve">Valor</w:t>
            </w:r>
          </w:p>
        </w:tc>
      </w:tr>
      <w:tr>
        <w:tc>
          <w:tcPr>
            <w:tcW w:type="dxa" w:w="3200"/>
            <w:shd w:fill="DEEAF6" w:val="clear"/>
            <w:tcMar>
              <w:top w:type="dxa" w:w="60"/>
              <w:left w:type="dxa" w:w="100"/>
              <w:bottom w:type="dxa" w:w="60"/>
              <w:right w:type="dxa" w:w="100"/>
            </w:tcMar>
          </w:tcPr>
          <w:p>
            <w:pPr>
              <w:jc w:val="left"/>
            </w:pPr>
            <w:r>
              <w:rPr>
                <w:b w:val="false"/>
                <w:bCs w:val="false"/>
                <w:color w:val="000000"/>
                <w:sz w:val="20"/>
                <w:szCs w:val="20"/>
              </w:rPr>
              <w:t xml:space="preserve">Elaborado para</w:t>
            </w:r>
          </w:p>
        </w:tc>
        <w:tc>
          <w:tcPr>
            <w:tcW w:type="dxa" w:w="6300"/>
            <w:shd w:fill="DEEAF6" w:val="clear"/>
            <w:tcMar>
              <w:top w:type="dxa" w:w="60"/>
              <w:left w:type="dxa" w:w="100"/>
              <w:bottom w:type="dxa" w:w="60"/>
              <w:right w:type="dxa" w:w="100"/>
            </w:tcMar>
          </w:tcPr>
          <w:p>
            <w:pPr>
              <w:jc w:val="left"/>
            </w:pPr>
            <w:r>
              <w:rPr>
                <w:b w:val="false"/>
                <w:bCs w:val="false"/>
                <w:color w:val="000000"/>
                <w:sz w:val="20"/>
                <w:szCs w:val="20"/>
              </w:rPr>
              <w:t xml:space="preserve">cesar.larios@gmail.com</w:t>
            </w:r>
          </w:p>
        </w:tc>
      </w:tr>
      <w:tr>
        <w:tc>
          <w:tcPr>
            <w:tcW w:type="dxa" w:w="3200"/>
            <w:shd w:fill="FFFFFF" w:val="clear"/>
            <w:tcMar>
              <w:top w:type="dxa" w:w="60"/>
              <w:left w:type="dxa" w:w="100"/>
              <w:bottom w:type="dxa" w:w="60"/>
              <w:right w:type="dxa" w:w="100"/>
            </w:tcMar>
          </w:tcPr>
          <w:p>
            <w:pPr>
              <w:jc w:val="left"/>
            </w:pPr>
            <w:r>
              <w:rPr>
                <w:b w:val="false"/>
                <w:bCs w:val="false"/>
                <w:color w:val="000000"/>
                <w:sz w:val="20"/>
                <w:szCs w:val="20"/>
              </w:rPr>
              <w:t xml:space="preserve">Fecha</w:t>
            </w:r>
          </w:p>
        </w:tc>
        <w:tc>
          <w:tcPr>
            <w:tcW w:type="dxa" w:w="6300"/>
            <w:shd w:fill="FFFFFF" w:val="clear"/>
            <w:tcMar>
              <w:top w:type="dxa" w:w="60"/>
              <w:left w:type="dxa" w:w="100"/>
              <w:bottom w:type="dxa" w:w="60"/>
              <w:right w:type="dxa" w:w="100"/>
            </w:tcMar>
          </w:tcPr>
          <w:p>
            <w:pPr>
              <w:jc w:val="left"/>
            </w:pPr>
            <w:r>
              <w:rPr>
                <w:b w:val="false"/>
                <w:bCs w:val="false"/>
                <w:color w:val="000000"/>
                <w:sz w:val="20"/>
                <w:szCs w:val="20"/>
              </w:rPr>
              <w:t xml:space="preserve">27 de septiembre de 2026</w:t>
            </w:r>
          </w:p>
        </w:tc>
      </w:tr>
      <w:tr>
        <w:tc>
          <w:tcPr>
            <w:tcW w:type="dxa" w:w="3200"/>
            <w:shd w:fill="DEEAF6" w:val="clear"/>
            <w:tcMar>
              <w:top w:type="dxa" w:w="60"/>
              <w:left w:type="dxa" w:w="100"/>
              <w:bottom w:type="dxa" w:w="60"/>
              <w:right w:type="dxa" w:w="100"/>
            </w:tcMar>
          </w:tcPr>
          <w:p>
            <w:pPr>
              <w:jc w:val="left"/>
            </w:pPr>
            <w:r>
              <w:rPr>
                <w:b w:val="false"/>
                <w:bCs w:val="false"/>
                <w:color w:val="000000"/>
                <w:sz w:val="20"/>
                <w:szCs w:val="20"/>
              </w:rPr>
              <w:t xml:space="preserve">Método de despliegue</w:t>
            </w:r>
          </w:p>
        </w:tc>
        <w:tc>
          <w:tcPr>
            <w:tcW w:type="dxa" w:w="6300"/>
            <w:shd w:fill="DEEAF6" w:val="clear"/>
            <w:tcMar>
              <w:top w:type="dxa" w:w="60"/>
              <w:left w:type="dxa" w:w="100"/>
              <w:bottom w:type="dxa" w:w="60"/>
              <w:right w:type="dxa" w:w="100"/>
            </w:tcMar>
          </w:tcPr>
          <w:p>
            <w:pPr>
              <w:jc w:val="left"/>
            </w:pPr>
            <w:r>
              <w:rPr>
                <w:b w:val="false"/>
                <w:bCs w:val="false"/>
                <w:color w:val="000000"/>
                <w:sz w:val="20"/>
                <w:szCs w:val="20"/>
              </w:rPr>
              <w:t xml:space="preserve">Consola web (Azure Portal) — creación manual de recursos</w:t>
            </w:r>
          </w:p>
        </w:tc>
      </w:tr>
      <w:tr>
        <w:tc>
          <w:tcPr>
            <w:tcW w:type="dxa" w:w="3200"/>
            <w:shd w:fill="FFFFFF" w:val="clear"/>
            <w:tcMar>
              <w:top w:type="dxa" w:w="60"/>
              <w:left w:type="dxa" w:w="100"/>
              <w:bottom w:type="dxa" w:w="60"/>
              <w:right w:type="dxa" w:w="100"/>
            </w:tcMar>
          </w:tcPr>
          <w:p>
            <w:pPr>
              <w:jc w:val="left"/>
            </w:pPr>
            <w:r>
              <w:rPr>
                <w:b w:val="false"/>
                <w:bCs w:val="false"/>
                <w:color w:val="000000"/>
                <w:sz w:val="20"/>
                <w:szCs w:val="20"/>
              </w:rPr>
              <w:t xml:space="preserve">Referencia técnica</w:t>
            </w:r>
          </w:p>
        </w:tc>
        <w:tc>
          <w:tcPr>
            <w:tcW w:type="dxa" w:w="6300"/>
            <w:shd w:fill="FFFFFF" w:val="clear"/>
            <w:tcMar>
              <w:top w:type="dxa" w:w="60"/>
              <w:left w:type="dxa" w:w="100"/>
              <w:bottom w:type="dxa" w:w="60"/>
              <w:right w:type="dxa" w:w="100"/>
            </w:tcMar>
          </w:tcPr>
          <w:p>
            <w:pPr>
              <w:jc w:val="left"/>
            </w:pPr>
            <w:r>
              <w:rPr>
                <w:b w:val="false"/>
                <w:bCs w:val="false"/>
                <w:color w:val="000000"/>
                <w:sz w:val="20"/>
                <w:szCs w:val="20"/>
              </w:rPr>
              <w:t xml:space="preserve">Proyecto Bicep "bicep-arquitectura-3niveles" y hoja de costos "0_1-Info_Infra_01.csv"</w:t>
            </w:r>
          </w:p>
        </w:tc>
      </w:tr>
    </w:tbl>
    <w:p>
      <w:pPr>
        <w:spacing w:after="300"/>
      </w:pPr>
    </w:p>
    <w:p>
      <w:pPr>
        <w:pStyle w:val="Heading1"/>
        <w:pBdr>
          <w:bottom w:val="single" w:color="2E74B5" w:sz="8" w:space="4"/>
        </w:pBdr>
        <w:spacing w:after="160" w:before="360"/>
      </w:pPr>
      <w:r>
        <w:rPr>
          <w:b/>
          <w:bCs/>
          <w:color w:val="1F3864"/>
          <w:sz w:val="30"/>
          <w:szCs w:val="30"/>
        </w:rPr>
        <w:t xml:space="preserve">1. Resumen del Ambiente a Desplegar</w:t>
      </w:r>
    </w:p>
    <w:p>
      <w:pPr>
        <w:spacing w:after="120"/>
      </w:pPr>
      <w:r>
        <w:rPr>
          <w:sz w:val="22"/>
          <w:szCs w:val="22"/>
        </w:rPr>
        <w:t xml:space="preserve">Esta guía enumera, en orden recomendado, las actividades necesarias para construir manualmente en el Portal de Azure (portal.azure.com) el mismo ambiente que despliega el proyecto de Infraestructura como Código (Bicep), conservando los mismos SKUs, tamaños de disco y configuraciones que se validaron contra la hoja de costos del cliente.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800"/>
        <w:gridCol w:w="3500"/>
      </w:tblGrid>
      <w:tr>
        <w:trPr>
          <w:tblHeader/>
        </w:trPr>
        <w:tc>
          <w:tcPr>
            <w:tcW w:type="dxa" w:w="500"/>
            <w:shd w:fill="1F3864" w:val="clear"/>
            <w:tcMar>
              <w:top w:type="dxa" w:w="60"/>
              <w:left w:type="dxa" w:w="100"/>
              <w:bottom w:type="dxa" w:w="60"/>
              <w:right w:type="dxa" w:w="100"/>
            </w:tcMar>
          </w:tcPr>
          <w:p>
            <w:pPr>
              <w:jc w:val="left"/>
            </w:pPr>
            <w:r>
              <w:rPr>
                <w:b/>
                <w:bCs/>
                <w:color w:val="FFFFFF"/>
                <w:sz w:val="20"/>
                <w:szCs w:val="20"/>
              </w:rPr>
              <w:t xml:space="preserve">#</w:t>
            </w:r>
          </w:p>
        </w:tc>
        <w:tc>
          <w:tcPr>
            <w:tcW w:type="dxa" w:w="2700"/>
            <w:shd w:fill="1F3864" w:val="clear"/>
            <w:tcMar>
              <w:top w:type="dxa" w:w="60"/>
              <w:left w:type="dxa" w:w="100"/>
              <w:bottom w:type="dxa" w:w="60"/>
              <w:right w:type="dxa" w:w="100"/>
            </w:tcMar>
          </w:tcPr>
          <w:p>
            <w:pPr>
              <w:jc w:val="left"/>
            </w:pPr>
            <w:r>
              <w:rPr>
                <w:b/>
                <w:bCs/>
                <w:color w:val="FFFFFF"/>
                <w:sz w:val="20"/>
                <w:szCs w:val="20"/>
              </w:rPr>
              <w:t xml:space="preserve">Recurso</w:t>
            </w:r>
          </w:p>
        </w:tc>
        <w:tc>
          <w:tcPr>
            <w:tcW w:type="dxa" w:w="2800"/>
            <w:shd w:fill="1F3864" w:val="clear"/>
            <w:tcMar>
              <w:top w:type="dxa" w:w="60"/>
              <w:left w:type="dxa" w:w="100"/>
              <w:bottom w:type="dxa" w:w="60"/>
              <w:right w:type="dxa" w:w="100"/>
            </w:tcMar>
          </w:tcPr>
          <w:p>
            <w:pPr>
              <w:jc w:val="left"/>
            </w:pPr>
            <w:r>
              <w:rPr>
                <w:b/>
                <w:bCs/>
                <w:color w:val="FFFFFF"/>
                <w:sz w:val="20"/>
                <w:szCs w:val="20"/>
              </w:rPr>
              <w:t xml:space="preserve">SKU / Tier</w:t>
            </w:r>
          </w:p>
        </w:tc>
        <w:tc>
          <w:tcPr>
            <w:tcW w:type="dxa" w:w="3500"/>
            <w:shd w:fill="1F3864" w:val="clear"/>
            <w:tcMar>
              <w:top w:type="dxa" w:w="60"/>
              <w:left w:type="dxa" w:w="100"/>
              <w:bottom w:type="dxa" w:w="60"/>
              <w:right w:type="dxa" w:w="100"/>
            </w:tcMar>
          </w:tcPr>
          <w:p>
            <w:pPr>
              <w:jc w:val="left"/>
            </w:pPr>
            <w:r>
              <w:rPr>
                <w:b/>
                <w:bCs/>
                <w:color w:val="FFFFFF"/>
                <w:sz w:val="20"/>
                <w:szCs w:val="20"/>
              </w:rPr>
              <w:t xml:space="preserve">Notas</w:t>
            </w:r>
          </w:p>
        </w:tc>
      </w:tr>
      <w:tr>
        <w:tc>
          <w:tcPr>
            <w:tcW w:type="dxa" w:w="500"/>
            <w:shd w:fill="DEEAF6" w:val="clear"/>
            <w:tcMar>
              <w:top w:type="dxa" w:w="60"/>
              <w:left w:type="dxa" w:w="100"/>
              <w:bottom w:type="dxa" w:w="60"/>
              <w:right w:type="dxa" w:w="100"/>
            </w:tcMar>
          </w:tcPr>
          <w:p>
            <w:pPr>
              <w:jc w:val="left"/>
            </w:pPr>
            <w:r>
              <w:rPr>
                <w:b w:val="false"/>
                <w:bCs w:val="false"/>
                <w:color w:val="000000"/>
                <w:sz w:val="20"/>
                <w:szCs w:val="20"/>
              </w:rPr>
              <w:t xml:space="preserve">1</w:t>
            </w:r>
          </w:p>
        </w:tc>
        <w:tc>
          <w:tcPr>
            <w:tcW w:type="dxa" w:w="2700"/>
            <w:shd w:fill="DEEAF6" w:val="clear"/>
            <w:tcMar>
              <w:top w:type="dxa" w:w="60"/>
              <w:left w:type="dxa" w:w="100"/>
              <w:bottom w:type="dxa" w:w="60"/>
              <w:right w:type="dxa" w:w="100"/>
            </w:tcMar>
          </w:tcPr>
          <w:p>
            <w:pPr>
              <w:jc w:val="left"/>
            </w:pPr>
            <w:r>
              <w:rPr>
                <w:b w:val="false"/>
                <w:bCs w:val="false"/>
                <w:color w:val="000000"/>
                <w:sz w:val="20"/>
                <w:szCs w:val="20"/>
              </w:rPr>
              <w:t xml:space="preserve">Grupo de Recursos</w:t>
            </w:r>
          </w:p>
        </w:tc>
        <w:tc>
          <w:tcPr>
            <w:tcW w:type="dxa" w:w="2800"/>
            <w:shd w:fill="DEEAF6" w:val="clear"/>
            <w:tcMar>
              <w:top w:type="dxa" w:w="60"/>
              <w:left w:type="dxa" w:w="100"/>
              <w:bottom w:type="dxa" w:w="60"/>
              <w:right w:type="dxa" w:w="100"/>
            </w:tcMar>
          </w:tcPr>
          <w:p>
            <w:pPr>
              <w:jc w:val="left"/>
            </w:pPr>
            <w:r>
              <w:rPr>
                <w:b w:val="false"/>
                <w:bCs w:val="false"/>
                <w:color w:val="000000"/>
                <w:sz w:val="20"/>
                <w:szCs w:val="20"/>
              </w:rPr>
              <w:t xml:space="preserve">—</w:t>
            </w:r>
          </w:p>
        </w:tc>
        <w:tc>
          <w:tcPr>
            <w:tcW w:type="dxa" w:w="3500"/>
            <w:shd w:fill="DEEAF6" w:val="clear"/>
            <w:tcMar>
              <w:top w:type="dxa" w:w="60"/>
              <w:left w:type="dxa" w:w="100"/>
              <w:bottom w:type="dxa" w:w="60"/>
              <w:right w:type="dxa" w:w="100"/>
            </w:tcMar>
          </w:tcPr>
          <w:p>
            <w:pPr>
              <w:jc w:val="left"/>
            </w:pPr>
            <w:r>
              <w:rPr>
                <w:b w:val="false"/>
                <w:bCs w:val="false"/>
                <w:color w:val="000000"/>
                <w:sz w:val="20"/>
                <w:szCs w:val="20"/>
              </w:rPr>
              <w:t xml:space="preserve">Contenedor lógico de todo el ambiente</w:t>
            </w:r>
          </w:p>
        </w:tc>
      </w:tr>
      <w:tr>
        <w:tc>
          <w:tcPr>
            <w:tcW w:type="dxa" w:w="500"/>
            <w:shd w:fill="FFFFFF" w:val="clear"/>
            <w:tcMar>
              <w:top w:type="dxa" w:w="60"/>
              <w:left w:type="dxa" w:w="100"/>
              <w:bottom w:type="dxa" w:w="60"/>
              <w:right w:type="dxa" w:w="100"/>
            </w:tcMar>
          </w:tcPr>
          <w:p>
            <w:pPr>
              <w:jc w:val="left"/>
            </w:pPr>
            <w:r>
              <w:rPr>
                <w:b w:val="false"/>
                <w:bCs w:val="false"/>
                <w:color w:val="000000"/>
                <w:sz w:val="20"/>
                <w:szCs w:val="20"/>
              </w:rPr>
              <w:t xml:space="preserve">2</w:t>
            </w:r>
          </w:p>
        </w:tc>
        <w:tc>
          <w:tcPr>
            <w:tcW w:type="dxa" w:w="2700"/>
            <w:shd w:fill="FFFFFF" w:val="clear"/>
            <w:tcMar>
              <w:top w:type="dxa" w:w="60"/>
              <w:left w:type="dxa" w:w="100"/>
              <w:bottom w:type="dxa" w:w="60"/>
              <w:right w:type="dxa" w:w="100"/>
            </w:tcMar>
          </w:tcPr>
          <w:p>
            <w:pPr>
              <w:jc w:val="left"/>
            </w:pPr>
            <w:r>
              <w:rPr>
                <w:b w:val="false"/>
                <w:bCs w:val="false"/>
                <w:color w:val="000000"/>
                <w:sz w:val="20"/>
                <w:szCs w:val="20"/>
              </w:rPr>
              <w:t xml:space="preserve">Red Virtual (VNet) + 6 subredes</w:t>
            </w:r>
          </w:p>
        </w:tc>
        <w:tc>
          <w:tcPr>
            <w:tcW w:type="dxa" w:w="2800"/>
            <w:shd w:fill="FFFFFF" w:val="clear"/>
            <w:tcMar>
              <w:top w:type="dxa" w:w="60"/>
              <w:left w:type="dxa" w:w="100"/>
              <w:bottom w:type="dxa" w:w="60"/>
              <w:right w:type="dxa" w:w="100"/>
            </w:tcMar>
          </w:tcPr>
          <w:p>
            <w:pPr>
              <w:jc w:val="left"/>
            </w:pPr>
            <w:r>
              <w:rPr>
                <w:b w:val="false"/>
                <w:bCs w:val="false"/>
                <w:color w:val="000000"/>
                <w:sz w:val="20"/>
                <w:szCs w:val="20"/>
              </w:rPr>
              <w:t xml:space="preserve">10.10.0.0/16</w:t>
            </w:r>
          </w:p>
        </w:tc>
        <w:tc>
          <w:tcPr>
            <w:tcW w:type="dxa" w:w="3500"/>
            <w:shd w:fill="FFFFFF" w:val="clear"/>
            <w:tcMar>
              <w:top w:type="dxa" w:w="60"/>
              <w:left w:type="dxa" w:w="100"/>
              <w:bottom w:type="dxa" w:w="60"/>
              <w:right w:type="dxa" w:w="100"/>
            </w:tcMar>
          </w:tcPr>
          <w:p>
            <w:pPr>
              <w:jc w:val="left"/>
            </w:pPr>
            <w:r>
              <w:rPr>
                <w:b w:val="false"/>
                <w:bCs w:val="false"/>
                <w:color w:val="000000"/>
                <w:sz w:val="20"/>
                <w:szCs w:val="20"/>
              </w:rPr>
              <w:t xml:space="preserve">AppGW, App, BD, Mgmt, Gateway, Bastion</w:t>
            </w:r>
          </w:p>
        </w:tc>
      </w:tr>
      <w:tr>
        <w:tc>
          <w:tcPr>
            <w:tcW w:type="dxa" w:w="500"/>
            <w:shd w:fill="DEEAF6" w:val="clear"/>
            <w:tcMar>
              <w:top w:type="dxa" w:w="60"/>
              <w:left w:type="dxa" w:w="100"/>
              <w:bottom w:type="dxa" w:w="60"/>
              <w:right w:type="dxa" w:w="100"/>
            </w:tcMar>
          </w:tcPr>
          <w:p>
            <w:pPr>
              <w:jc w:val="left"/>
            </w:pPr>
            <w:r>
              <w:rPr>
                <w:b w:val="false"/>
                <w:bCs w:val="false"/>
                <w:color w:val="000000"/>
                <w:sz w:val="20"/>
                <w:szCs w:val="20"/>
              </w:rPr>
              <w:t xml:space="preserve">3</w:t>
            </w:r>
          </w:p>
        </w:tc>
        <w:tc>
          <w:tcPr>
            <w:tcW w:type="dxa" w:w="2700"/>
            <w:shd w:fill="DEEAF6" w:val="clear"/>
            <w:tcMar>
              <w:top w:type="dxa" w:w="60"/>
              <w:left w:type="dxa" w:w="100"/>
              <w:bottom w:type="dxa" w:w="60"/>
              <w:right w:type="dxa" w:w="100"/>
            </w:tcMar>
          </w:tcPr>
          <w:p>
            <w:pPr>
              <w:jc w:val="left"/>
            </w:pPr>
            <w:r>
              <w:rPr>
                <w:b w:val="false"/>
                <w:bCs w:val="false"/>
                <w:color w:val="000000"/>
                <w:sz w:val="20"/>
                <w:szCs w:val="20"/>
              </w:rPr>
              <w:t xml:space="preserve">3 Grupos de Seguridad de Red (NSG)</w:t>
            </w:r>
          </w:p>
        </w:tc>
        <w:tc>
          <w:tcPr>
            <w:tcW w:type="dxa" w:w="2800"/>
            <w:shd w:fill="DEEAF6" w:val="clear"/>
            <w:tcMar>
              <w:top w:type="dxa" w:w="60"/>
              <w:left w:type="dxa" w:w="100"/>
              <w:bottom w:type="dxa" w:w="60"/>
              <w:right w:type="dxa" w:w="100"/>
            </w:tcMar>
          </w:tcPr>
          <w:p>
            <w:pPr>
              <w:jc w:val="left"/>
            </w:pPr>
            <w:r>
              <w:rPr>
                <w:b w:val="false"/>
                <w:bCs w:val="false"/>
                <w:color w:val="000000"/>
                <w:sz w:val="20"/>
                <w:szCs w:val="20"/>
              </w:rPr>
              <w:t xml:space="preserve">—</w:t>
            </w:r>
          </w:p>
        </w:tc>
        <w:tc>
          <w:tcPr>
            <w:tcW w:type="dxa" w:w="3500"/>
            <w:shd w:fill="DEEAF6" w:val="clear"/>
            <w:tcMar>
              <w:top w:type="dxa" w:w="60"/>
              <w:left w:type="dxa" w:w="100"/>
              <w:bottom w:type="dxa" w:w="60"/>
              <w:right w:type="dxa" w:w="100"/>
            </w:tcMar>
          </w:tcPr>
          <w:p>
            <w:pPr>
              <w:jc w:val="left"/>
            </w:pPr>
            <w:r>
              <w:rPr>
                <w:b w:val="false"/>
                <w:bCs w:val="false"/>
                <w:color w:val="000000"/>
                <w:sz w:val="20"/>
                <w:szCs w:val="20"/>
              </w:rPr>
              <w:t xml:space="preserve">nsg-app, nsg-db, nsg-mgmt</w:t>
            </w:r>
          </w:p>
        </w:tc>
      </w:tr>
      <w:tr>
        <w:tc>
          <w:tcPr>
            <w:tcW w:type="dxa" w:w="500"/>
            <w:shd w:fill="FFFFFF" w:val="clear"/>
            <w:tcMar>
              <w:top w:type="dxa" w:w="60"/>
              <w:left w:type="dxa" w:w="100"/>
              <w:bottom w:type="dxa" w:w="60"/>
              <w:right w:type="dxa" w:w="100"/>
            </w:tcMar>
          </w:tcPr>
          <w:p>
            <w:pPr>
              <w:jc w:val="left"/>
            </w:pPr>
            <w:r>
              <w:rPr>
                <w:b w:val="false"/>
                <w:bCs w:val="false"/>
                <w:color w:val="000000"/>
                <w:sz w:val="20"/>
                <w:szCs w:val="20"/>
              </w:rPr>
              <w:t xml:space="preserve">4</w:t>
            </w:r>
          </w:p>
        </w:tc>
        <w:tc>
          <w:tcPr>
            <w:tcW w:type="dxa" w:w="2700"/>
            <w:shd w:fill="FFFFFF" w:val="clear"/>
            <w:tcMar>
              <w:top w:type="dxa" w:w="60"/>
              <w:left w:type="dxa" w:w="100"/>
              <w:bottom w:type="dxa" w:w="60"/>
              <w:right w:type="dxa" w:w="100"/>
            </w:tcMar>
          </w:tcPr>
          <w:p>
            <w:pPr>
              <w:jc w:val="left"/>
            </w:pPr>
            <w:r>
              <w:rPr>
                <w:b w:val="false"/>
                <w:bCs w:val="false"/>
                <w:color w:val="000000"/>
                <w:sz w:val="20"/>
                <w:szCs w:val="20"/>
              </w:rPr>
              <w:t xml:space="preserve">VM Servidor de Aplicación</w:t>
            </w:r>
          </w:p>
        </w:tc>
        <w:tc>
          <w:tcPr>
            <w:tcW w:type="dxa" w:w="2800"/>
            <w:shd w:fill="FFFFFF" w:val="clear"/>
            <w:tcMar>
              <w:top w:type="dxa" w:w="60"/>
              <w:left w:type="dxa" w:w="100"/>
              <w:bottom w:type="dxa" w:w="60"/>
              <w:right w:type="dxa" w:w="100"/>
            </w:tcMar>
          </w:tcPr>
          <w:p>
            <w:pPr>
              <w:jc w:val="left"/>
            </w:pPr>
            <w:r>
              <w:rPr>
                <w:b w:val="false"/>
                <w:bCs w:val="false"/>
                <w:color w:val="000000"/>
                <w:sz w:val="20"/>
                <w:szCs w:val="20"/>
              </w:rPr>
              <w:t xml:space="preserve">Standard_DC16ds_v3 (16 vCPU/128GB)</w:t>
            </w:r>
          </w:p>
        </w:tc>
        <w:tc>
          <w:tcPr>
            <w:tcW w:type="dxa" w:w="3500"/>
            <w:shd w:fill="FFFFFF" w:val="clear"/>
            <w:tcMar>
              <w:top w:type="dxa" w:w="60"/>
              <w:left w:type="dxa" w:w="100"/>
              <w:bottom w:type="dxa" w:w="60"/>
              <w:right w:type="dxa" w:w="100"/>
            </w:tcMar>
          </w:tcPr>
          <w:p>
            <w:pPr>
              <w:jc w:val="left"/>
            </w:pPr>
            <w:r>
              <w:rPr>
                <w:b w:val="false"/>
                <w:bCs w:val="false"/>
                <w:color w:val="000000"/>
                <w:sz w:val="20"/>
                <w:szCs w:val="20"/>
              </w:rPr>
              <w:t xml:space="preserve">Windows Server 2025, discos OS 512GB + App 1TB + Logs 512GB</w:t>
            </w:r>
          </w:p>
        </w:tc>
      </w:tr>
      <w:tr>
        <w:tc>
          <w:tcPr>
            <w:tcW w:type="dxa" w:w="500"/>
            <w:shd w:fill="DEEAF6" w:val="clear"/>
            <w:tcMar>
              <w:top w:type="dxa" w:w="60"/>
              <w:left w:type="dxa" w:w="100"/>
              <w:bottom w:type="dxa" w:w="60"/>
              <w:right w:type="dxa" w:w="100"/>
            </w:tcMar>
          </w:tcPr>
          <w:p>
            <w:pPr>
              <w:jc w:val="left"/>
            </w:pPr>
            <w:r>
              <w:rPr>
                <w:b w:val="false"/>
                <w:bCs w:val="false"/>
                <w:color w:val="000000"/>
                <w:sz w:val="20"/>
                <w:szCs w:val="20"/>
              </w:rPr>
              <w:t xml:space="preserve">5</w:t>
            </w:r>
          </w:p>
        </w:tc>
        <w:tc>
          <w:tcPr>
            <w:tcW w:type="dxa" w:w="2700"/>
            <w:shd w:fill="DEEAF6" w:val="clear"/>
            <w:tcMar>
              <w:top w:type="dxa" w:w="60"/>
              <w:left w:type="dxa" w:w="100"/>
              <w:bottom w:type="dxa" w:w="60"/>
              <w:right w:type="dxa" w:w="100"/>
            </w:tcMar>
          </w:tcPr>
          <w:p>
            <w:pPr>
              <w:jc w:val="left"/>
            </w:pPr>
            <w:r>
              <w:rPr>
                <w:b w:val="false"/>
                <w:bCs w:val="false"/>
                <w:color w:val="000000"/>
                <w:sz w:val="20"/>
                <w:szCs w:val="20"/>
              </w:rPr>
              <w:t xml:space="preserve">VM Servidor de Base de Datos</w:t>
            </w:r>
          </w:p>
        </w:tc>
        <w:tc>
          <w:tcPr>
            <w:tcW w:type="dxa" w:w="2800"/>
            <w:shd w:fill="DEEAF6" w:val="clear"/>
            <w:tcMar>
              <w:top w:type="dxa" w:w="60"/>
              <w:left w:type="dxa" w:w="100"/>
              <w:bottom w:type="dxa" w:w="60"/>
              <w:right w:type="dxa" w:w="100"/>
            </w:tcMar>
          </w:tcPr>
          <w:p>
            <w:pPr>
              <w:jc w:val="left"/>
            </w:pPr>
            <w:r>
              <w:rPr>
                <w:b w:val="false"/>
                <w:bCs w:val="false"/>
                <w:color w:val="000000"/>
                <w:sz w:val="20"/>
                <w:szCs w:val="20"/>
              </w:rPr>
              <w:t xml:space="preserve">Standard_D8as_v5 (8 vCPU/32GB)</w:t>
            </w:r>
          </w:p>
        </w:tc>
        <w:tc>
          <w:tcPr>
            <w:tcW w:type="dxa" w:w="3500"/>
            <w:shd w:fill="DEEAF6" w:val="clear"/>
            <w:tcMar>
              <w:top w:type="dxa" w:w="60"/>
              <w:left w:type="dxa" w:w="100"/>
              <w:bottom w:type="dxa" w:w="60"/>
              <w:right w:type="dxa" w:w="100"/>
            </w:tcMar>
          </w:tcPr>
          <w:p>
            <w:pPr>
              <w:jc w:val="left"/>
            </w:pPr>
            <w:r>
              <w:rPr>
                <w:b w:val="false"/>
                <w:bCs w:val="false"/>
                <w:color w:val="000000"/>
                <w:sz w:val="20"/>
                <w:szCs w:val="20"/>
              </w:rPr>
              <w:t xml:space="preserve">SQL Server Standard (PAYG), discos OS 512GB + BD 2TB + Logs 512GB</w:t>
            </w:r>
          </w:p>
        </w:tc>
      </w:tr>
      <w:tr>
        <w:tc>
          <w:tcPr>
            <w:tcW w:type="dxa" w:w="500"/>
            <w:shd w:fill="FFFFFF" w:val="clear"/>
            <w:tcMar>
              <w:top w:type="dxa" w:w="60"/>
              <w:left w:type="dxa" w:w="100"/>
              <w:bottom w:type="dxa" w:w="60"/>
              <w:right w:type="dxa" w:w="100"/>
            </w:tcMar>
          </w:tcPr>
          <w:p>
            <w:pPr>
              <w:jc w:val="left"/>
            </w:pPr>
            <w:r>
              <w:rPr>
                <w:b w:val="false"/>
                <w:bCs w:val="false"/>
                <w:color w:val="000000"/>
                <w:sz w:val="20"/>
                <w:szCs w:val="20"/>
              </w:rPr>
              <w:t xml:space="preserve">6</w:t>
            </w:r>
          </w:p>
        </w:tc>
        <w:tc>
          <w:tcPr>
            <w:tcW w:type="dxa" w:w="2700"/>
            <w:shd w:fill="FFFFFF" w:val="clear"/>
            <w:tcMar>
              <w:top w:type="dxa" w:w="60"/>
              <w:left w:type="dxa" w:w="100"/>
              <w:bottom w:type="dxa" w:w="60"/>
              <w:right w:type="dxa" w:w="100"/>
            </w:tcMar>
          </w:tcPr>
          <w:p>
            <w:pPr>
              <w:jc w:val="left"/>
            </w:pPr>
            <w:r>
              <w:rPr>
                <w:b w:val="false"/>
                <w:bCs w:val="false"/>
                <w:color w:val="000000"/>
                <w:sz w:val="20"/>
                <w:szCs w:val="20"/>
              </w:rPr>
              <w:t xml:space="preserve">Application Gateway</w:t>
            </w:r>
          </w:p>
        </w:tc>
        <w:tc>
          <w:tcPr>
            <w:tcW w:type="dxa" w:w="2800"/>
            <w:shd w:fill="FFFFFF" w:val="clear"/>
            <w:tcMar>
              <w:top w:type="dxa" w:w="60"/>
              <w:left w:type="dxa" w:w="100"/>
              <w:bottom w:type="dxa" w:w="60"/>
              <w:right w:type="dxa" w:w="100"/>
            </w:tcMar>
          </w:tcPr>
          <w:p>
            <w:pPr>
              <w:jc w:val="left"/>
            </w:pPr>
            <w:r>
              <w:rPr>
                <w:b w:val="false"/>
                <w:bCs w:val="false"/>
                <w:color w:val="000000"/>
                <w:sz w:val="20"/>
                <w:szCs w:val="20"/>
              </w:rPr>
              <w:t xml:space="preserve">WAF_v2, autoescalado 1-3</w:t>
            </w:r>
          </w:p>
        </w:tc>
        <w:tc>
          <w:tcPr>
            <w:tcW w:type="dxa" w:w="3500"/>
            <w:shd w:fill="FFFFFF" w:val="clear"/>
            <w:tcMar>
              <w:top w:type="dxa" w:w="60"/>
              <w:left w:type="dxa" w:w="100"/>
              <w:bottom w:type="dxa" w:w="60"/>
              <w:right w:type="dxa" w:w="100"/>
            </w:tcMar>
          </w:tcPr>
          <w:p>
            <w:pPr>
              <w:jc w:val="left"/>
            </w:pPr>
            <w:r>
              <w:rPr>
                <w:b w:val="false"/>
                <w:bCs w:val="false"/>
                <w:color w:val="000000"/>
                <w:sz w:val="20"/>
                <w:szCs w:val="20"/>
              </w:rPr>
              <w:t xml:space="preserve">1 IP Pública Standard dedicada + WAF OWASP 3.2</w:t>
            </w:r>
          </w:p>
        </w:tc>
      </w:tr>
      <w:tr>
        <w:tc>
          <w:tcPr>
            <w:tcW w:type="dxa" w:w="500"/>
            <w:shd w:fill="DEEAF6" w:val="clear"/>
            <w:tcMar>
              <w:top w:type="dxa" w:w="60"/>
              <w:left w:type="dxa" w:w="100"/>
              <w:bottom w:type="dxa" w:w="60"/>
              <w:right w:type="dxa" w:w="100"/>
            </w:tcMar>
          </w:tcPr>
          <w:p>
            <w:pPr>
              <w:jc w:val="left"/>
            </w:pPr>
            <w:r>
              <w:rPr>
                <w:b w:val="false"/>
                <w:bCs w:val="false"/>
                <w:color w:val="000000"/>
                <w:sz w:val="20"/>
                <w:szCs w:val="20"/>
              </w:rPr>
              <w:t xml:space="preserve">7</w:t>
            </w:r>
          </w:p>
        </w:tc>
        <w:tc>
          <w:tcPr>
            <w:tcW w:type="dxa" w:w="2700"/>
            <w:shd w:fill="DEEAF6" w:val="clear"/>
            <w:tcMar>
              <w:top w:type="dxa" w:w="60"/>
              <w:left w:type="dxa" w:w="100"/>
              <w:bottom w:type="dxa" w:w="60"/>
              <w:right w:type="dxa" w:w="100"/>
            </w:tcMar>
          </w:tcPr>
          <w:p>
            <w:pPr>
              <w:jc w:val="left"/>
            </w:pPr>
            <w:r>
              <w:rPr>
                <w:b w:val="false"/>
                <w:bCs w:val="false"/>
                <w:color w:val="000000"/>
                <w:sz w:val="20"/>
                <w:szCs w:val="20"/>
              </w:rPr>
              <w:t xml:space="preserve">Azure Bastion</w:t>
            </w:r>
          </w:p>
        </w:tc>
        <w:tc>
          <w:tcPr>
            <w:tcW w:type="dxa" w:w="2800"/>
            <w:shd w:fill="DEEAF6" w:val="clear"/>
            <w:tcMar>
              <w:top w:type="dxa" w:w="60"/>
              <w:left w:type="dxa" w:w="100"/>
              <w:bottom w:type="dxa" w:w="60"/>
              <w:right w:type="dxa" w:w="100"/>
            </w:tcMar>
          </w:tcPr>
          <w:p>
            <w:pPr>
              <w:jc w:val="left"/>
            </w:pPr>
            <w:r>
              <w:rPr>
                <w:b w:val="false"/>
                <w:bCs w:val="false"/>
                <w:color w:val="000000"/>
                <w:sz w:val="20"/>
                <w:szCs w:val="20"/>
              </w:rPr>
              <w:t xml:space="preserve">Basic (opcional)</w:t>
            </w:r>
          </w:p>
        </w:tc>
        <w:tc>
          <w:tcPr>
            <w:tcW w:type="dxa" w:w="3500"/>
            <w:shd w:fill="DEEAF6" w:val="clear"/>
            <w:tcMar>
              <w:top w:type="dxa" w:w="60"/>
              <w:left w:type="dxa" w:w="100"/>
              <w:bottom w:type="dxa" w:w="60"/>
              <w:right w:type="dxa" w:w="100"/>
            </w:tcMar>
          </w:tcPr>
          <w:p>
            <w:pPr>
              <w:jc w:val="left"/>
            </w:pPr>
            <w:r>
              <w:rPr>
                <w:b w:val="false"/>
                <w:bCs w:val="false"/>
                <w:color w:val="000000"/>
                <w:sz w:val="20"/>
                <w:szCs w:val="20"/>
              </w:rPr>
              <w:t xml:space="preserve">Acceso administrativo sin exponer RDP a Internet</w:t>
            </w:r>
          </w:p>
        </w:tc>
      </w:tr>
      <w:tr>
        <w:tc>
          <w:tcPr>
            <w:tcW w:type="dxa" w:w="500"/>
            <w:shd w:fill="FFFFFF" w:val="clear"/>
            <w:tcMar>
              <w:top w:type="dxa" w:w="60"/>
              <w:left w:type="dxa" w:w="100"/>
              <w:bottom w:type="dxa" w:w="60"/>
              <w:right w:type="dxa" w:w="100"/>
            </w:tcMar>
          </w:tcPr>
          <w:p>
            <w:pPr>
              <w:jc w:val="left"/>
            </w:pPr>
            <w:r>
              <w:rPr>
                <w:b w:val="false"/>
                <w:bCs w:val="false"/>
                <w:color w:val="000000"/>
                <w:sz w:val="20"/>
                <w:szCs w:val="20"/>
              </w:rPr>
              <w:t xml:space="preserve">8</w:t>
            </w:r>
          </w:p>
        </w:tc>
        <w:tc>
          <w:tcPr>
            <w:tcW w:type="dxa" w:w="2700"/>
            <w:shd w:fill="FFFFFF" w:val="clear"/>
            <w:tcMar>
              <w:top w:type="dxa" w:w="60"/>
              <w:left w:type="dxa" w:w="100"/>
              <w:bottom w:type="dxa" w:w="60"/>
              <w:right w:type="dxa" w:w="100"/>
            </w:tcMar>
          </w:tcPr>
          <w:p>
            <w:pPr>
              <w:jc w:val="left"/>
            </w:pPr>
            <w:r>
              <w:rPr>
                <w:b w:val="false"/>
                <w:bCs w:val="false"/>
                <w:color w:val="000000"/>
                <w:sz w:val="20"/>
                <w:szCs w:val="20"/>
              </w:rPr>
              <w:t xml:space="preserve">VPN Gateway Site-to-Site</w:t>
            </w:r>
          </w:p>
        </w:tc>
        <w:tc>
          <w:tcPr>
            <w:tcW w:type="dxa" w:w="2800"/>
            <w:shd w:fill="FFFFFF" w:val="clear"/>
            <w:tcMar>
              <w:top w:type="dxa" w:w="60"/>
              <w:left w:type="dxa" w:w="100"/>
              <w:bottom w:type="dxa" w:w="60"/>
              <w:right w:type="dxa" w:w="100"/>
            </w:tcMar>
          </w:tcPr>
          <w:p>
            <w:pPr>
              <w:jc w:val="left"/>
            </w:pPr>
            <w:r>
              <w:rPr>
                <w:b w:val="false"/>
                <w:bCs w:val="false"/>
                <w:color w:val="000000"/>
                <w:sz w:val="20"/>
                <w:szCs w:val="20"/>
              </w:rPr>
              <w:t xml:space="preserve">VpnGw1 (opcional)</w:t>
            </w:r>
          </w:p>
        </w:tc>
        <w:tc>
          <w:tcPr>
            <w:tcW w:type="dxa" w:w="3500"/>
            <w:shd w:fill="FFFFFF" w:val="clear"/>
            <w:tcMar>
              <w:top w:type="dxa" w:w="60"/>
              <w:left w:type="dxa" w:w="100"/>
              <w:bottom w:type="dxa" w:w="60"/>
              <w:right w:type="dxa" w:w="100"/>
            </w:tcMar>
          </w:tcPr>
          <w:p>
            <w:pPr>
              <w:jc w:val="left"/>
            </w:pPr>
            <w:r>
              <w:rPr>
                <w:b w:val="false"/>
                <w:bCs w:val="false"/>
                <w:color w:val="000000"/>
                <w:sz w:val="20"/>
                <w:szCs w:val="20"/>
              </w:rPr>
              <w:t xml:space="preserve">1 túnel IPsec por sucursal</w:t>
            </w:r>
          </w:p>
        </w:tc>
      </w:tr>
      <w:tr>
        <w:tc>
          <w:tcPr>
            <w:tcW w:type="dxa" w:w="500"/>
            <w:shd w:fill="DEEAF6" w:val="clear"/>
            <w:tcMar>
              <w:top w:type="dxa" w:w="60"/>
              <w:left w:type="dxa" w:w="100"/>
              <w:bottom w:type="dxa" w:w="60"/>
              <w:right w:type="dxa" w:w="100"/>
            </w:tcMar>
          </w:tcPr>
          <w:p>
            <w:pPr>
              <w:jc w:val="left"/>
            </w:pPr>
            <w:r>
              <w:rPr>
                <w:b w:val="false"/>
                <w:bCs w:val="false"/>
                <w:color w:val="000000"/>
                <w:sz w:val="20"/>
                <w:szCs w:val="20"/>
              </w:rPr>
              <w:t xml:space="preserve">9</w:t>
            </w:r>
          </w:p>
        </w:tc>
        <w:tc>
          <w:tcPr>
            <w:tcW w:type="dxa" w:w="2700"/>
            <w:shd w:fill="DEEAF6" w:val="clear"/>
            <w:tcMar>
              <w:top w:type="dxa" w:w="60"/>
              <w:left w:type="dxa" w:w="100"/>
              <w:bottom w:type="dxa" w:w="60"/>
              <w:right w:type="dxa" w:w="100"/>
            </w:tcMar>
          </w:tcPr>
          <w:p>
            <w:pPr>
              <w:jc w:val="left"/>
            </w:pPr>
            <w:r>
              <w:rPr>
                <w:b w:val="false"/>
                <w:bCs w:val="false"/>
                <w:color w:val="000000"/>
                <w:sz w:val="20"/>
                <w:szCs w:val="20"/>
              </w:rPr>
              <w:t xml:space="preserve">Recovery Services Vault</w:t>
            </w:r>
          </w:p>
        </w:tc>
        <w:tc>
          <w:tcPr>
            <w:tcW w:type="dxa" w:w="2800"/>
            <w:shd w:fill="DEEAF6" w:val="clear"/>
            <w:tcMar>
              <w:top w:type="dxa" w:w="60"/>
              <w:left w:type="dxa" w:w="100"/>
              <w:bottom w:type="dxa" w:w="60"/>
              <w:right w:type="dxa" w:w="100"/>
            </w:tcMar>
          </w:tcPr>
          <w:p>
            <w:pPr>
              <w:jc w:val="left"/>
            </w:pPr>
            <w:r>
              <w:rPr>
                <w:b w:val="false"/>
                <w:bCs w:val="false"/>
                <w:color w:val="000000"/>
                <w:sz w:val="20"/>
                <w:szCs w:val="20"/>
              </w:rPr>
              <w:t xml:space="preserve">LRS</w:t>
            </w:r>
          </w:p>
        </w:tc>
        <w:tc>
          <w:tcPr>
            <w:tcW w:type="dxa" w:w="3500"/>
            <w:shd w:fill="DEEAF6" w:val="clear"/>
            <w:tcMar>
              <w:top w:type="dxa" w:w="60"/>
              <w:left w:type="dxa" w:w="100"/>
              <w:bottom w:type="dxa" w:w="60"/>
              <w:right w:type="dxa" w:w="100"/>
            </w:tcMar>
          </w:tcPr>
          <w:p>
            <w:pPr>
              <w:jc w:val="left"/>
            </w:pPr>
            <w:r>
              <w:rPr>
                <w:b w:val="false"/>
                <w:bCs w:val="false"/>
                <w:color w:val="000000"/>
                <w:sz w:val="20"/>
                <w:szCs w:val="20"/>
              </w:rPr>
              <w:t xml:space="preserve">Backup diario de ambas VMs</w:t>
            </w:r>
          </w:p>
        </w:tc>
      </w:tr>
      <w:tr>
        <w:tc>
          <w:tcPr>
            <w:tcW w:type="dxa" w:w="500"/>
            <w:shd w:fill="FFFFFF" w:val="clear"/>
            <w:tcMar>
              <w:top w:type="dxa" w:w="60"/>
              <w:left w:type="dxa" w:w="100"/>
              <w:bottom w:type="dxa" w:w="60"/>
              <w:right w:type="dxa" w:w="100"/>
            </w:tcMar>
          </w:tcPr>
          <w:p>
            <w:pPr>
              <w:jc w:val="left"/>
            </w:pPr>
            <w:r>
              <w:rPr>
                <w:b w:val="false"/>
                <w:bCs w:val="false"/>
                <w:color w:val="000000"/>
                <w:sz w:val="20"/>
                <w:szCs w:val="20"/>
              </w:rPr>
              <w:t xml:space="preserve">10</w:t>
            </w:r>
          </w:p>
        </w:tc>
        <w:tc>
          <w:tcPr>
            <w:tcW w:type="dxa" w:w="2700"/>
            <w:shd w:fill="FFFFFF" w:val="clear"/>
            <w:tcMar>
              <w:top w:type="dxa" w:w="60"/>
              <w:left w:type="dxa" w:w="100"/>
              <w:bottom w:type="dxa" w:w="60"/>
              <w:right w:type="dxa" w:w="100"/>
            </w:tcMar>
          </w:tcPr>
          <w:p>
            <w:pPr>
              <w:jc w:val="left"/>
            </w:pPr>
            <w:r>
              <w:rPr>
                <w:b w:val="false"/>
                <w:bCs w:val="false"/>
                <w:color w:val="000000"/>
                <w:sz w:val="20"/>
                <w:szCs w:val="20"/>
              </w:rPr>
              <w:t xml:space="preserve">Log Analytics + Azure Monitor</w:t>
            </w:r>
          </w:p>
        </w:tc>
        <w:tc>
          <w:tcPr>
            <w:tcW w:type="dxa" w:w="2800"/>
            <w:shd w:fill="FFFFFF" w:val="clear"/>
            <w:tcMar>
              <w:top w:type="dxa" w:w="60"/>
              <w:left w:type="dxa" w:w="100"/>
              <w:bottom w:type="dxa" w:w="60"/>
              <w:right w:type="dxa" w:w="100"/>
            </w:tcMar>
          </w:tcPr>
          <w:p>
            <w:pPr>
              <w:jc w:val="left"/>
            </w:pPr>
            <w:r>
              <w:rPr>
                <w:b w:val="false"/>
                <w:bCs w:val="false"/>
                <w:color w:val="000000"/>
                <w:sz w:val="20"/>
                <w:szCs w:val="20"/>
              </w:rPr>
              <w:t xml:space="preserve">PerGB2018, cuota 10 GB/día</w:t>
            </w:r>
          </w:p>
        </w:tc>
        <w:tc>
          <w:tcPr>
            <w:tcW w:type="dxa" w:w="3500"/>
            <w:shd w:fill="FFFFFF" w:val="clear"/>
            <w:tcMar>
              <w:top w:type="dxa" w:w="60"/>
              <w:left w:type="dxa" w:w="100"/>
              <w:bottom w:type="dxa" w:w="60"/>
              <w:right w:type="dxa" w:w="100"/>
            </w:tcMar>
          </w:tcPr>
          <w:p>
            <w:pPr>
              <w:jc w:val="left"/>
            </w:pPr>
            <w:r>
              <w:rPr>
                <w:b w:val="false"/>
                <w:bCs w:val="false"/>
                <w:color w:val="000000"/>
                <w:sz w:val="20"/>
                <w:szCs w:val="20"/>
              </w:rPr>
              <w:t xml:space="preserve">Alertas de disponibilidad y CPU &gt; 85%</w:t>
            </w:r>
          </w:p>
        </w:tc>
      </w:tr>
    </w:tbl>
    <w:p>
      <w:pPr>
        <w:spacing w:after="200"/>
      </w:pPr>
    </w:p>
    <w:p>
      <w:pPr>
        <w:pStyle w:val="Heading1"/>
        <w:pBdr>
          <w:bottom w:val="single" w:color="2E74B5" w:sz="8" w:space="4"/>
        </w:pBdr>
        <w:spacing w:after="160" w:before="360"/>
      </w:pPr>
      <w:r>
        <w:rPr>
          <w:b/>
          <w:bCs/>
          <w:color w:val="1F3864"/>
          <w:sz w:val="30"/>
          <w:szCs w:val="30"/>
        </w:rPr>
        <w:t xml:space="preserve">2. Prerrequisitos antes de Iniciar</w:t>
      </w:r>
    </w:p>
    <w:p>
      <w:pPr>
        <w:pStyle w:val="ListParagraph"/>
        <w:numPr>
          <w:ilvl w:val="0"/>
          <w:numId w:val="2"/>
        </w:numPr>
        <w:spacing w:after="60"/>
      </w:pPr>
      <w:r>
        <w:rPr>
          <w:sz w:val="22"/>
          <w:szCs w:val="22"/>
        </w:rPr>
        <w:t xml:space="preserve">Contar con una suscripción de Azure activa y un rol Contributor (o superior) sobre la suscripción o el grupo de recursos destino.</w:t>
      </w:r>
    </w:p>
    <w:p>
      <w:pPr>
        <w:pStyle w:val="ListParagraph"/>
        <w:numPr>
          <w:ilvl w:val="0"/>
          <w:numId w:val="2"/>
        </w:numPr>
        <w:spacing w:after="60"/>
      </w:pPr>
      <w:r>
        <w:rPr>
          <w:sz w:val="22"/>
          <w:szCs w:val="22"/>
        </w:rPr>
        <w:t xml:space="preserve">Definir el prefijo de nombres a usar en todos los recursos (por ejemplo "contoso") y la región de despliegue (por ejemplo East US 2).</w:t>
      </w:r>
    </w:p>
    <w:p>
      <w:pPr>
        <w:pStyle w:val="ListParagraph"/>
        <w:numPr>
          <w:ilvl w:val="0"/>
          <w:numId w:val="2"/>
        </w:numPr>
        <w:spacing w:after="60"/>
      </w:pPr>
      <w:r>
        <w:rPr>
          <w:sz w:val="22"/>
          <w:szCs w:val="22"/>
        </w:rPr>
        <w:t xml:space="preserve">Tener listas las credenciales de administrador local (usuario y contraseña) que se usarán en ambas VMs. La contraseña debe cumplir la política de complejidad de Azure y NO debe reutilizarse ni quedar documentada en texto plano.</w:t>
      </w:r>
    </w:p>
    <w:p>
      <w:pPr>
        <w:pStyle w:val="ListParagraph"/>
        <w:numPr>
          <w:ilvl w:val="0"/>
          <w:numId w:val="2"/>
        </w:numPr>
        <w:spacing w:after="60"/>
      </w:pPr>
      <w:r>
        <w:rPr>
          <w:sz w:val="22"/>
          <w:szCs w:val="22"/>
        </w:rPr>
        <w:t xml:space="preserve">Contar con un Azure Key Vault existente y un certificado TLS (.pfx) del dominio de la aplicación ya cargado en él, para el listener HTTPS del Application Gateway.</w:t>
      </w:r>
    </w:p>
    <w:p>
      <w:pPr>
        <w:pStyle w:val="ListParagraph"/>
        <w:numPr>
          <w:ilvl w:val="0"/>
          <w:numId w:val="2"/>
        </w:numPr>
        <w:spacing w:after="60"/>
      </w:pPr>
      <w:r>
        <w:rPr>
          <w:sz w:val="22"/>
          <w:szCs w:val="22"/>
        </w:rPr>
        <w:t xml:space="preserve">Tener o crear una identidad administrada asignada por el usuario (User Assigned Managed Identity) con permiso "Get" sobre secretos de ese Key Vault.</w:t>
      </w:r>
    </w:p>
    <w:p>
      <w:pPr>
        <w:pStyle w:val="ListParagraph"/>
        <w:numPr>
          <w:ilvl w:val="0"/>
          <w:numId w:val="2"/>
        </w:numPr>
        <w:spacing w:after="60"/>
      </w:pPr>
      <w:r>
        <w:rPr>
          <w:sz w:val="22"/>
          <w:szCs w:val="22"/>
        </w:rPr>
        <w:t xml:space="preserve">Si se desplegará VPN Site-to-Site: contar con las IPs públicas de los dispositivos VPN de cada sucursal, sus rangos de red y acordar una clave precompartida (PSK) segura.</w:t>
      </w:r>
    </w:p>
    <w:p>
      <w:pPr>
        <w:pStyle w:val="ListParagraph"/>
        <w:numPr>
          <w:ilvl w:val="0"/>
          <w:numId w:val="2"/>
        </w:numPr>
        <w:spacing w:after="60"/>
      </w:pPr>
      <w:r>
        <w:rPr>
          <w:sz w:val="22"/>
          <w:szCs w:val="22"/>
        </w:rPr>
        <w:t xml:space="preserve">Tener a la mano un correo de notificación de alertas (por ejemplo ti@contoso.com).</w:t>
      </w:r>
    </w:p>
    <w:p>
      <w:pPr>
        <w:pStyle w:val="ListParagraph"/>
        <w:numPr>
          <w:ilvl w:val="0"/>
          <w:numId w:val="2"/>
        </w:numPr>
        <w:spacing w:after="60"/>
      </w:pPr>
      <w:r>
        <w:rPr>
          <w:sz w:val="22"/>
          <w:szCs w:val="22"/>
        </w:rPr>
        <w:t xml:space="preserve">Confirmar disponibilidad regional de la imagen de marketplace de SQL Server sobre Windows Server 2025 y del tamaño de VM Standard_DC16ds_v3 (serie de cómputo confidencial) en la región elegida.</w:t>
      </w:r>
    </w:p>
    <w:p>
      <w:pPr>
        <w:spacing w:after="200"/>
      </w:pPr>
    </w:p>
    <w:p>
      <w:pPr>
        <w:pStyle w:val="Heading1"/>
        <w:pBdr>
          <w:bottom w:val="single" w:color="2E74B5" w:sz="8" w:space="4"/>
        </w:pBdr>
        <w:spacing w:after="160" w:before="360"/>
      </w:pPr>
      <w:r>
        <w:rPr>
          <w:b/>
          <w:bCs/>
          <w:color w:val="1F3864"/>
          <w:sz w:val="30"/>
          <w:szCs w:val="30"/>
        </w:rPr>
        <w:t xml:space="preserve">3. Crear el Grupo de Recursos</w:t>
      </w:r>
    </w:p>
    <w:p>
      <w:pPr>
        <w:pStyle w:val="ListParagraph"/>
        <w:numPr>
          <w:ilvl w:val="0"/>
          <w:numId w:val="3"/>
        </w:numPr>
        <w:spacing w:after="100"/>
      </w:pPr>
      <w:r>
        <w:rPr>
          <w:sz w:val="22"/>
          <w:szCs w:val="22"/>
        </w:rPr>
        <w:t xml:space="preserve">En el Portal de Azure, ir a "Grupos de recursos" → "+ Crear".</w:t>
      </w:r>
    </w:p>
    <w:p>
      <w:pPr>
        <w:pStyle w:val="ListParagraph"/>
        <w:numPr>
          <w:ilvl w:val="0"/>
          <w:numId w:val="3"/>
        </w:numPr>
        <w:spacing w:after="100"/>
      </w:pPr>
      <w:r>
        <w:rPr>
          <w:sz w:val="22"/>
          <w:szCs w:val="22"/>
        </w:rPr>
        <w:t xml:space="preserve">Seleccionar la suscripción correspondiente.</w:t>
      </w:r>
    </w:p>
    <w:p>
      <w:pPr>
        <w:pStyle w:val="ListParagraph"/>
        <w:numPr>
          <w:ilvl w:val="0"/>
          <w:numId w:val="3"/>
        </w:numPr>
        <w:spacing w:after="100"/>
      </w:pPr>
      <w:r>
        <w:rPr>
          <w:sz w:val="22"/>
          <w:szCs w:val="22"/>
        </w:rPr>
        <w:t xml:space="preserve">Asignar un nombre siguiendo la convención, por ejemplo: rg-contoso-app-prod.</w:t>
      </w:r>
    </w:p>
    <w:p>
      <w:pPr>
        <w:pStyle w:val="ListParagraph"/>
        <w:numPr>
          <w:ilvl w:val="0"/>
          <w:numId w:val="3"/>
        </w:numPr>
        <w:spacing w:after="100"/>
      </w:pPr>
      <w:r>
        <w:rPr>
          <w:sz w:val="22"/>
          <w:szCs w:val="22"/>
        </w:rPr>
        <w:t xml:space="preserve">Seleccionar la región de despliegue (debe ser la misma para todos los recursos del ambiente).</w:t>
      </w:r>
    </w:p>
    <w:p>
      <w:pPr>
        <w:pStyle w:val="ListParagraph"/>
        <w:numPr>
          <w:ilvl w:val="0"/>
          <w:numId w:val="3"/>
        </w:numPr>
        <w:spacing w:after="100"/>
      </w:pPr>
      <w:r>
        <w:rPr>
          <w:sz w:val="22"/>
          <w:szCs w:val="22"/>
        </w:rPr>
        <w:t xml:space="preserve">Aplicar las etiquetas (tags) corporativas: Proyecto=Solucion-Web-3Niveles, Ambiente=Produccion, CentroCosto=TI-Infraestructura.</w:t>
      </w:r>
    </w:p>
    <w:p>
      <w:pPr>
        <w:pStyle w:val="ListParagraph"/>
        <w:numPr>
          <w:ilvl w:val="0"/>
          <w:numId w:val="3"/>
        </w:numPr>
        <w:spacing w:after="100"/>
      </w:pPr>
      <w:r>
        <w:rPr>
          <w:sz w:val="22"/>
          <w:szCs w:val="22"/>
        </w:rPr>
        <w:t xml:space="preserve">Revisar y crear.</w:t>
      </w:r>
    </w:p>
    <w:p>
      <w:pPr>
        <w:spacing w:after="200"/>
      </w:pPr>
    </w:p>
    <w:p>
      <w:pPr>
        <w:pStyle w:val="Heading1"/>
        <w:pBdr>
          <w:bottom w:val="single" w:color="2E74B5" w:sz="8" w:space="4"/>
        </w:pBdr>
        <w:spacing w:after="160" w:before="360"/>
      </w:pPr>
      <w:r>
        <w:rPr>
          <w:b/>
          <w:bCs/>
          <w:color w:val="1F3864"/>
          <w:sz w:val="30"/>
          <w:szCs w:val="30"/>
        </w:rPr>
        <w:t xml:space="preserve">4. Crear la Red Virtual (VNet) y Subredes</w:t>
      </w:r>
    </w:p>
    <w:p>
      <w:pPr>
        <w:spacing w:after="120"/>
      </w:pPr>
      <w:r>
        <w:rPr>
          <w:sz w:val="22"/>
          <w:szCs w:val="22"/>
        </w:rPr>
        <w:t xml:space="preserve">Dentro del grupo de recursos creado, ir a "Redes virtuales" → "+ Crear" y configurar: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500"/>
      </w:tblGrid>
      <w:tr>
        <w:trPr>
          <w:tblHeader/>
        </w:trPr>
        <w:tc>
          <w:tcPr>
            <w:tcW w:type="dxa" w:w="2600"/>
            <w:shd w:fill="1F3864" w:val="clear"/>
            <w:tcMar>
              <w:top w:type="dxa" w:w="60"/>
              <w:left w:type="dxa" w:w="100"/>
              <w:bottom w:type="dxa" w:w="60"/>
              <w:right w:type="dxa" w:w="100"/>
            </w:tcMar>
          </w:tcPr>
          <w:p>
            <w:pPr>
              <w:jc w:val="left"/>
            </w:pPr>
            <w:r>
              <w:rPr>
                <w:b/>
                <w:bCs/>
                <w:color w:val="FFFFFF"/>
                <w:sz w:val="20"/>
                <w:szCs w:val="20"/>
              </w:rPr>
              <w:t xml:space="preserve">Subred</w:t>
            </w:r>
          </w:p>
        </w:tc>
        <w:tc>
          <w:tcPr>
            <w:tcW w:type="dxa" w:w="2400"/>
            <w:shd w:fill="1F3864" w:val="clear"/>
            <w:tcMar>
              <w:top w:type="dxa" w:w="60"/>
              <w:left w:type="dxa" w:w="100"/>
              <w:bottom w:type="dxa" w:w="60"/>
              <w:right w:type="dxa" w:w="100"/>
            </w:tcMar>
          </w:tcPr>
          <w:p>
            <w:pPr>
              <w:jc w:val="left"/>
            </w:pPr>
            <w:r>
              <w:rPr>
                <w:b/>
                <w:bCs/>
                <w:color w:val="FFFFFF"/>
                <w:sz w:val="20"/>
                <w:szCs w:val="20"/>
              </w:rPr>
              <w:t xml:space="preserve">Prefijo IP</w:t>
            </w:r>
          </w:p>
        </w:tc>
        <w:tc>
          <w:tcPr>
            <w:tcW w:type="dxa" w:w="4500"/>
            <w:shd w:fill="1F3864" w:val="clear"/>
            <w:tcMar>
              <w:top w:type="dxa" w:w="60"/>
              <w:left w:type="dxa" w:w="100"/>
              <w:bottom w:type="dxa" w:w="60"/>
              <w:right w:type="dxa" w:w="100"/>
            </w:tcMar>
          </w:tcPr>
          <w:p>
            <w:pPr>
              <w:jc w:val="left"/>
            </w:pPr>
            <w:r>
              <w:rPr>
                <w:b/>
                <w:bCs/>
                <w:color w:val="FFFFFF"/>
                <w:sz w:val="20"/>
                <w:szCs w:val="20"/>
              </w:rPr>
              <w:t xml:space="preserve">Uso</w:t>
            </w:r>
          </w:p>
        </w:tc>
      </w:tr>
      <w:tr>
        <w:tc>
          <w:tcPr>
            <w:tcW w:type="dxa" w:w="2600"/>
            <w:shd w:fill="DEEAF6" w:val="clear"/>
            <w:tcMar>
              <w:top w:type="dxa" w:w="60"/>
              <w:left w:type="dxa" w:w="100"/>
              <w:bottom w:type="dxa" w:w="60"/>
              <w:right w:type="dxa" w:w="100"/>
            </w:tcMar>
          </w:tcPr>
          <w:p>
            <w:pPr>
              <w:jc w:val="left"/>
            </w:pPr>
            <w:r>
              <w:rPr>
                <w:b w:val="false"/>
                <w:bCs w:val="false"/>
                <w:color w:val="000000"/>
                <w:sz w:val="20"/>
                <w:szCs w:val="20"/>
              </w:rPr>
              <w:t xml:space="preserve">snet-appgw</w:t>
            </w:r>
          </w:p>
        </w:tc>
        <w:tc>
          <w:tcPr>
            <w:tcW w:type="dxa" w:w="2400"/>
            <w:shd w:fill="DEEAF6" w:val="clear"/>
            <w:tcMar>
              <w:top w:type="dxa" w:w="60"/>
              <w:left w:type="dxa" w:w="100"/>
              <w:bottom w:type="dxa" w:w="60"/>
              <w:right w:type="dxa" w:w="100"/>
            </w:tcMar>
          </w:tcPr>
          <w:p>
            <w:pPr>
              <w:jc w:val="left"/>
            </w:pPr>
            <w:r>
              <w:rPr>
                <w:b w:val="false"/>
                <w:bCs w:val="false"/>
                <w:color w:val="000000"/>
                <w:sz w:val="20"/>
                <w:szCs w:val="20"/>
              </w:rPr>
              <w:t xml:space="preserve">10.10.1.0/24</w:t>
            </w:r>
          </w:p>
        </w:tc>
        <w:tc>
          <w:tcPr>
            <w:tcW w:type="dxa" w:w="4500"/>
            <w:shd w:fill="DEEAF6" w:val="clear"/>
            <w:tcMar>
              <w:top w:type="dxa" w:w="60"/>
              <w:left w:type="dxa" w:w="100"/>
              <w:bottom w:type="dxa" w:w="60"/>
              <w:right w:type="dxa" w:w="100"/>
            </w:tcMar>
          </w:tcPr>
          <w:p>
            <w:pPr>
              <w:jc w:val="left"/>
            </w:pPr>
            <w:r>
              <w:rPr>
                <w:b w:val="false"/>
                <w:bCs w:val="false"/>
                <w:color w:val="000000"/>
                <w:sz w:val="20"/>
                <w:szCs w:val="20"/>
              </w:rPr>
              <w:t xml:space="preserve">Application Gateway (DMZ)</w:t>
            </w:r>
          </w:p>
        </w:tc>
      </w:tr>
      <w:tr>
        <w:tc>
          <w:tcPr>
            <w:tcW w:type="dxa" w:w="2600"/>
            <w:shd w:fill="FFFFFF" w:val="clear"/>
            <w:tcMar>
              <w:top w:type="dxa" w:w="60"/>
              <w:left w:type="dxa" w:w="100"/>
              <w:bottom w:type="dxa" w:w="60"/>
              <w:right w:type="dxa" w:w="100"/>
            </w:tcMar>
          </w:tcPr>
          <w:p>
            <w:pPr>
              <w:jc w:val="left"/>
            </w:pPr>
            <w:r>
              <w:rPr>
                <w:b w:val="false"/>
                <w:bCs w:val="false"/>
                <w:color w:val="000000"/>
                <w:sz w:val="20"/>
                <w:szCs w:val="20"/>
              </w:rPr>
              <w:t xml:space="preserve">snet-app</w:t>
            </w:r>
          </w:p>
        </w:tc>
        <w:tc>
          <w:tcPr>
            <w:tcW w:type="dxa" w:w="2400"/>
            <w:shd w:fill="FFFFFF" w:val="clear"/>
            <w:tcMar>
              <w:top w:type="dxa" w:w="60"/>
              <w:left w:type="dxa" w:w="100"/>
              <w:bottom w:type="dxa" w:w="60"/>
              <w:right w:type="dxa" w:w="100"/>
            </w:tcMar>
          </w:tcPr>
          <w:p>
            <w:pPr>
              <w:jc w:val="left"/>
            </w:pPr>
            <w:r>
              <w:rPr>
                <w:b w:val="false"/>
                <w:bCs w:val="false"/>
                <w:color w:val="000000"/>
                <w:sz w:val="20"/>
                <w:szCs w:val="20"/>
              </w:rPr>
              <w:t xml:space="preserve">10.10.10.0/24</w:t>
            </w:r>
          </w:p>
        </w:tc>
        <w:tc>
          <w:tcPr>
            <w:tcW w:type="dxa" w:w="4500"/>
            <w:shd w:fill="FFFFFF" w:val="clear"/>
            <w:tcMar>
              <w:top w:type="dxa" w:w="60"/>
              <w:left w:type="dxa" w:w="100"/>
              <w:bottom w:type="dxa" w:w="60"/>
              <w:right w:type="dxa" w:w="100"/>
            </w:tcMar>
          </w:tcPr>
          <w:p>
            <w:pPr>
              <w:jc w:val="left"/>
            </w:pPr>
            <w:r>
              <w:rPr>
                <w:b w:val="false"/>
                <w:bCs w:val="false"/>
                <w:color w:val="000000"/>
                <w:sz w:val="20"/>
                <w:szCs w:val="20"/>
              </w:rPr>
              <w:t xml:space="preserve">VM Servidor de Aplicación</w:t>
            </w:r>
          </w:p>
        </w:tc>
      </w:tr>
      <w:tr>
        <w:tc>
          <w:tcPr>
            <w:tcW w:type="dxa" w:w="2600"/>
            <w:shd w:fill="DEEAF6" w:val="clear"/>
            <w:tcMar>
              <w:top w:type="dxa" w:w="60"/>
              <w:left w:type="dxa" w:w="100"/>
              <w:bottom w:type="dxa" w:w="60"/>
              <w:right w:type="dxa" w:w="100"/>
            </w:tcMar>
          </w:tcPr>
          <w:p>
            <w:pPr>
              <w:jc w:val="left"/>
            </w:pPr>
            <w:r>
              <w:rPr>
                <w:b w:val="false"/>
                <w:bCs w:val="false"/>
                <w:color w:val="000000"/>
                <w:sz w:val="20"/>
                <w:szCs w:val="20"/>
              </w:rPr>
              <w:t xml:space="preserve">snet-db</w:t>
            </w:r>
          </w:p>
        </w:tc>
        <w:tc>
          <w:tcPr>
            <w:tcW w:type="dxa" w:w="2400"/>
            <w:shd w:fill="DEEAF6" w:val="clear"/>
            <w:tcMar>
              <w:top w:type="dxa" w:w="60"/>
              <w:left w:type="dxa" w:w="100"/>
              <w:bottom w:type="dxa" w:w="60"/>
              <w:right w:type="dxa" w:w="100"/>
            </w:tcMar>
          </w:tcPr>
          <w:p>
            <w:pPr>
              <w:jc w:val="left"/>
            </w:pPr>
            <w:r>
              <w:rPr>
                <w:b w:val="false"/>
                <w:bCs w:val="false"/>
                <w:color w:val="000000"/>
                <w:sz w:val="20"/>
                <w:szCs w:val="20"/>
              </w:rPr>
              <w:t xml:space="preserve">10.10.20.0/24</w:t>
            </w:r>
          </w:p>
        </w:tc>
        <w:tc>
          <w:tcPr>
            <w:tcW w:type="dxa" w:w="4500"/>
            <w:shd w:fill="DEEAF6" w:val="clear"/>
            <w:tcMar>
              <w:top w:type="dxa" w:w="60"/>
              <w:left w:type="dxa" w:w="100"/>
              <w:bottom w:type="dxa" w:w="60"/>
              <w:right w:type="dxa" w:w="100"/>
            </w:tcMar>
          </w:tcPr>
          <w:p>
            <w:pPr>
              <w:jc w:val="left"/>
            </w:pPr>
            <w:r>
              <w:rPr>
                <w:b w:val="false"/>
                <w:bCs w:val="false"/>
                <w:color w:val="000000"/>
                <w:sz w:val="20"/>
                <w:szCs w:val="20"/>
              </w:rPr>
              <w:t xml:space="preserve">VM Servidor de Base de Datos (aislada)</w:t>
            </w:r>
          </w:p>
        </w:tc>
      </w:tr>
      <w:tr>
        <w:tc>
          <w:tcPr>
            <w:tcW w:type="dxa" w:w="2600"/>
            <w:shd w:fill="FFFFFF" w:val="clear"/>
            <w:tcMar>
              <w:top w:type="dxa" w:w="60"/>
              <w:left w:type="dxa" w:w="100"/>
              <w:bottom w:type="dxa" w:w="60"/>
              <w:right w:type="dxa" w:w="100"/>
            </w:tcMar>
          </w:tcPr>
          <w:p>
            <w:pPr>
              <w:jc w:val="left"/>
            </w:pPr>
            <w:r>
              <w:rPr>
                <w:b w:val="false"/>
                <w:bCs w:val="false"/>
                <w:color w:val="000000"/>
                <w:sz w:val="20"/>
                <w:szCs w:val="20"/>
              </w:rPr>
              <w:t xml:space="preserve">snet-mgmt</w:t>
            </w:r>
          </w:p>
        </w:tc>
        <w:tc>
          <w:tcPr>
            <w:tcW w:type="dxa" w:w="2400"/>
            <w:shd w:fill="FFFFFF" w:val="clear"/>
            <w:tcMar>
              <w:top w:type="dxa" w:w="60"/>
              <w:left w:type="dxa" w:w="100"/>
              <w:bottom w:type="dxa" w:w="60"/>
              <w:right w:type="dxa" w:w="100"/>
            </w:tcMar>
          </w:tcPr>
          <w:p>
            <w:pPr>
              <w:jc w:val="left"/>
            </w:pPr>
            <w:r>
              <w:rPr>
                <w:b w:val="false"/>
                <w:bCs w:val="false"/>
                <w:color w:val="000000"/>
                <w:sz w:val="20"/>
                <w:szCs w:val="20"/>
              </w:rPr>
              <w:t xml:space="preserve">10.10.30.0/24</w:t>
            </w:r>
          </w:p>
        </w:tc>
        <w:tc>
          <w:tcPr>
            <w:tcW w:type="dxa" w:w="4500"/>
            <w:shd w:fill="FFFFFF" w:val="clear"/>
            <w:tcMar>
              <w:top w:type="dxa" w:w="60"/>
              <w:left w:type="dxa" w:w="100"/>
              <w:bottom w:type="dxa" w:w="60"/>
              <w:right w:type="dxa" w:w="100"/>
            </w:tcMar>
          </w:tcPr>
          <w:p>
            <w:pPr>
              <w:jc w:val="left"/>
            </w:pPr>
            <w:r>
              <w:rPr>
                <w:b w:val="false"/>
                <w:bCs w:val="false"/>
                <w:color w:val="000000"/>
                <w:sz w:val="20"/>
                <w:szCs w:val="20"/>
              </w:rPr>
              <w:t xml:space="preserve">Administración, monitoreo y backups</w:t>
            </w:r>
          </w:p>
        </w:tc>
      </w:tr>
      <w:tr>
        <w:tc>
          <w:tcPr>
            <w:tcW w:type="dxa" w:w="2600"/>
            <w:shd w:fill="DEEAF6" w:val="clear"/>
            <w:tcMar>
              <w:top w:type="dxa" w:w="60"/>
              <w:left w:type="dxa" w:w="100"/>
              <w:bottom w:type="dxa" w:w="60"/>
              <w:right w:type="dxa" w:w="100"/>
            </w:tcMar>
          </w:tcPr>
          <w:p>
            <w:pPr>
              <w:jc w:val="left"/>
            </w:pPr>
            <w:r>
              <w:rPr>
                <w:b w:val="false"/>
                <w:bCs w:val="false"/>
                <w:color w:val="000000"/>
                <w:sz w:val="20"/>
                <w:szCs w:val="20"/>
              </w:rPr>
              <w:t xml:space="preserve">GatewaySubnet</w:t>
            </w:r>
          </w:p>
        </w:tc>
        <w:tc>
          <w:tcPr>
            <w:tcW w:type="dxa" w:w="2400"/>
            <w:shd w:fill="DEEAF6" w:val="clear"/>
            <w:tcMar>
              <w:top w:type="dxa" w:w="60"/>
              <w:left w:type="dxa" w:w="100"/>
              <w:bottom w:type="dxa" w:w="60"/>
              <w:right w:type="dxa" w:w="100"/>
            </w:tcMar>
          </w:tcPr>
          <w:p>
            <w:pPr>
              <w:jc w:val="left"/>
            </w:pPr>
            <w:r>
              <w:rPr>
                <w:b w:val="false"/>
                <w:bCs w:val="false"/>
                <w:color w:val="000000"/>
                <w:sz w:val="20"/>
                <w:szCs w:val="20"/>
              </w:rPr>
              <w:t xml:space="preserve">10.10.2.0/27</w:t>
            </w:r>
          </w:p>
        </w:tc>
        <w:tc>
          <w:tcPr>
            <w:tcW w:type="dxa" w:w="4500"/>
            <w:shd w:fill="DEEAF6" w:val="clear"/>
            <w:tcMar>
              <w:top w:type="dxa" w:w="60"/>
              <w:left w:type="dxa" w:w="100"/>
              <w:bottom w:type="dxa" w:w="60"/>
              <w:right w:type="dxa" w:w="100"/>
            </w:tcMar>
          </w:tcPr>
          <w:p>
            <w:pPr>
              <w:jc w:val="left"/>
            </w:pPr>
            <w:r>
              <w:rPr>
                <w:b w:val="false"/>
                <w:bCs w:val="false"/>
                <w:color w:val="000000"/>
                <w:sz w:val="20"/>
                <w:szCs w:val="20"/>
              </w:rPr>
              <w:t xml:space="preserve">VPN Gateway (nombre reservado por Azure)</w:t>
            </w:r>
          </w:p>
        </w:tc>
      </w:tr>
      <w:tr>
        <w:tc>
          <w:tcPr>
            <w:tcW w:type="dxa" w:w="2600"/>
            <w:shd w:fill="FFFFFF" w:val="clear"/>
            <w:tcMar>
              <w:top w:type="dxa" w:w="60"/>
              <w:left w:type="dxa" w:w="100"/>
              <w:bottom w:type="dxa" w:w="60"/>
              <w:right w:type="dxa" w:w="100"/>
            </w:tcMar>
          </w:tcPr>
          <w:p>
            <w:pPr>
              <w:jc w:val="left"/>
            </w:pPr>
            <w:r>
              <w:rPr>
                <w:b w:val="false"/>
                <w:bCs w:val="false"/>
                <w:color w:val="000000"/>
                <w:sz w:val="20"/>
                <w:szCs w:val="20"/>
              </w:rPr>
              <w:t xml:space="preserve">AzureBastionSubnet</w:t>
            </w:r>
          </w:p>
        </w:tc>
        <w:tc>
          <w:tcPr>
            <w:tcW w:type="dxa" w:w="2400"/>
            <w:shd w:fill="FFFFFF" w:val="clear"/>
            <w:tcMar>
              <w:top w:type="dxa" w:w="60"/>
              <w:left w:type="dxa" w:w="100"/>
              <w:bottom w:type="dxa" w:w="60"/>
              <w:right w:type="dxa" w:w="100"/>
            </w:tcMar>
          </w:tcPr>
          <w:p>
            <w:pPr>
              <w:jc w:val="left"/>
            </w:pPr>
            <w:r>
              <w:rPr>
                <w:b w:val="false"/>
                <w:bCs w:val="false"/>
                <w:color w:val="000000"/>
                <w:sz w:val="20"/>
                <w:szCs w:val="20"/>
              </w:rPr>
              <w:t xml:space="preserve">10.10.3.0/26</w:t>
            </w:r>
          </w:p>
        </w:tc>
        <w:tc>
          <w:tcPr>
            <w:tcW w:type="dxa" w:w="4500"/>
            <w:shd w:fill="FFFFFF" w:val="clear"/>
            <w:tcMar>
              <w:top w:type="dxa" w:w="60"/>
              <w:left w:type="dxa" w:w="100"/>
              <w:bottom w:type="dxa" w:w="60"/>
              <w:right w:type="dxa" w:w="100"/>
            </w:tcMar>
          </w:tcPr>
          <w:p>
            <w:pPr>
              <w:jc w:val="left"/>
            </w:pPr>
            <w:r>
              <w:rPr>
                <w:b w:val="false"/>
                <w:bCs w:val="false"/>
                <w:color w:val="000000"/>
                <w:sz w:val="20"/>
                <w:szCs w:val="20"/>
              </w:rPr>
              <w:t xml:space="preserve">Azure Bastion (nombre reservado, mínimo /26)</w:t>
            </w:r>
          </w:p>
        </w:tc>
      </w:tr>
    </w:tbl>
    <w:p>
      <w:pPr>
        <w:spacing w:after="120"/>
      </w:pPr>
    </w:p>
    <w:p>
      <w:pPr>
        <w:pStyle w:val="ListParagraph"/>
        <w:numPr>
          <w:ilvl w:val="0"/>
          <w:numId w:val="4"/>
        </w:numPr>
        <w:spacing w:after="100"/>
      </w:pPr>
      <w:r>
        <w:rPr>
          <w:sz w:val="22"/>
          <w:szCs w:val="22"/>
        </w:rPr>
        <w:t xml:space="preserve">Pestaña "Básicos": nombre contoso-vnet, región seleccionada.</w:t>
      </w:r>
    </w:p>
    <w:p>
      <w:pPr>
        <w:pStyle w:val="ListParagraph"/>
        <w:numPr>
          <w:ilvl w:val="0"/>
          <w:numId w:val="4"/>
        </w:numPr>
        <w:spacing w:after="100"/>
      </w:pPr>
      <w:r>
        <w:rPr>
          <w:sz w:val="22"/>
          <w:szCs w:val="22"/>
        </w:rPr>
        <w:t xml:space="preserve">Pestaña "Direcciones IP": establecer el espacio de direcciones 10.10.0.0/16 y eliminar la subred "default" que Azure crea automáticamente.</w:t>
      </w:r>
    </w:p>
    <w:p>
      <w:pPr>
        <w:pStyle w:val="ListParagraph"/>
        <w:numPr>
          <w:ilvl w:val="0"/>
          <w:numId w:val="4"/>
        </w:numPr>
        <w:spacing w:after="100"/>
      </w:pPr>
      <w:r>
        <w:rPr>
          <w:sz w:val="22"/>
          <w:szCs w:val="22"/>
        </w:rPr>
        <w:t xml:space="preserve">Agregar cada una de las 6 subredes de la tabla anterior con su prefijo exacto (los nombres "GatewaySubnet" y "AzureBastionSubnet" deben escribirse exactamente así; son nombres reservados por Azure).</w:t>
      </w:r>
    </w:p>
    <w:p>
      <w:pPr>
        <w:pStyle w:val="ListParagraph"/>
        <w:numPr>
          <w:ilvl w:val="0"/>
          <w:numId w:val="4"/>
        </w:numPr>
        <w:spacing w:after="100"/>
      </w:pPr>
      <w:r>
        <w:rPr>
          <w:sz w:val="22"/>
          <w:szCs w:val="22"/>
        </w:rPr>
        <w:t xml:space="preserve">Pestaña "Seguridad": dejar Azure Bastion y Azure Firewall en "Deshabilitar" por ahora (Bastion se crea en un paso posterior con SKU Basic).</w:t>
      </w:r>
    </w:p>
    <w:p>
      <w:pPr>
        <w:pStyle w:val="ListParagraph"/>
        <w:numPr>
          <w:ilvl w:val="0"/>
          <w:numId w:val="4"/>
        </w:numPr>
        <w:spacing w:after="100"/>
      </w:pPr>
      <w:r>
        <w:rPr>
          <w:sz w:val="22"/>
          <w:szCs w:val="22"/>
        </w:rPr>
        <w:t xml:space="preserve">Aplicar las mismas etiquetas corporativas del grupo de recursos.</w:t>
      </w:r>
    </w:p>
    <w:p>
      <w:pPr>
        <w:pStyle w:val="ListParagraph"/>
        <w:numPr>
          <w:ilvl w:val="0"/>
          <w:numId w:val="4"/>
        </w:numPr>
        <w:spacing w:after="100"/>
      </w:pPr>
      <w:r>
        <w:rPr>
          <w:sz w:val="22"/>
          <w:szCs w:val="22"/>
        </w:rPr>
        <w:t xml:space="preserve">Revisar y crear.</w:t>
      </w:r>
    </w:p>
    <w:p>
      <w:pPr>
        <w:spacing w:after="200"/>
      </w:pPr>
    </w:p>
    <w:p>
      <w:pPr>
        <w:pStyle w:val="Heading1"/>
        <w:pBdr>
          <w:bottom w:val="single" w:color="2E74B5" w:sz="8" w:space="4"/>
        </w:pBdr>
        <w:spacing w:after="160" w:before="360"/>
      </w:pPr>
      <w:r>
        <w:rPr>
          <w:b/>
          <w:bCs/>
          <w:color w:val="1F3864"/>
          <w:sz w:val="30"/>
          <w:szCs w:val="30"/>
        </w:rPr>
        <w:t xml:space="preserve">5. Crear los Grupos de Seguridad de Red (NSG) y Asociarlos</w:t>
      </w:r>
    </w:p>
    <w:p>
      <w:pPr>
        <w:spacing w:after="120"/>
      </w:pPr>
      <w:r>
        <w:rPr>
          <w:sz w:val="22"/>
          <w:szCs w:val="22"/>
        </w:rPr>
        <w:t xml:space="preserve">Crear tres NSGs ("Grupos de seguridad de red" → "+ Crear") y asociar cada uno a su subred correspondiente desde "Subredes" dentro del recurso NSG, o desde la subred misma.</w:t>
      </w:r>
    </w:p>
    <w:p>
      <w:pPr>
        <w:pStyle w:val="Heading2"/>
        <w:spacing w:after="120" w:before="240"/>
      </w:pPr>
      <w:r>
        <w:rPr>
          <w:b/>
          <w:bCs/>
          <w:color w:val="2E74B5"/>
          <w:sz w:val="24"/>
          <w:szCs w:val="24"/>
        </w:rPr>
        <w:t xml:space="preserve">5.1 nsg-app (asociar a snet-app)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100"/>
        <w:gridCol w:w="1300"/>
        <w:gridCol w:w="2600"/>
        <w:gridCol w:w="1300"/>
      </w:tblGrid>
      <w:tr>
        <w:trPr>
          <w:tblHeader/>
        </w:trPr>
        <w:tc>
          <w:tcPr>
            <w:tcW w:type="dxa" w:w="2600"/>
            <w:shd w:fill="1F3864" w:val="clear"/>
            <w:tcMar>
              <w:top w:type="dxa" w:w="60"/>
              <w:left w:type="dxa" w:w="100"/>
              <w:bottom w:type="dxa" w:w="60"/>
              <w:right w:type="dxa" w:w="100"/>
            </w:tcMar>
          </w:tcPr>
          <w:p>
            <w:pPr>
              <w:jc w:val="left"/>
            </w:pPr>
            <w:r>
              <w:rPr>
                <w:b/>
                <w:bCs/>
                <w:color w:val="FFFFFF"/>
                <w:sz w:val="20"/>
                <w:szCs w:val="20"/>
              </w:rPr>
              <w:t xml:space="preserve">Nombre regla</w:t>
            </w:r>
          </w:p>
        </w:tc>
        <w:tc>
          <w:tcPr>
            <w:tcW w:type="dxa" w:w="1000"/>
            <w:shd w:fill="1F3864" w:val="clear"/>
            <w:tcMar>
              <w:top w:type="dxa" w:w="60"/>
              <w:left w:type="dxa" w:w="100"/>
              <w:bottom w:type="dxa" w:w="60"/>
              <w:right w:type="dxa" w:w="100"/>
            </w:tcMar>
          </w:tcPr>
          <w:p>
            <w:pPr>
              <w:jc w:val="left"/>
            </w:pPr>
            <w:r>
              <w:rPr>
                <w:b/>
                <w:bCs/>
                <w:color w:val="FFFFFF"/>
                <w:sz w:val="20"/>
                <w:szCs w:val="20"/>
              </w:rPr>
              <w:t xml:space="preserve">Prioridad</w:t>
            </w:r>
          </w:p>
        </w:tc>
        <w:tc>
          <w:tcPr>
            <w:tcW w:type="dxa" w:w="1100"/>
            <w:shd w:fill="1F3864" w:val="clear"/>
            <w:tcMar>
              <w:top w:type="dxa" w:w="60"/>
              <w:left w:type="dxa" w:w="100"/>
              <w:bottom w:type="dxa" w:w="60"/>
              <w:right w:type="dxa" w:w="100"/>
            </w:tcMar>
          </w:tcPr>
          <w:p>
            <w:pPr>
              <w:jc w:val="left"/>
            </w:pPr>
            <w:r>
              <w:rPr>
                <w:b/>
                <w:bCs/>
                <w:color w:val="FFFFFF"/>
                <w:sz w:val="20"/>
                <w:szCs w:val="20"/>
              </w:rPr>
              <w:t xml:space="preserve">Dirección</w:t>
            </w:r>
          </w:p>
        </w:tc>
        <w:tc>
          <w:tcPr>
            <w:tcW w:type="dxa" w:w="1300"/>
            <w:shd w:fill="1F3864" w:val="clear"/>
            <w:tcMar>
              <w:top w:type="dxa" w:w="60"/>
              <w:left w:type="dxa" w:w="100"/>
              <w:bottom w:type="dxa" w:w="60"/>
              <w:right w:type="dxa" w:w="100"/>
            </w:tcMar>
          </w:tcPr>
          <w:p>
            <w:pPr>
              <w:jc w:val="left"/>
            </w:pPr>
            <w:r>
              <w:rPr>
                <w:b/>
                <w:bCs/>
                <w:color w:val="FFFFFF"/>
                <w:sz w:val="20"/>
                <w:szCs w:val="20"/>
              </w:rPr>
              <w:t xml:space="preserve">Puerto(s)</w:t>
            </w:r>
          </w:p>
        </w:tc>
        <w:tc>
          <w:tcPr>
            <w:tcW w:type="dxa" w:w="2600"/>
            <w:shd w:fill="1F3864" w:val="clear"/>
            <w:tcMar>
              <w:top w:type="dxa" w:w="60"/>
              <w:left w:type="dxa" w:w="100"/>
              <w:bottom w:type="dxa" w:w="60"/>
              <w:right w:type="dxa" w:w="100"/>
            </w:tcMar>
          </w:tcPr>
          <w:p>
            <w:pPr>
              <w:jc w:val="left"/>
            </w:pPr>
            <w:r>
              <w:rPr>
                <w:b/>
                <w:bCs/>
                <w:color w:val="FFFFFF"/>
                <w:sz w:val="20"/>
                <w:szCs w:val="20"/>
              </w:rPr>
              <w:t xml:space="preserve">Origen</w:t>
            </w:r>
          </w:p>
        </w:tc>
        <w:tc>
          <w:tcPr>
            <w:tcW w:type="dxa" w:w="1300"/>
            <w:shd w:fill="1F3864" w:val="clear"/>
            <w:tcMar>
              <w:top w:type="dxa" w:w="60"/>
              <w:left w:type="dxa" w:w="100"/>
              <w:bottom w:type="dxa" w:w="60"/>
              <w:right w:type="dxa" w:w="100"/>
            </w:tcMar>
          </w:tcPr>
          <w:p>
            <w:pPr>
              <w:jc w:val="left"/>
            </w:pPr>
            <w:r>
              <w:rPr>
                <w:b/>
                <w:bCs/>
                <w:color w:val="FFFFFF"/>
                <w:sz w:val="20"/>
                <w:szCs w:val="20"/>
              </w:rPr>
              <w:t xml:space="preserve">Acción</w:t>
            </w:r>
          </w:p>
        </w:tc>
      </w:tr>
      <w:tr>
        <w:tc>
          <w:tcPr>
            <w:tcW w:type="dxa" w:w="2600"/>
            <w:shd w:fill="DEEAF6" w:val="clear"/>
            <w:tcMar>
              <w:top w:type="dxa" w:w="60"/>
              <w:left w:type="dxa" w:w="100"/>
              <w:bottom w:type="dxa" w:w="60"/>
              <w:right w:type="dxa" w:w="100"/>
            </w:tcMar>
          </w:tcPr>
          <w:p>
            <w:pPr>
              <w:jc w:val="left"/>
            </w:pPr>
            <w:r>
              <w:rPr>
                <w:b w:val="false"/>
                <w:bCs w:val="false"/>
                <w:color w:val="000000"/>
                <w:sz w:val="20"/>
                <w:szCs w:val="20"/>
              </w:rPr>
              <w:t xml:space="preserve">Allow-HTTPS-From-AppGW</w:t>
            </w:r>
          </w:p>
        </w:tc>
        <w:tc>
          <w:tcPr>
            <w:tcW w:type="dxa" w:w="1000"/>
            <w:shd w:fill="DEEAF6" w:val="clear"/>
            <w:tcMar>
              <w:top w:type="dxa" w:w="60"/>
              <w:left w:type="dxa" w:w="100"/>
              <w:bottom w:type="dxa" w:w="60"/>
              <w:right w:type="dxa" w:w="100"/>
            </w:tcMar>
          </w:tcPr>
          <w:p>
            <w:pPr>
              <w:jc w:val="left"/>
            </w:pPr>
            <w:r>
              <w:rPr>
                <w:b w:val="false"/>
                <w:bCs w:val="false"/>
                <w:color w:val="000000"/>
                <w:sz w:val="20"/>
                <w:szCs w:val="20"/>
              </w:rPr>
              <w:t xml:space="preserve">100</w:t>
            </w:r>
          </w:p>
        </w:tc>
        <w:tc>
          <w:tcPr>
            <w:tcW w:type="dxa" w:w="1100"/>
            <w:shd w:fill="DEEAF6" w:val="clear"/>
            <w:tcMar>
              <w:top w:type="dxa" w:w="60"/>
              <w:left w:type="dxa" w:w="100"/>
              <w:bottom w:type="dxa" w:w="60"/>
              <w:right w:type="dxa" w:w="100"/>
            </w:tcMar>
          </w:tcPr>
          <w:p>
            <w:pPr>
              <w:jc w:val="left"/>
            </w:pPr>
            <w:r>
              <w:rPr>
                <w:b w:val="false"/>
                <w:bCs w:val="false"/>
                <w:color w:val="000000"/>
                <w:sz w:val="20"/>
                <w:szCs w:val="20"/>
              </w:rPr>
              <w:t xml:space="preserve">Entrante</w:t>
            </w:r>
          </w:p>
        </w:tc>
        <w:tc>
          <w:tcPr>
            <w:tcW w:type="dxa" w:w="1300"/>
            <w:shd w:fill="DEEAF6" w:val="clear"/>
            <w:tcMar>
              <w:top w:type="dxa" w:w="60"/>
              <w:left w:type="dxa" w:w="100"/>
              <w:bottom w:type="dxa" w:w="60"/>
              <w:right w:type="dxa" w:w="100"/>
            </w:tcMar>
          </w:tcPr>
          <w:p>
            <w:pPr>
              <w:jc w:val="left"/>
            </w:pPr>
            <w:r>
              <w:rPr>
                <w:b w:val="false"/>
                <w:bCs w:val="false"/>
                <w:color w:val="000000"/>
                <w:sz w:val="20"/>
                <w:szCs w:val="20"/>
              </w:rPr>
              <w:t xml:space="preserve">443, 80</w:t>
            </w:r>
          </w:p>
        </w:tc>
        <w:tc>
          <w:tcPr>
            <w:tcW w:type="dxa" w:w="2600"/>
            <w:shd w:fill="DEEAF6" w:val="clear"/>
            <w:tcMar>
              <w:top w:type="dxa" w:w="60"/>
              <w:left w:type="dxa" w:w="100"/>
              <w:bottom w:type="dxa" w:w="60"/>
              <w:right w:type="dxa" w:w="100"/>
            </w:tcMar>
          </w:tcPr>
          <w:p>
            <w:pPr>
              <w:jc w:val="left"/>
            </w:pPr>
            <w:r>
              <w:rPr>
                <w:b w:val="false"/>
                <w:bCs w:val="false"/>
                <w:color w:val="000000"/>
                <w:sz w:val="20"/>
                <w:szCs w:val="20"/>
              </w:rPr>
              <w:t xml:space="preserve">snet-appgw (10.10.1.0/24)</w:t>
            </w:r>
          </w:p>
        </w:tc>
        <w:tc>
          <w:tcPr>
            <w:tcW w:type="dxa" w:w="1300"/>
            <w:shd w:fill="DEEAF6" w:val="clear"/>
            <w:tcMar>
              <w:top w:type="dxa" w:w="60"/>
              <w:left w:type="dxa" w:w="100"/>
              <w:bottom w:type="dxa" w:w="60"/>
              <w:right w:type="dxa" w:w="100"/>
            </w:tcMar>
          </w:tcPr>
          <w:p>
            <w:pPr>
              <w:jc w:val="left"/>
            </w:pPr>
            <w:r>
              <w:rPr>
                <w:b w:val="false"/>
                <w:bCs w:val="false"/>
                <w:color w:val="000000"/>
                <w:sz w:val="20"/>
                <w:szCs w:val="20"/>
              </w:rPr>
              <w:t xml:space="preserve">Permitir</w:t>
            </w:r>
          </w:p>
        </w:tc>
      </w:tr>
      <w:tr>
        <w:tc>
          <w:tcPr>
            <w:tcW w:type="dxa" w:w="2600"/>
            <w:shd w:fill="FFFFFF" w:val="clear"/>
            <w:tcMar>
              <w:top w:type="dxa" w:w="60"/>
              <w:left w:type="dxa" w:w="100"/>
              <w:bottom w:type="dxa" w:w="60"/>
              <w:right w:type="dxa" w:w="100"/>
            </w:tcMar>
          </w:tcPr>
          <w:p>
            <w:pPr>
              <w:jc w:val="left"/>
            </w:pPr>
            <w:r>
              <w:rPr>
                <w:b w:val="false"/>
                <w:bCs w:val="false"/>
                <w:color w:val="000000"/>
                <w:sz w:val="20"/>
                <w:szCs w:val="20"/>
              </w:rPr>
              <w:t xml:space="preserve">Allow-Bastion-RDP</w:t>
            </w:r>
          </w:p>
        </w:tc>
        <w:tc>
          <w:tcPr>
            <w:tcW w:type="dxa" w:w="1000"/>
            <w:shd w:fill="FFFFFF" w:val="clear"/>
            <w:tcMar>
              <w:top w:type="dxa" w:w="60"/>
              <w:left w:type="dxa" w:w="100"/>
              <w:bottom w:type="dxa" w:w="60"/>
              <w:right w:type="dxa" w:w="100"/>
            </w:tcMar>
          </w:tcPr>
          <w:p>
            <w:pPr>
              <w:jc w:val="left"/>
            </w:pPr>
            <w:r>
              <w:rPr>
                <w:b w:val="false"/>
                <w:bCs w:val="false"/>
                <w:color w:val="000000"/>
                <w:sz w:val="20"/>
                <w:szCs w:val="20"/>
              </w:rPr>
              <w:t xml:space="preserve">110</w:t>
            </w:r>
          </w:p>
        </w:tc>
        <w:tc>
          <w:tcPr>
            <w:tcW w:type="dxa" w:w="1100"/>
            <w:shd w:fill="FFFFFF" w:val="clear"/>
            <w:tcMar>
              <w:top w:type="dxa" w:w="60"/>
              <w:left w:type="dxa" w:w="100"/>
              <w:bottom w:type="dxa" w:w="60"/>
              <w:right w:type="dxa" w:w="100"/>
            </w:tcMar>
          </w:tcPr>
          <w:p>
            <w:pPr>
              <w:jc w:val="left"/>
            </w:pPr>
            <w:r>
              <w:rPr>
                <w:b w:val="false"/>
                <w:bCs w:val="false"/>
                <w:color w:val="000000"/>
                <w:sz w:val="20"/>
                <w:szCs w:val="20"/>
              </w:rPr>
              <w:t xml:space="preserve">Entrante</w:t>
            </w:r>
          </w:p>
        </w:tc>
        <w:tc>
          <w:tcPr>
            <w:tcW w:type="dxa" w:w="1300"/>
            <w:shd w:fill="FFFFFF" w:val="clear"/>
            <w:tcMar>
              <w:top w:type="dxa" w:w="60"/>
              <w:left w:type="dxa" w:w="100"/>
              <w:bottom w:type="dxa" w:w="60"/>
              <w:right w:type="dxa" w:w="100"/>
            </w:tcMar>
          </w:tcPr>
          <w:p>
            <w:pPr>
              <w:jc w:val="left"/>
            </w:pPr>
            <w:r>
              <w:rPr>
                <w:b w:val="false"/>
                <w:bCs w:val="false"/>
                <w:color w:val="000000"/>
                <w:sz w:val="20"/>
                <w:szCs w:val="20"/>
              </w:rPr>
              <w:t xml:space="preserve">3389</w:t>
            </w:r>
          </w:p>
        </w:tc>
        <w:tc>
          <w:tcPr>
            <w:tcW w:type="dxa" w:w="2600"/>
            <w:shd w:fill="FFFFFF" w:val="clear"/>
            <w:tcMar>
              <w:top w:type="dxa" w:w="60"/>
              <w:left w:type="dxa" w:w="100"/>
              <w:bottom w:type="dxa" w:w="60"/>
              <w:right w:type="dxa" w:w="100"/>
            </w:tcMar>
          </w:tcPr>
          <w:p>
            <w:pPr>
              <w:jc w:val="left"/>
            </w:pPr>
            <w:r>
              <w:rPr>
                <w:b w:val="false"/>
                <w:bCs w:val="false"/>
                <w:color w:val="000000"/>
                <w:sz w:val="20"/>
                <w:szCs w:val="20"/>
              </w:rPr>
              <w:t xml:space="preserve">AzureBastionSubnet (10.10.3.0/26)</w:t>
            </w:r>
          </w:p>
        </w:tc>
        <w:tc>
          <w:tcPr>
            <w:tcW w:type="dxa" w:w="1300"/>
            <w:shd w:fill="FFFFFF" w:val="clear"/>
            <w:tcMar>
              <w:top w:type="dxa" w:w="60"/>
              <w:left w:type="dxa" w:w="100"/>
              <w:bottom w:type="dxa" w:w="60"/>
              <w:right w:type="dxa" w:w="100"/>
            </w:tcMar>
          </w:tcPr>
          <w:p>
            <w:pPr>
              <w:jc w:val="left"/>
            </w:pPr>
            <w:r>
              <w:rPr>
                <w:b w:val="false"/>
                <w:bCs w:val="false"/>
                <w:color w:val="000000"/>
                <w:sz w:val="20"/>
                <w:szCs w:val="20"/>
              </w:rPr>
              <w:t xml:space="preserve">Permitir</w:t>
            </w:r>
          </w:p>
        </w:tc>
      </w:tr>
      <w:tr>
        <w:tc>
          <w:tcPr>
            <w:tcW w:type="dxa" w:w="2600"/>
            <w:shd w:fill="DEEAF6" w:val="clear"/>
            <w:tcMar>
              <w:top w:type="dxa" w:w="60"/>
              <w:left w:type="dxa" w:w="100"/>
              <w:bottom w:type="dxa" w:w="60"/>
              <w:right w:type="dxa" w:w="100"/>
            </w:tcMar>
          </w:tcPr>
          <w:p>
            <w:pPr>
              <w:jc w:val="left"/>
            </w:pPr>
            <w:r>
              <w:rPr>
                <w:b w:val="false"/>
                <w:bCs w:val="false"/>
                <w:color w:val="000000"/>
                <w:sz w:val="20"/>
                <w:szCs w:val="20"/>
              </w:rPr>
              <w:t xml:space="preserve">Deny-Internet-Inbound</w:t>
            </w:r>
          </w:p>
        </w:tc>
        <w:tc>
          <w:tcPr>
            <w:tcW w:type="dxa" w:w="1000"/>
            <w:shd w:fill="DEEAF6" w:val="clear"/>
            <w:tcMar>
              <w:top w:type="dxa" w:w="60"/>
              <w:left w:type="dxa" w:w="100"/>
              <w:bottom w:type="dxa" w:w="60"/>
              <w:right w:type="dxa" w:w="100"/>
            </w:tcMar>
          </w:tcPr>
          <w:p>
            <w:pPr>
              <w:jc w:val="left"/>
            </w:pPr>
            <w:r>
              <w:rPr>
                <w:b w:val="false"/>
                <w:bCs w:val="false"/>
                <w:color w:val="000000"/>
                <w:sz w:val="20"/>
                <w:szCs w:val="20"/>
              </w:rPr>
              <w:t xml:space="preserve">4096</w:t>
            </w:r>
          </w:p>
        </w:tc>
        <w:tc>
          <w:tcPr>
            <w:tcW w:type="dxa" w:w="1100"/>
            <w:shd w:fill="DEEAF6" w:val="clear"/>
            <w:tcMar>
              <w:top w:type="dxa" w:w="60"/>
              <w:left w:type="dxa" w:w="100"/>
              <w:bottom w:type="dxa" w:w="60"/>
              <w:right w:type="dxa" w:w="100"/>
            </w:tcMar>
          </w:tcPr>
          <w:p>
            <w:pPr>
              <w:jc w:val="left"/>
            </w:pPr>
            <w:r>
              <w:rPr>
                <w:b w:val="false"/>
                <w:bCs w:val="false"/>
                <w:color w:val="000000"/>
                <w:sz w:val="20"/>
                <w:szCs w:val="20"/>
              </w:rPr>
              <w:t xml:space="preserve">Entrante</w:t>
            </w:r>
          </w:p>
        </w:tc>
        <w:tc>
          <w:tcPr>
            <w:tcW w:type="dxa" w:w="1300"/>
            <w:shd w:fill="DEEAF6" w:val="clear"/>
            <w:tcMar>
              <w:top w:type="dxa" w:w="60"/>
              <w:left w:type="dxa" w:w="100"/>
              <w:bottom w:type="dxa" w:w="60"/>
              <w:right w:type="dxa" w:w="100"/>
            </w:tcMar>
          </w:tcPr>
          <w:p>
            <w:pPr>
              <w:jc w:val="left"/>
            </w:pPr>
            <w:r>
              <w:rPr>
                <w:b w:val="false"/>
                <w:bCs w:val="false"/>
                <w:color w:val="000000"/>
                <w:sz w:val="20"/>
                <w:szCs w:val="20"/>
              </w:rPr>
              <w:t xml:space="preserve">*</w:t>
            </w:r>
          </w:p>
        </w:tc>
        <w:tc>
          <w:tcPr>
            <w:tcW w:type="dxa" w:w="2600"/>
            <w:shd w:fill="DEEAF6" w:val="clear"/>
            <w:tcMar>
              <w:top w:type="dxa" w:w="60"/>
              <w:left w:type="dxa" w:w="100"/>
              <w:bottom w:type="dxa" w:w="60"/>
              <w:right w:type="dxa" w:w="100"/>
            </w:tcMar>
          </w:tcPr>
          <w:p>
            <w:pPr>
              <w:jc w:val="left"/>
            </w:pPr>
            <w:r>
              <w:rPr>
                <w:b w:val="false"/>
                <w:bCs w:val="false"/>
                <w:color w:val="000000"/>
                <w:sz w:val="20"/>
                <w:szCs w:val="20"/>
              </w:rPr>
              <w:t xml:space="preserve">Internet</w:t>
            </w:r>
          </w:p>
        </w:tc>
        <w:tc>
          <w:tcPr>
            <w:tcW w:type="dxa" w:w="1300"/>
            <w:shd w:fill="DEEAF6" w:val="clear"/>
            <w:tcMar>
              <w:top w:type="dxa" w:w="60"/>
              <w:left w:type="dxa" w:w="100"/>
              <w:bottom w:type="dxa" w:w="60"/>
              <w:right w:type="dxa" w:w="100"/>
            </w:tcMar>
          </w:tcPr>
          <w:p>
            <w:pPr>
              <w:jc w:val="left"/>
            </w:pPr>
            <w:r>
              <w:rPr>
                <w:b w:val="false"/>
                <w:bCs w:val="false"/>
                <w:color w:val="000000"/>
                <w:sz w:val="20"/>
                <w:szCs w:val="20"/>
              </w:rPr>
              <w:t xml:space="preserve">Denegar</w:t>
            </w:r>
          </w:p>
        </w:tc>
      </w:tr>
      <w:tr>
        <w:tc>
          <w:tcPr>
            <w:tcW w:type="dxa" w:w="2600"/>
            <w:shd w:fill="FFFFFF" w:val="clear"/>
            <w:tcMar>
              <w:top w:type="dxa" w:w="60"/>
              <w:left w:type="dxa" w:w="100"/>
              <w:bottom w:type="dxa" w:w="60"/>
              <w:right w:type="dxa" w:w="100"/>
            </w:tcMar>
          </w:tcPr>
          <w:p>
            <w:pPr>
              <w:jc w:val="left"/>
            </w:pPr>
            <w:r>
              <w:rPr>
                <w:b w:val="false"/>
                <w:bCs w:val="false"/>
                <w:color w:val="000000"/>
                <w:sz w:val="20"/>
                <w:szCs w:val="20"/>
              </w:rPr>
              <w:t xml:space="preserve">Allow-SQL-Outbound-To-DB</w:t>
            </w:r>
          </w:p>
        </w:tc>
        <w:tc>
          <w:tcPr>
            <w:tcW w:type="dxa" w:w="1000"/>
            <w:shd w:fill="FFFFFF" w:val="clear"/>
            <w:tcMar>
              <w:top w:type="dxa" w:w="60"/>
              <w:left w:type="dxa" w:w="100"/>
              <w:bottom w:type="dxa" w:w="60"/>
              <w:right w:type="dxa" w:w="100"/>
            </w:tcMar>
          </w:tcPr>
          <w:p>
            <w:pPr>
              <w:jc w:val="left"/>
            </w:pPr>
            <w:r>
              <w:rPr>
                <w:b w:val="false"/>
                <w:bCs w:val="false"/>
                <w:color w:val="000000"/>
                <w:sz w:val="20"/>
                <w:szCs w:val="20"/>
              </w:rPr>
              <w:t xml:space="preserve">100</w:t>
            </w:r>
          </w:p>
        </w:tc>
        <w:tc>
          <w:tcPr>
            <w:tcW w:type="dxa" w:w="1100"/>
            <w:shd w:fill="FFFFFF" w:val="clear"/>
            <w:tcMar>
              <w:top w:type="dxa" w:w="60"/>
              <w:left w:type="dxa" w:w="100"/>
              <w:bottom w:type="dxa" w:w="60"/>
              <w:right w:type="dxa" w:w="100"/>
            </w:tcMar>
          </w:tcPr>
          <w:p>
            <w:pPr>
              <w:jc w:val="left"/>
            </w:pPr>
            <w:r>
              <w:rPr>
                <w:b w:val="false"/>
                <w:bCs w:val="false"/>
                <w:color w:val="000000"/>
                <w:sz w:val="20"/>
                <w:szCs w:val="20"/>
              </w:rPr>
              <w:t xml:space="preserve">Saliente</w:t>
            </w:r>
          </w:p>
        </w:tc>
        <w:tc>
          <w:tcPr>
            <w:tcW w:type="dxa" w:w="1300"/>
            <w:shd w:fill="FFFFFF" w:val="clear"/>
            <w:tcMar>
              <w:top w:type="dxa" w:w="60"/>
              <w:left w:type="dxa" w:w="100"/>
              <w:bottom w:type="dxa" w:w="60"/>
              <w:right w:type="dxa" w:w="100"/>
            </w:tcMar>
          </w:tcPr>
          <w:p>
            <w:pPr>
              <w:jc w:val="left"/>
            </w:pPr>
            <w:r>
              <w:rPr>
                <w:b w:val="false"/>
                <w:bCs w:val="false"/>
                <w:color w:val="000000"/>
                <w:sz w:val="20"/>
                <w:szCs w:val="20"/>
              </w:rPr>
              <w:t xml:space="preserve">1433</w:t>
            </w:r>
          </w:p>
        </w:tc>
        <w:tc>
          <w:tcPr>
            <w:tcW w:type="dxa" w:w="2600"/>
            <w:shd w:fill="FFFFFF" w:val="clear"/>
            <w:tcMar>
              <w:top w:type="dxa" w:w="60"/>
              <w:left w:type="dxa" w:w="100"/>
              <w:bottom w:type="dxa" w:w="60"/>
              <w:right w:type="dxa" w:w="100"/>
            </w:tcMar>
          </w:tcPr>
          <w:p>
            <w:pPr>
              <w:jc w:val="left"/>
            </w:pPr>
            <w:r>
              <w:rPr>
                <w:b w:val="false"/>
                <w:bCs w:val="false"/>
                <w:color w:val="000000"/>
                <w:sz w:val="20"/>
                <w:szCs w:val="20"/>
              </w:rPr>
              <w:t xml:space="preserve">* → snet-db (10.10.20.0/24)</w:t>
            </w:r>
          </w:p>
        </w:tc>
        <w:tc>
          <w:tcPr>
            <w:tcW w:type="dxa" w:w="1300"/>
            <w:shd w:fill="FFFFFF" w:val="clear"/>
            <w:tcMar>
              <w:top w:type="dxa" w:w="60"/>
              <w:left w:type="dxa" w:w="100"/>
              <w:bottom w:type="dxa" w:w="60"/>
              <w:right w:type="dxa" w:w="100"/>
            </w:tcMar>
          </w:tcPr>
          <w:p>
            <w:pPr>
              <w:jc w:val="left"/>
            </w:pPr>
            <w:r>
              <w:rPr>
                <w:b w:val="false"/>
                <w:bCs w:val="false"/>
                <w:color w:val="000000"/>
                <w:sz w:val="20"/>
                <w:szCs w:val="20"/>
              </w:rPr>
              <w:t xml:space="preserve">Permitir</w:t>
            </w:r>
          </w:p>
        </w:tc>
      </w:tr>
    </w:tbl>
    <w:p>
      <w:pPr>
        <w:spacing w:after="120"/>
      </w:pPr>
    </w:p>
    <w:p>
      <w:pPr>
        <w:pStyle w:val="Heading2"/>
        <w:spacing w:after="120" w:before="240"/>
      </w:pPr>
      <w:r>
        <w:rPr>
          <w:b/>
          <w:bCs/>
          <w:color w:val="2E74B5"/>
          <w:sz w:val="24"/>
          <w:szCs w:val="24"/>
        </w:rPr>
        <w:t xml:space="preserve">5.2 nsg-db (asociar a snet-db)</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100"/>
        <w:gridCol w:w="1300"/>
        <w:gridCol w:w="2600"/>
        <w:gridCol w:w="1300"/>
      </w:tblGrid>
      <w:tr>
        <w:trPr>
          <w:tblHeader/>
        </w:trPr>
        <w:tc>
          <w:tcPr>
            <w:tcW w:type="dxa" w:w="2600"/>
            <w:shd w:fill="1F3864" w:val="clear"/>
            <w:tcMar>
              <w:top w:type="dxa" w:w="60"/>
              <w:left w:type="dxa" w:w="100"/>
              <w:bottom w:type="dxa" w:w="60"/>
              <w:right w:type="dxa" w:w="100"/>
            </w:tcMar>
          </w:tcPr>
          <w:p>
            <w:pPr>
              <w:jc w:val="left"/>
            </w:pPr>
            <w:r>
              <w:rPr>
                <w:b/>
                <w:bCs/>
                <w:color w:val="FFFFFF"/>
                <w:sz w:val="20"/>
                <w:szCs w:val="20"/>
              </w:rPr>
              <w:t xml:space="preserve">Nombre regla</w:t>
            </w:r>
          </w:p>
        </w:tc>
        <w:tc>
          <w:tcPr>
            <w:tcW w:type="dxa" w:w="1000"/>
            <w:shd w:fill="1F3864" w:val="clear"/>
            <w:tcMar>
              <w:top w:type="dxa" w:w="60"/>
              <w:left w:type="dxa" w:w="100"/>
              <w:bottom w:type="dxa" w:w="60"/>
              <w:right w:type="dxa" w:w="100"/>
            </w:tcMar>
          </w:tcPr>
          <w:p>
            <w:pPr>
              <w:jc w:val="left"/>
            </w:pPr>
            <w:r>
              <w:rPr>
                <w:b/>
                <w:bCs/>
                <w:color w:val="FFFFFF"/>
                <w:sz w:val="20"/>
                <w:szCs w:val="20"/>
              </w:rPr>
              <w:t xml:space="preserve">Prioridad</w:t>
            </w:r>
          </w:p>
        </w:tc>
        <w:tc>
          <w:tcPr>
            <w:tcW w:type="dxa" w:w="1100"/>
            <w:shd w:fill="1F3864" w:val="clear"/>
            <w:tcMar>
              <w:top w:type="dxa" w:w="60"/>
              <w:left w:type="dxa" w:w="100"/>
              <w:bottom w:type="dxa" w:w="60"/>
              <w:right w:type="dxa" w:w="100"/>
            </w:tcMar>
          </w:tcPr>
          <w:p>
            <w:pPr>
              <w:jc w:val="left"/>
            </w:pPr>
            <w:r>
              <w:rPr>
                <w:b/>
                <w:bCs/>
                <w:color w:val="FFFFFF"/>
                <w:sz w:val="20"/>
                <w:szCs w:val="20"/>
              </w:rPr>
              <w:t xml:space="preserve">Dirección</w:t>
            </w:r>
          </w:p>
        </w:tc>
        <w:tc>
          <w:tcPr>
            <w:tcW w:type="dxa" w:w="1300"/>
            <w:shd w:fill="1F3864" w:val="clear"/>
            <w:tcMar>
              <w:top w:type="dxa" w:w="60"/>
              <w:left w:type="dxa" w:w="100"/>
              <w:bottom w:type="dxa" w:w="60"/>
              <w:right w:type="dxa" w:w="100"/>
            </w:tcMar>
          </w:tcPr>
          <w:p>
            <w:pPr>
              <w:jc w:val="left"/>
            </w:pPr>
            <w:r>
              <w:rPr>
                <w:b/>
                <w:bCs/>
                <w:color w:val="FFFFFF"/>
                <w:sz w:val="20"/>
                <w:szCs w:val="20"/>
              </w:rPr>
              <w:t xml:space="preserve">Puerto(s)</w:t>
            </w:r>
          </w:p>
        </w:tc>
        <w:tc>
          <w:tcPr>
            <w:tcW w:type="dxa" w:w="2600"/>
            <w:shd w:fill="1F3864" w:val="clear"/>
            <w:tcMar>
              <w:top w:type="dxa" w:w="60"/>
              <w:left w:type="dxa" w:w="100"/>
              <w:bottom w:type="dxa" w:w="60"/>
              <w:right w:type="dxa" w:w="100"/>
            </w:tcMar>
          </w:tcPr>
          <w:p>
            <w:pPr>
              <w:jc w:val="left"/>
            </w:pPr>
            <w:r>
              <w:rPr>
                <w:b/>
                <w:bCs/>
                <w:color w:val="FFFFFF"/>
                <w:sz w:val="20"/>
                <w:szCs w:val="20"/>
              </w:rPr>
              <w:t xml:space="preserve">Origen</w:t>
            </w:r>
          </w:p>
        </w:tc>
        <w:tc>
          <w:tcPr>
            <w:tcW w:type="dxa" w:w="1300"/>
            <w:shd w:fill="1F3864" w:val="clear"/>
            <w:tcMar>
              <w:top w:type="dxa" w:w="60"/>
              <w:left w:type="dxa" w:w="100"/>
              <w:bottom w:type="dxa" w:w="60"/>
              <w:right w:type="dxa" w:w="100"/>
            </w:tcMar>
          </w:tcPr>
          <w:p>
            <w:pPr>
              <w:jc w:val="left"/>
            </w:pPr>
            <w:r>
              <w:rPr>
                <w:b/>
                <w:bCs/>
                <w:color w:val="FFFFFF"/>
                <w:sz w:val="20"/>
                <w:szCs w:val="20"/>
              </w:rPr>
              <w:t xml:space="preserve">Acción</w:t>
            </w:r>
          </w:p>
        </w:tc>
      </w:tr>
      <w:tr>
        <w:tc>
          <w:tcPr>
            <w:tcW w:type="dxa" w:w="2600"/>
            <w:shd w:fill="DEEAF6" w:val="clear"/>
            <w:tcMar>
              <w:top w:type="dxa" w:w="60"/>
              <w:left w:type="dxa" w:w="100"/>
              <w:bottom w:type="dxa" w:w="60"/>
              <w:right w:type="dxa" w:w="100"/>
            </w:tcMar>
          </w:tcPr>
          <w:p>
            <w:pPr>
              <w:jc w:val="left"/>
            </w:pPr>
            <w:r>
              <w:rPr>
                <w:b w:val="false"/>
                <w:bCs w:val="false"/>
                <w:color w:val="000000"/>
                <w:sz w:val="20"/>
                <w:szCs w:val="20"/>
              </w:rPr>
              <w:t xml:space="preserve">Allow-SQL-From-App</w:t>
            </w:r>
          </w:p>
        </w:tc>
        <w:tc>
          <w:tcPr>
            <w:tcW w:type="dxa" w:w="1000"/>
            <w:shd w:fill="DEEAF6" w:val="clear"/>
            <w:tcMar>
              <w:top w:type="dxa" w:w="60"/>
              <w:left w:type="dxa" w:w="100"/>
              <w:bottom w:type="dxa" w:w="60"/>
              <w:right w:type="dxa" w:w="100"/>
            </w:tcMar>
          </w:tcPr>
          <w:p>
            <w:pPr>
              <w:jc w:val="left"/>
            </w:pPr>
            <w:r>
              <w:rPr>
                <w:b w:val="false"/>
                <w:bCs w:val="false"/>
                <w:color w:val="000000"/>
                <w:sz w:val="20"/>
                <w:szCs w:val="20"/>
              </w:rPr>
              <w:t xml:space="preserve">100</w:t>
            </w:r>
          </w:p>
        </w:tc>
        <w:tc>
          <w:tcPr>
            <w:tcW w:type="dxa" w:w="1100"/>
            <w:shd w:fill="DEEAF6" w:val="clear"/>
            <w:tcMar>
              <w:top w:type="dxa" w:w="60"/>
              <w:left w:type="dxa" w:w="100"/>
              <w:bottom w:type="dxa" w:w="60"/>
              <w:right w:type="dxa" w:w="100"/>
            </w:tcMar>
          </w:tcPr>
          <w:p>
            <w:pPr>
              <w:jc w:val="left"/>
            </w:pPr>
            <w:r>
              <w:rPr>
                <w:b w:val="false"/>
                <w:bCs w:val="false"/>
                <w:color w:val="000000"/>
                <w:sz w:val="20"/>
                <w:szCs w:val="20"/>
              </w:rPr>
              <w:t xml:space="preserve">Entrante</w:t>
            </w:r>
          </w:p>
        </w:tc>
        <w:tc>
          <w:tcPr>
            <w:tcW w:type="dxa" w:w="1300"/>
            <w:shd w:fill="DEEAF6" w:val="clear"/>
            <w:tcMar>
              <w:top w:type="dxa" w:w="60"/>
              <w:left w:type="dxa" w:w="100"/>
              <w:bottom w:type="dxa" w:w="60"/>
              <w:right w:type="dxa" w:w="100"/>
            </w:tcMar>
          </w:tcPr>
          <w:p>
            <w:pPr>
              <w:jc w:val="left"/>
            </w:pPr>
            <w:r>
              <w:rPr>
                <w:b w:val="false"/>
                <w:bCs w:val="false"/>
                <w:color w:val="000000"/>
                <w:sz w:val="20"/>
                <w:szCs w:val="20"/>
              </w:rPr>
              <w:t xml:space="preserve">1433</w:t>
            </w:r>
          </w:p>
        </w:tc>
        <w:tc>
          <w:tcPr>
            <w:tcW w:type="dxa" w:w="2600"/>
            <w:shd w:fill="DEEAF6" w:val="clear"/>
            <w:tcMar>
              <w:top w:type="dxa" w:w="60"/>
              <w:left w:type="dxa" w:w="100"/>
              <w:bottom w:type="dxa" w:w="60"/>
              <w:right w:type="dxa" w:w="100"/>
            </w:tcMar>
          </w:tcPr>
          <w:p>
            <w:pPr>
              <w:jc w:val="left"/>
            </w:pPr>
            <w:r>
              <w:rPr>
                <w:b w:val="false"/>
                <w:bCs w:val="false"/>
                <w:color w:val="000000"/>
                <w:sz w:val="20"/>
                <w:szCs w:val="20"/>
              </w:rPr>
              <w:t xml:space="preserve">snet-app (10.10.10.0/24)</w:t>
            </w:r>
          </w:p>
        </w:tc>
        <w:tc>
          <w:tcPr>
            <w:tcW w:type="dxa" w:w="1300"/>
            <w:shd w:fill="DEEAF6" w:val="clear"/>
            <w:tcMar>
              <w:top w:type="dxa" w:w="60"/>
              <w:left w:type="dxa" w:w="100"/>
              <w:bottom w:type="dxa" w:w="60"/>
              <w:right w:type="dxa" w:w="100"/>
            </w:tcMar>
          </w:tcPr>
          <w:p>
            <w:pPr>
              <w:jc w:val="left"/>
            </w:pPr>
            <w:r>
              <w:rPr>
                <w:b w:val="false"/>
                <w:bCs w:val="false"/>
                <w:color w:val="000000"/>
                <w:sz w:val="20"/>
                <w:szCs w:val="20"/>
              </w:rPr>
              <w:t xml:space="preserve">Permitir</w:t>
            </w:r>
          </w:p>
        </w:tc>
      </w:tr>
      <w:tr>
        <w:tc>
          <w:tcPr>
            <w:tcW w:type="dxa" w:w="2600"/>
            <w:shd w:fill="FFFFFF" w:val="clear"/>
            <w:tcMar>
              <w:top w:type="dxa" w:w="60"/>
              <w:left w:type="dxa" w:w="100"/>
              <w:bottom w:type="dxa" w:w="60"/>
              <w:right w:type="dxa" w:w="100"/>
            </w:tcMar>
          </w:tcPr>
          <w:p>
            <w:pPr>
              <w:jc w:val="left"/>
            </w:pPr>
            <w:r>
              <w:rPr>
                <w:b w:val="false"/>
                <w:bCs w:val="false"/>
                <w:color w:val="000000"/>
                <w:sz w:val="20"/>
                <w:szCs w:val="20"/>
              </w:rPr>
              <w:t xml:space="preserve">Allow-Bastion-RDP</w:t>
            </w:r>
          </w:p>
        </w:tc>
        <w:tc>
          <w:tcPr>
            <w:tcW w:type="dxa" w:w="1000"/>
            <w:shd w:fill="FFFFFF" w:val="clear"/>
            <w:tcMar>
              <w:top w:type="dxa" w:w="60"/>
              <w:left w:type="dxa" w:w="100"/>
              <w:bottom w:type="dxa" w:w="60"/>
              <w:right w:type="dxa" w:w="100"/>
            </w:tcMar>
          </w:tcPr>
          <w:p>
            <w:pPr>
              <w:jc w:val="left"/>
            </w:pPr>
            <w:r>
              <w:rPr>
                <w:b w:val="false"/>
                <w:bCs w:val="false"/>
                <w:color w:val="000000"/>
                <w:sz w:val="20"/>
                <w:szCs w:val="20"/>
              </w:rPr>
              <w:t xml:space="preserve">110</w:t>
            </w:r>
          </w:p>
        </w:tc>
        <w:tc>
          <w:tcPr>
            <w:tcW w:type="dxa" w:w="1100"/>
            <w:shd w:fill="FFFFFF" w:val="clear"/>
            <w:tcMar>
              <w:top w:type="dxa" w:w="60"/>
              <w:left w:type="dxa" w:w="100"/>
              <w:bottom w:type="dxa" w:w="60"/>
              <w:right w:type="dxa" w:w="100"/>
            </w:tcMar>
          </w:tcPr>
          <w:p>
            <w:pPr>
              <w:jc w:val="left"/>
            </w:pPr>
            <w:r>
              <w:rPr>
                <w:b w:val="false"/>
                <w:bCs w:val="false"/>
                <w:color w:val="000000"/>
                <w:sz w:val="20"/>
                <w:szCs w:val="20"/>
              </w:rPr>
              <w:t xml:space="preserve">Entrante</w:t>
            </w:r>
          </w:p>
        </w:tc>
        <w:tc>
          <w:tcPr>
            <w:tcW w:type="dxa" w:w="1300"/>
            <w:shd w:fill="FFFFFF" w:val="clear"/>
            <w:tcMar>
              <w:top w:type="dxa" w:w="60"/>
              <w:left w:type="dxa" w:w="100"/>
              <w:bottom w:type="dxa" w:w="60"/>
              <w:right w:type="dxa" w:w="100"/>
            </w:tcMar>
          </w:tcPr>
          <w:p>
            <w:pPr>
              <w:jc w:val="left"/>
            </w:pPr>
            <w:r>
              <w:rPr>
                <w:b w:val="false"/>
                <w:bCs w:val="false"/>
                <w:color w:val="000000"/>
                <w:sz w:val="20"/>
                <w:szCs w:val="20"/>
              </w:rPr>
              <w:t xml:space="preserve">3389</w:t>
            </w:r>
          </w:p>
        </w:tc>
        <w:tc>
          <w:tcPr>
            <w:tcW w:type="dxa" w:w="2600"/>
            <w:shd w:fill="FFFFFF" w:val="clear"/>
            <w:tcMar>
              <w:top w:type="dxa" w:w="60"/>
              <w:left w:type="dxa" w:w="100"/>
              <w:bottom w:type="dxa" w:w="60"/>
              <w:right w:type="dxa" w:w="100"/>
            </w:tcMar>
          </w:tcPr>
          <w:p>
            <w:pPr>
              <w:jc w:val="left"/>
            </w:pPr>
            <w:r>
              <w:rPr>
                <w:b w:val="false"/>
                <w:bCs w:val="false"/>
                <w:color w:val="000000"/>
                <w:sz w:val="20"/>
                <w:szCs w:val="20"/>
              </w:rPr>
              <w:t xml:space="preserve">AzureBastionSubnet (10.10.3.0/26)</w:t>
            </w:r>
          </w:p>
        </w:tc>
        <w:tc>
          <w:tcPr>
            <w:tcW w:type="dxa" w:w="1300"/>
            <w:shd w:fill="FFFFFF" w:val="clear"/>
            <w:tcMar>
              <w:top w:type="dxa" w:w="60"/>
              <w:left w:type="dxa" w:w="100"/>
              <w:bottom w:type="dxa" w:w="60"/>
              <w:right w:type="dxa" w:w="100"/>
            </w:tcMar>
          </w:tcPr>
          <w:p>
            <w:pPr>
              <w:jc w:val="left"/>
            </w:pPr>
            <w:r>
              <w:rPr>
                <w:b w:val="false"/>
                <w:bCs w:val="false"/>
                <w:color w:val="000000"/>
                <w:sz w:val="20"/>
                <w:szCs w:val="20"/>
              </w:rPr>
              <w:t xml:space="preserve">Permitir</w:t>
            </w:r>
          </w:p>
        </w:tc>
      </w:tr>
      <w:tr>
        <w:tc>
          <w:tcPr>
            <w:tcW w:type="dxa" w:w="2600"/>
            <w:shd w:fill="DEEAF6" w:val="clear"/>
            <w:tcMar>
              <w:top w:type="dxa" w:w="60"/>
              <w:left w:type="dxa" w:w="100"/>
              <w:bottom w:type="dxa" w:w="60"/>
              <w:right w:type="dxa" w:w="100"/>
            </w:tcMar>
          </w:tcPr>
          <w:p>
            <w:pPr>
              <w:jc w:val="left"/>
            </w:pPr>
            <w:r>
              <w:rPr>
                <w:b w:val="false"/>
                <w:bCs w:val="false"/>
                <w:color w:val="000000"/>
                <w:sz w:val="20"/>
                <w:szCs w:val="20"/>
              </w:rPr>
              <w:t xml:space="preserve">Deny-All-Inbound</w:t>
            </w:r>
          </w:p>
        </w:tc>
        <w:tc>
          <w:tcPr>
            <w:tcW w:type="dxa" w:w="1000"/>
            <w:shd w:fill="DEEAF6" w:val="clear"/>
            <w:tcMar>
              <w:top w:type="dxa" w:w="60"/>
              <w:left w:type="dxa" w:w="100"/>
              <w:bottom w:type="dxa" w:w="60"/>
              <w:right w:type="dxa" w:w="100"/>
            </w:tcMar>
          </w:tcPr>
          <w:p>
            <w:pPr>
              <w:jc w:val="left"/>
            </w:pPr>
            <w:r>
              <w:rPr>
                <w:b w:val="false"/>
                <w:bCs w:val="false"/>
                <w:color w:val="000000"/>
                <w:sz w:val="20"/>
                <w:szCs w:val="20"/>
              </w:rPr>
              <w:t xml:space="preserve">4096</w:t>
            </w:r>
          </w:p>
        </w:tc>
        <w:tc>
          <w:tcPr>
            <w:tcW w:type="dxa" w:w="1100"/>
            <w:shd w:fill="DEEAF6" w:val="clear"/>
            <w:tcMar>
              <w:top w:type="dxa" w:w="60"/>
              <w:left w:type="dxa" w:w="100"/>
              <w:bottom w:type="dxa" w:w="60"/>
              <w:right w:type="dxa" w:w="100"/>
            </w:tcMar>
          </w:tcPr>
          <w:p>
            <w:pPr>
              <w:jc w:val="left"/>
            </w:pPr>
            <w:r>
              <w:rPr>
                <w:b w:val="false"/>
                <w:bCs w:val="false"/>
                <w:color w:val="000000"/>
                <w:sz w:val="20"/>
                <w:szCs w:val="20"/>
              </w:rPr>
              <w:t xml:space="preserve">Entrante</w:t>
            </w:r>
          </w:p>
        </w:tc>
        <w:tc>
          <w:tcPr>
            <w:tcW w:type="dxa" w:w="1300"/>
            <w:shd w:fill="DEEAF6" w:val="clear"/>
            <w:tcMar>
              <w:top w:type="dxa" w:w="60"/>
              <w:left w:type="dxa" w:w="100"/>
              <w:bottom w:type="dxa" w:w="60"/>
              <w:right w:type="dxa" w:w="100"/>
            </w:tcMar>
          </w:tcPr>
          <w:p>
            <w:pPr>
              <w:jc w:val="left"/>
            </w:pPr>
            <w:r>
              <w:rPr>
                <w:b w:val="false"/>
                <w:bCs w:val="false"/>
                <w:color w:val="000000"/>
                <w:sz w:val="20"/>
                <w:szCs w:val="20"/>
              </w:rPr>
              <w:t xml:space="preserve">*</w:t>
            </w:r>
          </w:p>
        </w:tc>
        <w:tc>
          <w:tcPr>
            <w:tcW w:type="dxa" w:w="2600"/>
            <w:shd w:fill="DEEAF6" w:val="clear"/>
            <w:tcMar>
              <w:top w:type="dxa" w:w="60"/>
              <w:left w:type="dxa" w:w="100"/>
              <w:bottom w:type="dxa" w:w="60"/>
              <w:right w:type="dxa" w:w="100"/>
            </w:tcMar>
          </w:tcPr>
          <w:p>
            <w:pPr>
              <w:jc w:val="left"/>
            </w:pPr>
            <w:r>
              <w:rPr>
                <w:b w:val="false"/>
                <w:bCs w:val="false"/>
                <w:color w:val="000000"/>
                <w:sz w:val="20"/>
                <w:szCs w:val="20"/>
              </w:rPr>
              <w:t xml:space="preserve">*</w:t>
            </w:r>
          </w:p>
        </w:tc>
        <w:tc>
          <w:tcPr>
            <w:tcW w:type="dxa" w:w="1300"/>
            <w:shd w:fill="DEEAF6" w:val="clear"/>
            <w:tcMar>
              <w:top w:type="dxa" w:w="60"/>
              <w:left w:type="dxa" w:w="100"/>
              <w:bottom w:type="dxa" w:w="60"/>
              <w:right w:type="dxa" w:w="100"/>
            </w:tcMar>
          </w:tcPr>
          <w:p>
            <w:pPr>
              <w:jc w:val="left"/>
            </w:pPr>
            <w:r>
              <w:rPr>
                <w:b w:val="false"/>
                <w:bCs w:val="false"/>
                <w:color w:val="000000"/>
                <w:sz w:val="20"/>
                <w:szCs w:val="20"/>
              </w:rPr>
              <w:t xml:space="preserve">Denegar</w:t>
            </w:r>
          </w:p>
        </w:tc>
      </w:tr>
    </w:tbl>
    <w:p>
      <w:pPr>
        <w:spacing w:after="120"/>
      </w:pPr>
    </w:p>
    <w:p>
      <w:pPr>
        <w:pStyle w:val="Heading2"/>
        <w:spacing w:after="120" w:before="240"/>
      </w:pPr>
      <w:r>
        <w:rPr>
          <w:b/>
          <w:bCs/>
          <w:color w:val="2E74B5"/>
          <w:sz w:val="24"/>
          <w:szCs w:val="24"/>
        </w:rPr>
        <w:t xml:space="preserve">5.3 nsg-mgmt (asociar a snet-mgmt)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100"/>
        <w:gridCol w:w="1300"/>
        <w:gridCol w:w="2600"/>
        <w:gridCol w:w="1300"/>
      </w:tblGrid>
      <w:tr>
        <w:trPr>
          <w:tblHeader/>
        </w:trPr>
        <w:tc>
          <w:tcPr>
            <w:tcW w:type="dxa" w:w="2600"/>
            <w:shd w:fill="1F3864" w:val="clear"/>
            <w:tcMar>
              <w:top w:type="dxa" w:w="60"/>
              <w:left w:type="dxa" w:w="100"/>
              <w:bottom w:type="dxa" w:w="60"/>
              <w:right w:type="dxa" w:w="100"/>
            </w:tcMar>
          </w:tcPr>
          <w:p>
            <w:pPr>
              <w:jc w:val="left"/>
            </w:pPr>
            <w:r>
              <w:rPr>
                <w:b/>
                <w:bCs/>
                <w:color w:val="FFFFFF"/>
                <w:sz w:val="20"/>
                <w:szCs w:val="20"/>
              </w:rPr>
              <w:t xml:space="preserve">Nombre regla</w:t>
            </w:r>
          </w:p>
        </w:tc>
        <w:tc>
          <w:tcPr>
            <w:tcW w:type="dxa" w:w="1000"/>
            <w:shd w:fill="1F3864" w:val="clear"/>
            <w:tcMar>
              <w:top w:type="dxa" w:w="60"/>
              <w:left w:type="dxa" w:w="100"/>
              <w:bottom w:type="dxa" w:w="60"/>
              <w:right w:type="dxa" w:w="100"/>
            </w:tcMar>
          </w:tcPr>
          <w:p>
            <w:pPr>
              <w:jc w:val="left"/>
            </w:pPr>
            <w:r>
              <w:rPr>
                <w:b/>
                <w:bCs/>
                <w:color w:val="FFFFFF"/>
                <w:sz w:val="20"/>
                <w:szCs w:val="20"/>
              </w:rPr>
              <w:t xml:space="preserve">Prioridad</w:t>
            </w:r>
          </w:p>
        </w:tc>
        <w:tc>
          <w:tcPr>
            <w:tcW w:type="dxa" w:w="1100"/>
            <w:shd w:fill="1F3864" w:val="clear"/>
            <w:tcMar>
              <w:top w:type="dxa" w:w="60"/>
              <w:left w:type="dxa" w:w="100"/>
              <w:bottom w:type="dxa" w:w="60"/>
              <w:right w:type="dxa" w:w="100"/>
            </w:tcMar>
          </w:tcPr>
          <w:p>
            <w:pPr>
              <w:jc w:val="left"/>
            </w:pPr>
            <w:r>
              <w:rPr>
                <w:b/>
                <w:bCs/>
                <w:color w:val="FFFFFF"/>
                <w:sz w:val="20"/>
                <w:szCs w:val="20"/>
              </w:rPr>
              <w:t xml:space="preserve">Dirección</w:t>
            </w:r>
          </w:p>
        </w:tc>
        <w:tc>
          <w:tcPr>
            <w:tcW w:type="dxa" w:w="1300"/>
            <w:shd w:fill="1F3864" w:val="clear"/>
            <w:tcMar>
              <w:top w:type="dxa" w:w="60"/>
              <w:left w:type="dxa" w:w="100"/>
              <w:bottom w:type="dxa" w:w="60"/>
              <w:right w:type="dxa" w:w="100"/>
            </w:tcMar>
          </w:tcPr>
          <w:p>
            <w:pPr>
              <w:jc w:val="left"/>
            </w:pPr>
            <w:r>
              <w:rPr>
                <w:b/>
                <w:bCs/>
                <w:color w:val="FFFFFF"/>
                <w:sz w:val="20"/>
                <w:szCs w:val="20"/>
              </w:rPr>
              <w:t xml:space="preserve">Puerto(s)</w:t>
            </w:r>
          </w:p>
        </w:tc>
        <w:tc>
          <w:tcPr>
            <w:tcW w:type="dxa" w:w="2600"/>
            <w:shd w:fill="1F3864" w:val="clear"/>
            <w:tcMar>
              <w:top w:type="dxa" w:w="60"/>
              <w:left w:type="dxa" w:w="100"/>
              <w:bottom w:type="dxa" w:w="60"/>
              <w:right w:type="dxa" w:w="100"/>
            </w:tcMar>
          </w:tcPr>
          <w:p>
            <w:pPr>
              <w:jc w:val="left"/>
            </w:pPr>
            <w:r>
              <w:rPr>
                <w:b/>
                <w:bCs/>
                <w:color w:val="FFFFFF"/>
                <w:sz w:val="20"/>
                <w:szCs w:val="20"/>
              </w:rPr>
              <w:t xml:space="preserve">Origen</w:t>
            </w:r>
          </w:p>
        </w:tc>
        <w:tc>
          <w:tcPr>
            <w:tcW w:type="dxa" w:w="1300"/>
            <w:shd w:fill="1F3864" w:val="clear"/>
            <w:tcMar>
              <w:top w:type="dxa" w:w="60"/>
              <w:left w:type="dxa" w:w="100"/>
              <w:bottom w:type="dxa" w:w="60"/>
              <w:right w:type="dxa" w:w="100"/>
            </w:tcMar>
          </w:tcPr>
          <w:p>
            <w:pPr>
              <w:jc w:val="left"/>
            </w:pPr>
            <w:r>
              <w:rPr>
                <w:b/>
                <w:bCs/>
                <w:color w:val="FFFFFF"/>
                <w:sz w:val="20"/>
                <w:szCs w:val="20"/>
              </w:rPr>
              <w:t xml:space="preserve">Acción</w:t>
            </w:r>
          </w:p>
        </w:tc>
      </w:tr>
      <w:tr>
        <w:tc>
          <w:tcPr>
            <w:tcW w:type="dxa" w:w="2600"/>
            <w:shd w:fill="DEEAF6" w:val="clear"/>
            <w:tcMar>
              <w:top w:type="dxa" w:w="60"/>
              <w:left w:type="dxa" w:w="100"/>
              <w:bottom w:type="dxa" w:w="60"/>
              <w:right w:type="dxa" w:w="100"/>
            </w:tcMar>
          </w:tcPr>
          <w:p>
            <w:pPr>
              <w:jc w:val="left"/>
            </w:pPr>
            <w:r>
              <w:rPr>
                <w:b w:val="false"/>
                <w:bCs w:val="false"/>
                <w:color w:val="000000"/>
                <w:sz w:val="20"/>
                <w:szCs w:val="20"/>
              </w:rPr>
              <w:t xml:space="preserve">Allow-Bastion-RDP-SSH</w:t>
            </w:r>
          </w:p>
        </w:tc>
        <w:tc>
          <w:tcPr>
            <w:tcW w:type="dxa" w:w="1000"/>
            <w:shd w:fill="DEEAF6" w:val="clear"/>
            <w:tcMar>
              <w:top w:type="dxa" w:w="60"/>
              <w:left w:type="dxa" w:w="100"/>
              <w:bottom w:type="dxa" w:w="60"/>
              <w:right w:type="dxa" w:w="100"/>
            </w:tcMar>
          </w:tcPr>
          <w:p>
            <w:pPr>
              <w:jc w:val="left"/>
            </w:pPr>
            <w:r>
              <w:rPr>
                <w:b w:val="false"/>
                <w:bCs w:val="false"/>
                <w:color w:val="000000"/>
                <w:sz w:val="20"/>
                <w:szCs w:val="20"/>
              </w:rPr>
              <w:t xml:space="preserve">100</w:t>
            </w:r>
          </w:p>
        </w:tc>
        <w:tc>
          <w:tcPr>
            <w:tcW w:type="dxa" w:w="1100"/>
            <w:shd w:fill="DEEAF6" w:val="clear"/>
            <w:tcMar>
              <w:top w:type="dxa" w:w="60"/>
              <w:left w:type="dxa" w:w="100"/>
              <w:bottom w:type="dxa" w:w="60"/>
              <w:right w:type="dxa" w:w="100"/>
            </w:tcMar>
          </w:tcPr>
          <w:p>
            <w:pPr>
              <w:jc w:val="left"/>
            </w:pPr>
            <w:r>
              <w:rPr>
                <w:b w:val="false"/>
                <w:bCs w:val="false"/>
                <w:color w:val="000000"/>
                <w:sz w:val="20"/>
                <w:szCs w:val="20"/>
              </w:rPr>
              <w:t xml:space="preserve">Entrante</w:t>
            </w:r>
          </w:p>
        </w:tc>
        <w:tc>
          <w:tcPr>
            <w:tcW w:type="dxa" w:w="1300"/>
            <w:shd w:fill="DEEAF6" w:val="clear"/>
            <w:tcMar>
              <w:top w:type="dxa" w:w="60"/>
              <w:left w:type="dxa" w:w="100"/>
              <w:bottom w:type="dxa" w:w="60"/>
              <w:right w:type="dxa" w:w="100"/>
            </w:tcMar>
          </w:tcPr>
          <w:p>
            <w:pPr>
              <w:jc w:val="left"/>
            </w:pPr>
            <w:r>
              <w:rPr>
                <w:b w:val="false"/>
                <w:bCs w:val="false"/>
                <w:color w:val="000000"/>
                <w:sz w:val="20"/>
                <w:szCs w:val="20"/>
              </w:rPr>
              <w:t xml:space="preserve">3389, 22</w:t>
            </w:r>
          </w:p>
        </w:tc>
        <w:tc>
          <w:tcPr>
            <w:tcW w:type="dxa" w:w="2600"/>
            <w:shd w:fill="DEEAF6" w:val="clear"/>
            <w:tcMar>
              <w:top w:type="dxa" w:w="60"/>
              <w:left w:type="dxa" w:w="100"/>
              <w:bottom w:type="dxa" w:w="60"/>
              <w:right w:type="dxa" w:w="100"/>
            </w:tcMar>
          </w:tcPr>
          <w:p>
            <w:pPr>
              <w:jc w:val="left"/>
            </w:pPr>
            <w:r>
              <w:rPr>
                <w:b w:val="false"/>
                <w:bCs w:val="false"/>
                <w:color w:val="000000"/>
                <w:sz w:val="20"/>
                <w:szCs w:val="20"/>
              </w:rPr>
              <w:t xml:space="preserve">AzureBastionSubnet (10.10.3.0/26)</w:t>
            </w:r>
          </w:p>
        </w:tc>
        <w:tc>
          <w:tcPr>
            <w:tcW w:type="dxa" w:w="1300"/>
            <w:shd w:fill="DEEAF6" w:val="clear"/>
            <w:tcMar>
              <w:top w:type="dxa" w:w="60"/>
              <w:left w:type="dxa" w:w="100"/>
              <w:bottom w:type="dxa" w:w="60"/>
              <w:right w:type="dxa" w:w="100"/>
            </w:tcMar>
          </w:tcPr>
          <w:p>
            <w:pPr>
              <w:jc w:val="left"/>
            </w:pPr>
            <w:r>
              <w:rPr>
                <w:b w:val="false"/>
                <w:bCs w:val="false"/>
                <w:color w:val="000000"/>
                <w:sz w:val="20"/>
                <w:szCs w:val="20"/>
              </w:rPr>
              <w:t xml:space="preserve">Permitir</w:t>
            </w:r>
          </w:p>
        </w:tc>
      </w:tr>
    </w:tbl>
    <w:p>
      <w:pPr>
        <w:pBdr>
          <w:left w:val="single" w:color="C00000" w:sz="24" w:space="8"/>
        </w:pBdr>
        <w:shd w:fill="FDEDED" w:val="clear"/>
        <w:spacing w:after="160" w:before="80"/>
        <w:ind w:left="120"/>
      </w:pPr>
      <w:r>
        <w:rPr>
          <w:b/>
          <w:bCs/>
          <w:color w:val="C00000"/>
          <w:sz w:val="22"/>
          <w:szCs w:val="22"/>
        </w:rPr>
        <w:t xml:space="preserve">Nota: </w:t>
      </w:r>
      <w:r>
        <w:rPr>
          <w:i/>
          <w:iCs/>
          <w:sz w:val="22"/>
          <w:szCs w:val="22"/>
        </w:rPr>
        <w:t xml:space="preserve">Las reglas por defecto de Azure (AllowVnetInBound, AllowAzureLoadBalancerInBound, DenyAllInBound, etc.) permanecen debajo de las reglas personalizadas y no requieren modificación.</w:t>
      </w:r>
    </w:p>
    <w:p>
      <w:pPr>
        <w:spacing w:after="120"/>
      </w:pPr>
    </w:p>
    <w:p>
      <w:pPr>
        <w:pStyle w:val="Heading1"/>
        <w:pBdr>
          <w:bottom w:val="single" w:color="2E74B5" w:sz="8" w:space="4"/>
        </w:pBdr>
        <w:spacing w:after="160" w:before="360"/>
      </w:pPr>
      <w:r>
        <w:rPr>
          <w:b/>
          <w:bCs/>
          <w:color w:val="1F3864"/>
          <w:sz w:val="30"/>
          <w:szCs w:val="30"/>
        </w:rPr>
        <w:t xml:space="preserve">6. Crear la VM Servidor de Aplicación</w:t>
      </w:r>
    </w:p>
    <w:p>
      <w:pPr>
        <w:spacing w:after="120"/>
      </w:pPr>
      <w:r>
        <w:rPr>
          <w:sz w:val="22"/>
          <w:szCs w:val="22"/>
        </w:rPr>
        <w:t xml:space="preserve">Ir a "Máquinas virtuales" → "+ Crear" → "Máquina virtual de Azure".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60"/>
              <w:left w:type="dxa" w:w="100"/>
              <w:bottom w:type="dxa" w:w="60"/>
              <w:right w:type="dxa" w:w="100"/>
            </w:tcMar>
          </w:tcPr>
          <w:p>
            <w:pPr>
              <w:jc w:val="left"/>
            </w:pPr>
            <w:r>
              <w:rPr>
                <w:b/>
                <w:bCs/>
                <w:color w:val="FFFFFF"/>
                <w:sz w:val="20"/>
                <w:szCs w:val="20"/>
              </w:rPr>
              <w:t xml:space="preserve">Campo</w:t>
            </w:r>
          </w:p>
        </w:tc>
        <w:tc>
          <w:tcPr>
            <w:tcW w:type="dxa" w:w="6300"/>
            <w:shd w:fill="1F3864" w:val="clear"/>
            <w:tcMar>
              <w:top w:type="dxa" w:w="60"/>
              <w:left w:type="dxa" w:w="100"/>
              <w:bottom w:type="dxa" w:w="60"/>
              <w:right w:type="dxa" w:w="100"/>
            </w:tcMar>
          </w:tcPr>
          <w:p>
            <w:pPr>
              <w:jc w:val="left"/>
            </w:pPr>
            <w:r>
              <w:rPr>
                <w:b/>
                <w:bCs/>
                <w:color w:val="FFFFFF"/>
                <w:sz w:val="20"/>
                <w:szCs w:val="20"/>
              </w:rPr>
              <w:t xml:space="preserve">Valor</w:t>
            </w:r>
          </w:p>
        </w:tc>
      </w:tr>
      <w:tr>
        <w:tc>
          <w:tcPr>
            <w:tcW w:type="dxa" w:w="3200"/>
            <w:shd w:fill="DEEAF6" w:val="clear"/>
            <w:tcMar>
              <w:top w:type="dxa" w:w="60"/>
              <w:left w:type="dxa" w:w="100"/>
              <w:bottom w:type="dxa" w:w="60"/>
              <w:right w:type="dxa" w:w="100"/>
            </w:tcMar>
          </w:tcPr>
          <w:p>
            <w:pPr>
              <w:jc w:val="left"/>
            </w:pPr>
            <w:r>
              <w:rPr>
                <w:b w:val="false"/>
                <w:bCs w:val="false"/>
                <w:color w:val="000000"/>
                <w:sz w:val="20"/>
                <w:szCs w:val="20"/>
              </w:rPr>
              <w:t xml:space="preserve">Nombre de la VM</w:t>
            </w:r>
          </w:p>
        </w:tc>
        <w:tc>
          <w:tcPr>
            <w:tcW w:type="dxa" w:w="6300"/>
            <w:shd w:fill="DEEAF6" w:val="clear"/>
            <w:tcMar>
              <w:top w:type="dxa" w:w="60"/>
              <w:left w:type="dxa" w:w="100"/>
              <w:bottom w:type="dxa" w:w="60"/>
              <w:right w:type="dxa" w:w="100"/>
            </w:tcMar>
          </w:tcPr>
          <w:p>
            <w:pPr>
              <w:jc w:val="left"/>
            </w:pPr>
            <w:r>
              <w:rPr>
                <w:b w:val="false"/>
                <w:bCs w:val="false"/>
                <w:color w:val="000000"/>
                <w:sz w:val="20"/>
                <w:szCs w:val="20"/>
              </w:rPr>
              <w:t xml:space="preserve">contoso-vm-app</w:t>
            </w:r>
          </w:p>
        </w:tc>
      </w:tr>
      <w:tr>
        <w:tc>
          <w:tcPr>
            <w:tcW w:type="dxa" w:w="3200"/>
            <w:shd w:fill="FFFFFF" w:val="clear"/>
            <w:tcMar>
              <w:top w:type="dxa" w:w="60"/>
              <w:left w:type="dxa" w:w="100"/>
              <w:bottom w:type="dxa" w:w="60"/>
              <w:right w:type="dxa" w:w="100"/>
            </w:tcMar>
          </w:tcPr>
          <w:p>
            <w:pPr>
              <w:jc w:val="left"/>
            </w:pPr>
            <w:r>
              <w:rPr>
                <w:b w:val="false"/>
                <w:bCs w:val="false"/>
                <w:color w:val="000000"/>
                <w:sz w:val="20"/>
                <w:szCs w:val="20"/>
              </w:rPr>
              <w:t xml:space="preserve">Región / Grupo de recursos</w:t>
            </w:r>
          </w:p>
        </w:tc>
        <w:tc>
          <w:tcPr>
            <w:tcW w:type="dxa" w:w="6300"/>
            <w:shd w:fill="FFFFFF" w:val="clear"/>
            <w:tcMar>
              <w:top w:type="dxa" w:w="60"/>
              <w:left w:type="dxa" w:w="100"/>
              <w:bottom w:type="dxa" w:w="60"/>
              <w:right w:type="dxa" w:w="100"/>
            </w:tcMar>
          </w:tcPr>
          <w:p>
            <w:pPr>
              <w:jc w:val="left"/>
            </w:pPr>
            <w:r>
              <w:rPr>
                <w:b w:val="false"/>
                <w:bCs w:val="false"/>
                <w:color w:val="000000"/>
                <w:sz w:val="20"/>
                <w:szCs w:val="20"/>
              </w:rPr>
              <w:t xml:space="preserve">Los mismos definidos en el paso 3</w:t>
            </w:r>
          </w:p>
        </w:tc>
      </w:tr>
      <w:tr>
        <w:tc>
          <w:tcPr>
            <w:tcW w:type="dxa" w:w="3200"/>
            <w:shd w:fill="DEEAF6" w:val="clear"/>
            <w:tcMar>
              <w:top w:type="dxa" w:w="60"/>
              <w:left w:type="dxa" w:w="100"/>
              <w:bottom w:type="dxa" w:w="60"/>
              <w:right w:type="dxa" w:w="100"/>
            </w:tcMar>
          </w:tcPr>
          <w:p>
            <w:pPr>
              <w:jc w:val="left"/>
            </w:pPr>
            <w:r>
              <w:rPr>
                <w:b w:val="false"/>
                <w:bCs w:val="false"/>
                <w:color w:val="000000"/>
                <w:sz w:val="20"/>
                <w:szCs w:val="20"/>
              </w:rPr>
              <w:t xml:space="preserve">Imagen</w:t>
            </w:r>
          </w:p>
        </w:tc>
        <w:tc>
          <w:tcPr>
            <w:tcW w:type="dxa" w:w="6300"/>
            <w:shd w:fill="DEEAF6" w:val="clear"/>
            <w:tcMar>
              <w:top w:type="dxa" w:w="60"/>
              <w:left w:type="dxa" w:w="100"/>
              <w:bottom w:type="dxa" w:w="60"/>
              <w:right w:type="dxa" w:w="100"/>
            </w:tcMar>
          </w:tcPr>
          <w:p>
            <w:pPr>
              <w:jc w:val="left"/>
            </w:pPr>
            <w:r>
              <w:rPr>
                <w:b w:val="false"/>
                <w:bCs w:val="false"/>
                <w:color w:val="000000"/>
                <w:sz w:val="20"/>
                <w:szCs w:val="20"/>
              </w:rPr>
              <w:t xml:space="preserve">Windows Server 2025 Datacenter: Azure Edition</w:t>
            </w:r>
          </w:p>
        </w:tc>
      </w:tr>
      <w:tr>
        <w:tc>
          <w:tcPr>
            <w:tcW w:type="dxa" w:w="3200"/>
            <w:shd w:fill="FFFFFF" w:val="clear"/>
            <w:tcMar>
              <w:top w:type="dxa" w:w="60"/>
              <w:left w:type="dxa" w:w="100"/>
              <w:bottom w:type="dxa" w:w="60"/>
              <w:right w:type="dxa" w:w="100"/>
            </w:tcMar>
          </w:tcPr>
          <w:p>
            <w:pPr>
              <w:jc w:val="left"/>
            </w:pPr>
            <w:r>
              <w:rPr>
                <w:b w:val="false"/>
                <w:bCs w:val="false"/>
                <w:color w:val="000000"/>
                <w:sz w:val="20"/>
                <w:szCs w:val="20"/>
              </w:rPr>
              <w:t xml:space="preserve">Tamaño</w:t>
            </w:r>
          </w:p>
        </w:tc>
        <w:tc>
          <w:tcPr>
            <w:tcW w:type="dxa" w:w="6300"/>
            <w:shd w:fill="FFFFFF" w:val="clear"/>
            <w:tcMar>
              <w:top w:type="dxa" w:w="60"/>
              <w:left w:type="dxa" w:w="100"/>
              <w:bottom w:type="dxa" w:w="60"/>
              <w:right w:type="dxa" w:w="100"/>
            </w:tcMar>
          </w:tcPr>
          <w:p>
            <w:pPr>
              <w:jc w:val="left"/>
            </w:pPr>
            <w:r>
              <w:rPr>
                <w:b w:val="false"/>
                <w:bCs w:val="false"/>
                <w:color w:val="000000"/>
                <w:sz w:val="20"/>
                <w:szCs w:val="20"/>
              </w:rPr>
              <w:t xml:space="preserve">Standard_DC16ds_v3 (16 vCPU, 128 GB RAM)</w:t>
            </w:r>
          </w:p>
        </w:tc>
      </w:tr>
      <w:tr>
        <w:tc>
          <w:tcPr>
            <w:tcW w:type="dxa" w:w="3200"/>
            <w:shd w:fill="DEEAF6" w:val="clear"/>
            <w:tcMar>
              <w:top w:type="dxa" w:w="60"/>
              <w:left w:type="dxa" w:w="100"/>
              <w:bottom w:type="dxa" w:w="60"/>
              <w:right w:type="dxa" w:w="100"/>
            </w:tcMar>
          </w:tcPr>
          <w:p>
            <w:pPr>
              <w:jc w:val="left"/>
            </w:pPr>
            <w:r>
              <w:rPr>
                <w:b w:val="false"/>
                <w:bCs w:val="false"/>
                <w:color w:val="000000"/>
                <w:sz w:val="20"/>
                <w:szCs w:val="20"/>
              </w:rPr>
              <w:t xml:space="preserve">Usuario / Contraseña admin.</w:t>
            </w:r>
          </w:p>
        </w:tc>
        <w:tc>
          <w:tcPr>
            <w:tcW w:type="dxa" w:w="6300"/>
            <w:shd w:fill="DEEAF6" w:val="clear"/>
            <w:tcMar>
              <w:top w:type="dxa" w:w="60"/>
              <w:left w:type="dxa" w:w="100"/>
              <w:bottom w:type="dxa" w:w="60"/>
              <w:right w:type="dxa" w:w="100"/>
            </w:tcMar>
          </w:tcPr>
          <w:p>
            <w:pPr>
              <w:jc w:val="left"/>
            </w:pPr>
            <w:r>
              <w:rPr>
                <w:b w:val="false"/>
                <w:bCs w:val="false"/>
                <w:color w:val="000000"/>
                <w:sz w:val="20"/>
                <w:szCs w:val="20"/>
              </w:rPr>
              <w:t xml:space="preserve">Los definidos en prerrequisitos (no reutilizar)</w:t>
            </w:r>
          </w:p>
        </w:tc>
      </w:tr>
      <w:tr>
        <w:tc>
          <w:tcPr>
            <w:tcW w:type="dxa" w:w="3200"/>
            <w:shd w:fill="FFFFFF" w:val="clear"/>
            <w:tcMar>
              <w:top w:type="dxa" w:w="60"/>
              <w:left w:type="dxa" w:w="100"/>
              <w:bottom w:type="dxa" w:w="60"/>
              <w:right w:type="dxa" w:w="100"/>
            </w:tcMar>
          </w:tcPr>
          <w:p>
            <w:pPr>
              <w:jc w:val="left"/>
            </w:pPr>
            <w:r>
              <w:rPr>
                <w:b w:val="false"/>
                <w:bCs w:val="false"/>
                <w:color w:val="000000"/>
                <w:sz w:val="20"/>
                <w:szCs w:val="20"/>
              </w:rPr>
              <w:t xml:space="preserve">Licencia</w:t>
            </w:r>
          </w:p>
        </w:tc>
        <w:tc>
          <w:tcPr>
            <w:tcW w:type="dxa" w:w="6300"/>
            <w:shd w:fill="FFFFFF" w:val="clear"/>
            <w:tcMar>
              <w:top w:type="dxa" w:w="60"/>
              <w:left w:type="dxa" w:w="100"/>
              <w:bottom w:type="dxa" w:w="60"/>
              <w:right w:type="dxa" w:w="100"/>
            </w:tcMar>
          </w:tcPr>
          <w:p>
            <w:pPr>
              <w:jc w:val="left"/>
            </w:pPr>
            <w:r>
              <w:rPr>
                <w:b w:val="false"/>
                <w:bCs w:val="false"/>
                <w:color w:val="000000"/>
                <w:sz w:val="20"/>
                <w:szCs w:val="20"/>
              </w:rPr>
              <w:t xml:space="preserve">Pago por uso (incluida), 730 horas/mes</w:t>
            </w:r>
          </w:p>
        </w:tc>
      </w:tr>
      <w:tr>
        <w:tc>
          <w:tcPr>
            <w:tcW w:type="dxa" w:w="3200"/>
            <w:shd w:fill="DEEAF6" w:val="clear"/>
            <w:tcMar>
              <w:top w:type="dxa" w:w="60"/>
              <w:left w:type="dxa" w:w="100"/>
              <w:bottom w:type="dxa" w:w="60"/>
              <w:right w:type="dxa" w:w="100"/>
            </w:tcMar>
          </w:tcPr>
          <w:p>
            <w:pPr>
              <w:jc w:val="left"/>
            </w:pPr>
            <w:r>
              <w:rPr>
                <w:b w:val="false"/>
                <w:bCs w:val="false"/>
                <w:color w:val="000000"/>
                <w:sz w:val="20"/>
                <w:szCs w:val="20"/>
              </w:rPr>
              <w:t xml:space="preserve">Red / Subred</w:t>
            </w:r>
          </w:p>
        </w:tc>
        <w:tc>
          <w:tcPr>
            <w:tcW w:type="dxa" w:w="6300"/>
            <w:shd w:fill="DEEAF6" w:val="clear"/>
            <w:tcMar>
              <w:top w:type="dxa" w:w="60"/>
              <w:left w:type="dxa" w:w="100"/>
              <w:bottom w:type="dxa" w:w="60"/>
              <w:right w:type="dxa" w:w="100"/>
            </w:tcMar>
          </w:tcPr>
          <w:p>
            <w:pPr>
              <w:jc w:val="left"/>
            </w:pPr>
            <w:r>
              <w:rPr>
                <w:b w:val="false"/>
                <w:bCs w:val="false"/>
                <w:color w:val="000000"/>
                <w:sz w:val="20"/>
                <w:szCs w:val="20"/>
              </w:rPr>
              <w:t xml:space="preserve">contoso-vnet / snet-app (10.10.10.0/24)</w:t>
            </w:r>
          </w:p>
        </w:tc>
      </w:tr>
      <w:tr>
        <w:tc>
          <w:tcPr>
            <w:tcW w:type="dxa" w:w="3200"/>
            <w:shd w:fill="FFFFFF" w:val="clear"/>
            <w:tcMar>
              <w:top w:type="dxa" w:w="60"/>
              <w:left w:type="dxa" w:w="100"/>
              <w:bottom w:type="dxa" w:w="60"/>
              <w:right w:type="dxa" w:w="100"/>
            </w:tcMar>
          </w:tcPr>
          <w:p>
            <w:pPr>
              <w:jc w:val="left"/>
            </w:pPr>
            <w:r>
              <w:rPr>
                <w:b w:val="false"/>
                <w:bCs w:val="false"/>
                <w:color w:val="000000"/>
                <w:sz w:val="20"/>
                <w:szCs w:val="20"/>
              </w:rPr>
              <w:t xml:space="preserve">IP pública</w:t>
            </w:r>
          </w:p>
        </w:tc>
        <w:tc>
          <w:tcPr>
            <w:tcW w:type="dxa" w:w="6300"/>
            <w:shd w:fill="FFFFFF" w:val="clear"/>
            <w:tcMar>
              <w:top w:type="dxa" w:w="60"/>
              <w:left w:type="dxa" w:w="100"/>
              <w:bottom w:type="dxa" w:w="60"/>
              <w:right w:type="dxa" w:w="100"/>
            </w:tcMar>
          </w:tcPr>
          <w:p>
            <w:pPr>
              <w:jc w:val="left"/>
            </w:pPr>
            <w:r>
              <w:rPr>
                <w:b w:val="false"/>
                <w:bCs w:val="false"/>
                <w:color w:val="000000"/>
                <w:sz w:val="20"/>
                <w:szCs w:val="20"/>
              </w:rPr>
              <w:t xml:space="preserve">Ninguna (solo accesible vía Application Gateway y Bastion)</w:t>
            </w:r>
          </w:p>
        </w:tc>
      </w:tr>
      <w:tr>
        <w:tc>
          <w:tcPr>
            <w:tcW w:type="dxa" w:w="3200"/>
            <w:shd w:fill="DEEAF6" w:val="clear"/>
            <w:tcMar>
              <w:top w:type="dxa" w:w="60"/>
              <w:left w:type="dxa" w:w="100"/>
              <w:bottom w:type="dxa" w:w="60"/>
              <w:right w:type="dxa" w:w="100"/>
            </w:tcMar>
          </w:tcPr>
          <w:p>
            <w:pPr>
              <w:jc w:val="left"/>
            </w:pPr>
            <w:r>
              <w:rPr>
                <w:b w:val="false"/>
                <w:bCs w:val="false"/>
                <w:color w:val="000000"/>
                <w:sz w:val="20"/>
                <w:szCs w:val="20"/>
              </w:rPr>
              <w:t xml:space="preserve">NSG del NIC</w:t>
            </w:r>
          </w:p>
        </w:tc>
        <w:tc>
          <w:tcPr>
            <w:tcW w:type="dxa" w:w="6300"/>
            <w:shd w:fill="DEEAF6" w:val="clear"/>
            <w:tcMar>
              <w:top w:type="dxa" w:w="60"/>
              <w:left w:type="dxa" w:w="100"/>
              <w:bottom w:type="dxa" w:w="60"/>
              <w:right w:type="dxa" w:w="100"/>
            </w:tcMar>
          </w:tcPr>
          <w:p>
            <w:pPr>
              <w:jc w:val="left"/>
            </w:pPr>
            <w:r>
              <w:rPr>
                <w:b w:val="false"/>
                <w:bCs w:val="false"/>
                <w:color w:val="000000"/>
                <w:sz w:val="20"/>
                <w:szCs w:val="20"/>
              </w:rPr>
              <w:t xml:space="preserve">Ninguno adicional (se usa el de la subred, nsg-app)</w:t>
            </w:r>
          </w:p>
        </w:tc>
      </w:tr>
    </w:tbl>
    <w:p>
      <w:pPr>
        <w:spacing w:after="120"/>
      </w:pPr>
    </w:p>
    <w:p>
      <w:pPr>
        <w:pStyle w:val="ListParagraph"/>
        <w:numPr>
          <w:ilvl w:val="0"/>
          <w:numId w:val="5"/>
        </w:numPr>
        <w:spacing w:after="100"/>
      </w:pPr>
      <w:r>
        <w:rPr>
          <w:sz w:val="22"/>
          <w:szCs w:val="22"/>
        </w:rPr>
        <w:t xml:space="preserve">Pestaña "Discos": tipo de disco del SO = SSD Premium; en "Discos de datos" agregar dos discos administrados nuevos: uno de 1024 GB (LUN 0, uso Aplicativo) y otro de 512 GB (LUN 1, uso Logs), ambos SSD Premium.</w:t>
      </w:r>
    </w:p>
    <w:p>
      <w:pPr>
        <w:pStyle w:val="ListParagraph"/>
        <w:numPr>
          <w:ilvl w:val="0"/>
          <w:numId w:val="5"/>
        </w:numPr>
        <w:spacing w:after="100"/>
      </w:pPr>
      <w:r>
        <w:rPr>
          <w:sz w:val="22"/>
          <w:szCs w:val="22"/>
        </w:rPr>
        <w:t xml:space="preserve">Pestaña "Redes": seleccionar la subred snet-app; en "IP pública" elegir "Ninguna"; dejar el balanceador de carga sin configurar (el backend será el Application Gateway).</w:t>
      </w:r>
    </w:p>
    <w:p>
      <w:pPr>
        <w:pStyle w:val="ListParagraph"/>
        <w:numPr>
          <w:ilvl w:val="0"/>
          <w:numId w:val="5"/>
        </w:numPr>
        <w:spacing w:after="100"/>
      </w:pPr>
      <w:r>
        <w:rPr>
          <w:sz w:val="22"/>
          <w:szCs w:val="22"/>
        </w:rPr>
        <w:t xml:space="preserve">Pestaña "Monitorización": habilitar Azure Monitor / diagnósticos de arranque; se recomienda instalar después la extensión "Azure Monitor Windows Agent" desde "Extensiones + aplicaciones" de la VM.</w:t>
      </w:r>
    </w:p>
    <w:p>
      <w:pPr>
        <w:pStyle w:val="ListParagraph"/>
        <w:numPr>
          <w:ilvl w:val="0"/>
          <w:numId w:val="5"/>
        </w:numPr>
        <w:spacing w:after="100"/>
      </w:pPr>
      <w:r>
        <w:rPr>
          <w:sz w:val="22"/>
          <w:szCs w:val="22"/>
        </w:rPr>
        <w:t xml:space="preserve">Pestaña "Etiquetas": aplicar las etiquetas corporativas y agregar Rol=ServidorAplicacion.</w:t>
      </w:r>
    </w:p>
    <w:p>
      <w:pPr>
        <w:pStyle w:val="ListParagraph"/>
        <w:numPr>
          <w:ilvl w:val="0"/>
          <w:numId w:val="5"/>
        </w:numPr>
        <w:spacing w:after="100"/>
      </w:pPr>
      <w:r>
        <w:rPr>
          <w:sz w:val="22"/>
          <w:szCs w:val="22"/>
        </w:rPr>
        <w:t xml:space="preserve">Revisar y crear. Esperar a que finalice el aprovisionamiento.</w:t>
      </w:r>
    </w:p>
    <w:p>
      <w:pPr>
        <w:pStyle w:val="ListParagraph"/>
        <w:numPr>
          <w:ilvl w:val="0"/>
          <w:numId w:val="5"/>
        </w:numPr>
        <w:spacing w:after="100"/>
      </w:pPr>
      <w:r>
        <w:rPr>
          <w:sz w:val="22"/>
          <w:szCs w:val="22"/>
        </w:rPr>
        <w:t xml:space="preserve">Post-aprovisionamiento (fuera de este alcance, a cargo del equipo de implementación): instalar MS Office Profesional y habilitar Terminal Services/RDS según se requiera.</w:t>
      </w:r>
    </w:p>
    <w:p>
      <w:pPr>
        <w:spacing w:after="200"/>
      </w:pPr>
    </w:p>
    <w:p>
      <w:pPr>
        <w:pStyle w:val="Heading1"/>
        <w:pBdr>
          <w:bottom w:val="single" w:color="2E74B5" w:sz="8" w:space="4"/>
        </w:pBdr>
        <w:spacing w:after="160" w:before="360"/>
      </w:pPr>
      <w:r>
        <w:rPr>
          <w:b/>
          <w:bCs/>
          <w:color w:val="1F3864"/>
          <w:sz w:val="30"/>
          <w:szCs w:val="30"/>
        </w:rPr>
        <w:t xml:space="preserve">7. Crear la VM Servidor de Base de Datos</w:t>
      </w:r>
    </w:p>
    <w:p>
      <w:pPr>
        <w:spacing w:after="120"/>
      </w:pPr>
      <w:r>
        <w:rPr>
          <w:sz w:val="22"/>
          <w:szCs w:val="22"/>
        </w:rPr>
        <w:t xml:space="preserve">Ir a "Máquinas virtuales" → "+ Crear" → "Máquina virtual de Azure".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60"/>
              <w:left w:type="dxa" w:w="100"/>
              <w:bottom w:type="dxa" w:w="60"/>
              <w:right w:type="dxa" w:w="100"/>
            </w:tcMar>
          </w:tcPr>
          <w:p>
            <w:pPr>
              <w:jc w:val="left"/>
            </w:pPr>
            <w:r>
              <w:rPr>
                <w:b/>
                <w:bCs/>
                <w:color w:val="FFFFFF"/>
                <w:sz w:val="20"/>
                <w:szCs w:val="20"/>
              </w:rPr>
              <w:t xml:space="preserve">Campo</w:t>
            </w:r>
          </w:p>
        </w:tc>
        <w:tc>
          <w:tcPr>
            <w:tcW w:type="dxa" w:w="6300"/>
            <w:shd w:fill="1F3864" w:val="clear"/>
            <w:tcMar>
              <w:top w:type="dxa" w:w="60"/>
              <w:left w:type="dxa" w:w="100"/>
              <w:bottom w:type="dxa" w:w="60"/>
              <w:right w:type="dxa" w:w="100"/>
            </w:tcMar>
          </w:tcPr>
          <w:p>
            <w:pPr>
              <w:jc w:val="left"/>
            </w:pPr>
            <w:r>
              <w:rPr>
                <w:b/>
                <w:bCs/>
                <w:color w:val="FFFFFF"/>
                <w:sz w:val="20"/>
                <w:szCs w:val="20"/>
              </w:rPr>
              <w:t xml:space="preserve">Valor</w:t>
            </w:r>
          </w:p>
        </w:tc>
      </w:tr>
      <w:tr>
        <w:tc>
          <w:tcPr>
            <w:tcW w:type="dxa" w:w="3200"/>
            <w:shd w:fill="DEEAF6" w:val="clear"/>
            <w:tcMar>
              <w:top w:type="dxa" w:w="60"/>
              <w:left w:type="dxa" w:w="100"/>
              <w:bottom w:type="dxa" w:w="60"/>
              <w:right w:type="dxa" w:w="100"/>
            </w:tcMar>
          </w:tcPr>
          <w:p>
            <w:pPr>
              <w:jc w:val="left"/>
            </w:pPr>
            <w:r>
              <w:rPr>
                <w:b w:val="false"/>
                <w:bCs w:val="false"/>
                <w:color w:val="000000"/>
                <w:sz w:val="20"/>
                <w:szCs w:val="20"/>
              </w:rPr>
              <w:t xml:space="preserve">Nombre de la VM</w:t>
            </w:r>
          </w:p>
        </w:tc>
        <w:tc>
          <w:tcPr>
            <w:tcW w:type="dxa" w:w="6300"/>
            <w:shd w:fill="DEEAF6" w:val="clear"/>
            <w:tcMar>
              <w:top w:type="dxa" w:w="60"/>
              <w:left w:type="dxa" w:w="100"/>
              <w:bottom w:type="dxa" w:w="60"/>
              <w:right w:type="dxa" w:w="100"/>
            </w:tcMar>
          </w:tcPr>
          <w:p>
            <w:pPr>
              <w:jc w:val="left"/>
            </w:pPr>
            <w:r>
              <w:rPr>
                <w:b w:val="false"/>
                <w:bCs w:val="false"/>
                <w:color w:val="000000"/>
                <w:sz w:val="20"/>
                <w:szCs w:val="20"/>
              </w:rPr>
              <w:t xml:space="preserve">contoso-vm-db</w:t>
            </w:r>
          </w:p>
        </w:tc>
      </w:tr>
      <w:tr>
        <w:tc>
          <w:tcPr>
            <w:tcW w:type="dxa" w:w="3200"/>
            <w:shd w:fill="FFFFFF" w:val="clear"/>
            <w:tcMar>
              <w:top w:type="dxa" w:w="60"/>
              <w:left w:type="dxa" w:w="100"/>
              <w:bottom w:type="dxa" w:w="60"/>
              <w:right w:type="dxa" w:w="100"/>
            </w:tcMar>
          </w:tcPr>
          <w:p>
            <w:pPr>
              <w:jc w:val="left"/>
            </w:pPr>
            <w:r>
              <w:rPr>
                <w:b w:val="false"/>
                <w:bCs w:val="false"/>
                <w:color w:val="000000"/>
                <w:sz w:val="20"/>
                <w:szCs w:val="20"/>
              </w:rPr>
              <w:t xml:space="preserve">Imagen</w:t>
            </w:r>
          </w:p>
        </w:tc>
        <w:tc>
          <w:tcPr>
            <w:tcW w:type="dxa" w:w="6300"/>
            <w:shd w:fill="FFFFFF" w:val="clear"/>
            <w:tcMar>
              <w:top w:type="dxa" w:w="60"/>
              <w:left w:type="dxa" w:w="100"/>
              <w:bottom w:type="dxa" w:w="60"/>
              <w:right w:type="dxa" w:w="100"/>
            </w:tcMar>
          </w:tcPr>
          <w:p>
            <w:pPr>
              <w:jc w:val="left"/>
            </w:pPr>
            <w:r>
              <w:rPr>
                <w:b w:val="false"/>
                <w:bCs w:val="false"/>
                <w:color w:val="000000"/>
                <w:sz w:val="20"/>
                <w:szCs w:val="20"/>
              </w:rPr>
              <w:t xml:space="preserve">SQL Server 2022 Standard sobre Windows Server 2025 (marketplace)</w:t>
            </w:r>
          </w:p>
        </w:tc>
      </w:tr>
      <w:tr>
        <w:tc>
          <w:tcPr>
            <w:tcW w:type="dxa" w:w="3200"/>
            <w:shd w:fill="DEEAF6" w:val="clear"/>
            <w:tcMar>
              <w:top w:type="dxa" w:w="60"/>
              <w:left w:type="dxa" w:w="100"/>
              <w:bottom w:type="dxa" w:w="60"/>
              <w:right w:type="dxa" w:w="100"/>
            </w:tcMar>
          </w:tcPr>
          <w:p>
            <w:pPr>
              <w:jc w:val="left"/>
            </w:pPr>
            <w:r>
              <w:rPr>
                <w:b w:val="false"/>
                <w:bCs w:val="false"/>
                <w:color w:val="000000"/>
                <w:sz w:val="20"/>
                <w:szCs w:val="20"/>
              </w:rPr>
              <w:t xml:space="preserve">Tamaño</w:t>
            </w:r>
          </w:p>
        </w:tc>
        <w:tc>
          <w:tcPr>
            <w:tcW w:type="dxa" w:w="6300"/>
            <w:shd w:fill="DEEAF6" w:val="clear"/>
            <w:tcMar>
              <w:top w:type="dxa" w:w="60"/>
              <w:left w:type="dxa" w:w="100"/>
              <w:bottom w:type="dxa" w:w="60"/>
              <w:right w:type="dxa" w:w="100"/>
            </w:tcMar>
          </w:tcPr>
          <w:p>
            <w:pPr>
              <w:jc w:val="left"/>
            </w:pPr>
            <w:r>
              <w:rPr>
                <w:b w:val="false"/>
                <w:bCs w:val="false"/>
                <w:color w:val="000000"/>
                <w:sz w:val="20"/>
                <w:szCs w:val="20"/>
              </w:rPr>
              <w:t xml:space="preserve">Standard_D8as_v5 (8 vCPU, 32 GB RAM)</w:t>
            </w:r>
          </w:p>
        </w:tc>
      </w:tr>
      <w:tr>
        <w:tc>
          <w:tcPr>
            <w:tcW w:type="dxa" w:w="3200"/>
            <w:shd w:fill="FFFFFF" w:val="clear"/>
            <w:tcMar>
              <w:top w:type="dxa" w:w="60"/>
              <w:left w:type="dxa" w:w="100"/>
              <w:bottom w:type="dxa" w:w="60"/>
              <w:right w:type="dxa" w:w="100"/>
            </w:tcMar>
          </w:tcPr>
          <w:p>
            <w:pPr>
              <w:jc w:val="left"/>
            </w:pPr>
            <w:r>
              <w:rPr>
                <w:b w:val="false"/>
                <w:bCs w:val="false"/>
                <w:color w:val="000000"/>
                <w:sz w:val="20"/>
                <w:szCs w:val="20"/>
              </w:rPr>
              <w:t xml:space="preserve">Usuario / Contraseña admin.</w:t>
            </w:r>
          </w:p>
        </w:tc>
        <w:tc>
          <w:tcPr>
            <w:tcW w:type="dxa" w:w="6300"/>
            <w:shd w:fill="FFFFFF" w:val="clear"/>
            <w:tcMar>
              <w:top w:type="dxa" w:w="60"/>
              <w:left w:type="dxa" w:w="100"/>
              <w:bottom w:type="dxa" w:w="60"/>
              <w:right w:type="dxa" w:w="100"/>
            </w:tcMar>
          </w:tcPr>
          <w:p>
            <w:pPr>
              <w:jc w:val="left"/>
            </w:pPr>
            <w:r>
              <w:rPr>
                <w:b w:val="false"/>
                <w:bCs w:val="false"/>
                <w:color w:val="000000"/>
                <w:sz w:val="20"/>
                <w:szCs w:val="20"/>
              </w:rPr>
              <w:t xml:space="preserve">Los definidos en prerrequisitos</w:t>
            </w:r>
          </w:p>
        </w:tc>
      </w:tr>
      <w:tr>
        <w:tc>
          <w:tcPr>
            <w:tcW w:type="dxa" w:w="3200"/>
            <w:shd w:fill="DEEAF6" w:val="clear"/>
            <w:tcMar>
              <w:top w:type="dxa" w:w="60"/>
              <w:left w:type="dxa" w:w="100"/>
              <w:bottom w:type="dxa" w:w="60"/>
              <w:right w:type="dxa" w:w="100"/>
            </w:tcMar>
          </w:tcPr>
          <w:p>
            <w:pPr>
              <w:jc w:val="left"/>
            </w:pPr>
            <w:r>
              <w:rPr>
                <w:b w:val="false"/>
                <w:bCs w:val="false"/>
                <w:color w:val="000000"/>
                <w:sz w:val="20"/>
                <w:szCs w:val="20"/>
              </w:rPr>
              <w:t xml:space="preserve">Licenciamiento SQL Server</w:t>
            </w:r>
          </w:p>
        </w:tc>
        <w:tc>
          <w:tcPr>
            <w:tcW w:type="dxa" w:w="6300"/>
            <w:shd w:fill="DEEAF6" w:val="clear"/>
            <w:tcMar>
              <w:top w:type="dxa" w:w="60"/>
              <w:left w:type="dxa" w:w="100"/>
              <w:bottom w:type="dxa" w:w="60"/>
              <w:right w:type="dxa" w:w="100"/>
            </w:tcMar>
          </w:tcPr>
          <w:p>
            <w:pPr>
              <w:jc w:val="left"/>
            </w:pPr>
            <w:r>
              <w:rPr>
                <w:b w:val="false"/>
                <w:bCs w:val="false"/>
                <w:color w:val="000000"/>
                <w:sz w:val="20"/>
                <w:szCs w:val="20"/>
              </w:rPr>
              <w:t xml:space="preserve">Pago por uso (PAYG) — SQL Server Standard</w:t>
            </w:r>
          </w:p>
        </w:tc>
      </w:tr>
      <w:tr>
        <w:tc>
          <w:tcPr>
            <w:tcW w:type="dxa" w:w="3200"/>
            <w:shd w:fill="FFFFFF" w:val="clear"/>
            <w:tcMar>
              <w:top w:type="dxa" w:w="60"/>
              <w:left w:type="dxa" w:w="100"/>
              <w:bottom w:type="dxa" w:w="60"/>
              <w:right w:type="dxa" w:w="100"/>
            </w:tcMar>
          </w:tcPr>
          <w:p>
            <w:pPr>
              <w:jc w:val="left"/>
            </w:pPr>
            <w:r>
              <w:rPr>
                <w:b w:val="false"/>
                <w:bCs w:val="false"/>
                <w:color w:val="000000"/>
                <w:sz w:val="20"/>
                <w:szCs w:val="20"/>
              </w:rPr>
              <w:t xml:space="preserve">Red / Subred</w:t>
            </w:r>
          </w:p>
        </w:tc>
        <w:tc>
          <w:tcPr>
            <w:tcW w:type="dxa" w:w="6300"/>
            <w:shd w:fill="FFFFFF" w:val="clear"/>
            <w:tcMar>
              <w:top w:type="dxa" w:w="60"/>
              <w:left w:type="dxa" w:w="100"/>
              <w:bottom w:type="dxa" w:w="60"/>
              <w:right w:type="dxa" w:w="100"/>
            </w:tcMar>
          </w:tcPr>
          <w:p>
            <w:pPr>
              <w:jc w:val="left"/>
            </w:pPr>
            <w:r>
              <w:rPr>
                <w:b w:val="false"/>
                <w:bCs w:val="false"/>
                <w:color w:val="000000"/>
                <w:sz w:val="20"/>
                <w:szCs w:val="20"/>
              </w:rPr>
              <w:t xml:space="preserve">contoso-vnet / snet-db (10.10.20.0/24)</w:t>
            </w:r>
          </w:p>
        </w:tc>
      </w:tr>
      <w:tr>
        <w:tc>
          <w:tcPr>
            <w:tcW w:type="dxa" w:w="3200"/>
            <w:shd w:fill="DEEAF6" w:val="clear"/>
            <w:tcMar>
              <w:top w:type="dxa" w:w="60"/>
              <w:left w:type="dxa" w:w="100"/>
              <w:bottom w:type="dxa" w:w="60"/>
              <w:right w:type="dxa" w:w="100"/>
            </w:tcMar>
          </w:tcPr>
          <w:p>
            <w:pPr>
              <w:jc w:val="left"/>
            </w:pPr>
            <w:r>
              <w:rPr>
                <w:b w:val="false"/>
                <w:bCs w:val="false"/>
                <w:color w:val="000000"/>
                <w:sz w:val="20"/>
                <w:szCs w:val="20"/>
              </w:rPr>
              <w:t xml:space="preserve">IP pública</w:t>
            </w:r>
          </w:p>
        </w:tc>
        <w:tc>
          <w:tcPr>
            <w:tcW w:type="dxa" w:w="6300"/>
            <w:shd w:fill="DEEAF6" w:val="clear"/>
            <w:tcMar>
              <w:top w:type="dxa" w:w="60"/>
              <w:left w:type="dxa" w:w="100"/>
              <w:bottom w:type="dxa" w:w="60"/>
              <w:right w:type="dxa" w:w="100"/>
            </w:tcMar>
          </w:tcPr>
          <w:p>
            <w:pPr>
              <w:jc w:val="left"/>
            </w:pPr>
            <w:r>
              <w:rPr>
                <w:b w:val="false"/>
                <w:bCs w:val="false"/>
                <w:color w:val="000000"/>
                <w:sz w:val="20"/>
                <w:szCs w:val="20"/>
              </w:rPr>
              <w:t xml:space="preserve">Ninguna (solo alcanzable desde snet-app)</w:t>
            </w:r>
          </w:p>
        </w:tc>
      </w:tr>
    </w:tbl>
    <w:p>
      <w:pPr>
        <w:spacing w:after="120"/>
      </w:pPr>
    </w:p>
    <w:p>
      <w:pPr>
        <w:pStyle w:val="ListParagraph"/>
        <w:numPr>
          <w:ilvl w:val="0"/>
          <w:numId w:val="6"/>
        </w:numPr>
        <w:spacing w:after="100"/>
      </w:pPr>
      <w:r>
        <w:rPr>
          <w:sz w:val="22"/>
          <w:szCs w:val="22"/>
        </w:rPr>
        <w:t xml:space="preserve">Al elegir la imagen de marketplace "SQL Server 2022 on Windows Server 2025" (o la disponible en la región), aparecerá la pestaña adicional "Configuración de SQL Server".</w:t>
      </w:r>
    </w:p>
    <w:p>
      <w:pPr>
        <w:pStyle w:val="ListParagraph"/>
        <w:numPr>
          <w:ilvl w:val="0"/>
          <w:numId w:val="6"/>
        </w:numPr>
        <w:spacing w:after="100"/>
      </w:pPr>
      <w:r>
        <w:rPr>
          <w:sz w:val="22"/>
          <w:szCs w:val="22"/>
        </w:rPr>
        <w:t xml:space="preserve">En esa pestaña, seleccionar el modelo de licenciamiento "Pago por uso" (PAYG) para la edición Standard, conforme a la hoja de costos del cliente.</w:t>
      </w:r>
    </w:p>
    <w:p>
      <w:pPr>
        <w:pStyle w:val="ListParagraph"/>
        <w:numPr>
          <w:ilvl w:val="0"/>
          <w:numId w:val="6"/>
        </w:numPr>
        <w:spacing w:after="100"/>
      </w:pPr>
      <w:r>
        <w:rPr>
          <w:sz w:val="22"/>
          <w:szCs w:val="22"/>
        </w:rPr>
        <w:t xml:space="preserve">Pestaña "Discos": agregar disco de datos de 2048 GB (LUN 0, uso Base de Datos, caché "Solo lectura") y disco de 512 GB (LUN 1, uso Logs de transacciones, caché "Ninguno"), ambos SSD Premium.</w:t>
      </w:r>
    </w:p>
    <w:p>
      <w:pPr>
        <w:pStyle w:val="ListParagraph"/>
        <w:numPr>
          <w:ilvl w:val="0"/>
          <w:numId w:val="6"/>
        </w:numPr>
        <w:spacing w:after="100"/>
      </w:pPr>
      <w:r>
        <w:rPr>
          <w:sz w:val="22"/>
          <w:szCs w:val="22"/>
        </w:rPr>
        <w:t xml:space="preserve">Pestaña "Redes": subred snet-db, IP pública "Ninguna".</w:t>
      </w:r>
    </w:p>
    <w:p>
      <w:pPr>
        <w:pStyle w:val="ListParagraph"/>
        <w:numPr>
          <w:ilvl w:val="0"/>
          <w:numId w:val="6"/>
        </w:numPr>
        <w:spacing w:after="100"/>
      </w:pPr>
      <w:r>
        <w:rPr>
          <w:sz w:val="22"/>
          <w:szCs w:val="22"/>
        </w:rPr>
        <w:t xml:space="preserve">En "Configuración de SQL Server" → "Almacenamiento": asignar el disco LUN 0 a los datos de SQL (ruta sugerida F:\SQLData) y el LUN 1 al log (ruta sugerida G:\SQLLog); tipo de carga de trabajo "OLTP".</w:t>
      </w:r>
    </w:p>
    <w:p>
      <w:pPr>
        <w:pStyle w:val="ListParagraph"/>
        <w:numPr>
          <w:ilvl w:val="0"/>
          <w:numId w:val="6"/>
        </w:numPr>
        <w:spacing w:after="100"/>
      </w:pPr>
      <w:r>
        <w:rPr>
          <w:sz w:val="22"/>
          <w:szCs w:val="22"/>
        </w:rPr>
        <w:t xml:space="preserve">En "Aplicación de parches automatizada": habilitar, día domingo, ventana de mantenimiento a las 02:00 hrs., duración 60 minutos.</w:t>
      </w:r>
    </w:p>
    <w:p>
      <w:pPr>
        <w:pStyle w:val="ListParagraph"/>
        <w:numPr>
          <w:ilvl w:val="0"/>
          <w:numId w:val="6"/>
        </w:numPr>
        <w:spacing w:after="100"/>
      </w:pPr>
      <w:r>
        <w:rPr>
          <w:sz w:val="22"/>
          <w:szCs w:val="22"/>
        </w:rPr>
        <w:t xml:space="preserve">Pestaña "Etiquetas": aplicar etiquetas corporativas y Rol=ServidorBaseDeDatos.</w:t>
      </w:r>
    </w:p>
    <w:p>
      <w:pPr>
        <w:pStyle w:val="ListParagraph"/>
        <w:numPr>
          <w:ilvl w:val="0"/>
          <w:numId w:val="6"/>
        </w:numPr>
        <w:spacing w:after="100"/>
      </w:pPr>
      <w:r>
        <w:rPr>
          <w:sz w:val="22"/>
          <w:szCs w:val="22"/>
        </w:rPr>
        <w:t xml:space="preserve">Revisar y crear.</w:t>
      </w:r>
    </w:p>
    <w:p>
      <w:pPr>
        <w:pStyle w:val="ListParagraph"/>
        <w:numPr>
          <w:ilvl w:val="0"/>
          <w:numId w:val="6"/>
        </w:numPr>
        <w:spacing w:after="100"/>
      </w:pPr>
      <w:r>
        <w:rPr>
          <w:sz w:val="22"/>
          <w:szCs w:val="22"/>
        </w:rPr>
        <w:t xml:space="preserve">Verificar tras el aprovisionamiento que la VM aparezca registrada en "Máquinas virtuales SQL" (SQL virtual machines) dentro del portal, con administración "Completa" (Full).</w:t>
      </w:r>
    </w:p>
    <w:p>
      <w:pPr>
        <w:spacing w:after="200"/>
      </w:pPr>
    </w:p>
    <w:p>
      <w:pPr>
        <w:pStyle w:val="Heading1"/>
        <w:pBdr>
          <w:bottom w:val="single" w:color="2E74B5" w:sz="8" w:space="4"/>
        </w:pBdr>
        <w:spacing w:after="160" w:before="360"/>
      </w:pPr>
      <w:r>
        <w:rPr>
          <w:b/>
          <w:bCs/>
          <w:color w:val="1F3864"/>
          <w:sz w:val="30"/>
          <w:szCs w:val="30"/>
        </w:rPr>
        <w:t xml:space="preserve">8. Crear el Application Gateway (WAF_v2)</w:t>
      </w:r>
    </w:p>
    <w:p>
      <w:pPr>
        <w:pStyle w:val="ListParagraph"/>
        <w:numPr>
          <w:ilvl w:val="0"/>
          <w:numId w:val="7"/>
        </w:numPr>
        <w:spacing w:after="100"/>
      </w:pPr>
      <w:r>
        <w:rPr>
          <w:sz w:val="22"/>
          <w:szCs w:val="22"/>
        </w:rPr>
        <w:t xml:space="preserve">Crear primero la IP pública: "Direcciones IP públicas" → "+ Crear" → SKU Standard, asignación estática, zona-redundante (zonas 1, 2 y 3), nombre contoso-pip-appgw, con etiqueta DNS contoso-app.</w:t>
      </w:r>
    </w:p>
    <w:p>
      <w:pPr>
        <w:pStyle w:val="ListParagraph"/>
        <w:numPr>
          <w:ilvl w:val="0"/>
          <w:numId w:val="7"/>
        </w:numPr>
        <w:spacing w:after="100"/>
      </w:pPr>
      <w:r>
        <w:rPr>
          <w:sz w:val="22"/>
          <w:szCs w:val="22"/>
        </w:rPr>
        <w:t xml:space="preserve">Ir a "Application Gateway" → "+ Crear".</w:t>
      </w:r>
    </w:p>
    <w:p>
      <w:pPr>
        <w:pStyle w:val="ListParagraph"/>
        <w:numPr>
          <w:ilvl w:val="0"/>
          <w:numId w:val="7"/>
        </w:numPr>
        <w:spacing w:after="100"/>
      </w:pPr>
      <w:r>
        <w:rPr>
          <w:sz w:val="22"/>
          <w:szCs w:val="22"/>
        </w:rPr>
        <w:t xml:space="preserve">Pestaña "Básicos": nombre contoso-appgw, nivel WAF V2 (no usar Basic/v1, en retiro por Microsoft), habilitar autoescalado con capacidad mínima 1 y máxima 3, subred snet-appgw.</w:t>
      </w:r>
    </w:p>
    <w:p>
      <w:pPr>
        <w:pStyle w:val="ListParagraph"/>
        <w:numPr>
          <w:ilvl w:val="0"/>
          <w:numId w:val="7"/>
        </w:numPr>
        <w:spacing w:after="100"/>
      </w:pPr>
      <w:r>
        <w:rPr>
          <w:sz w:val="22"/>
          <w:szCs w:val="22"/>
        </w:rPr>
        <w:t xml:space="preserve">Pestaña "Frontends": tipo de IP frontend "Pública", seleccionar la IP contoso-pip-appgw creada.</w:t>
      </w:r>
    </w:p>
    <w:p>
      <w:pPr>
        <w:pStyle w:val="ListParagraph"/>
        <w:numPr>
          <w:ilvl w:val="0"/>
          <w:numId w:val="7"/>
        </w:numPr>
        <w:spacing w:after="100"/>
      </w:pPr>
      <w:r>
        <w:rPr>
          <w:sz w:val="22"/>
          <w:szCs w:val="22"/>
        </w:rPr>
        <w:t xml:space="preserve">Pestaña "Backends": crear un pool llamado appServerPool y agregar como destino la IP privada (o FQDN) de contoso-vm-app.</w:t>
      </w:r>
    </w:p>
    <w:p>
      <w:pPr>
        <w:pStyle w:val="ListParagraph"/>
        <w:numPr>
          <w:ilvl w:val="0"/>
          <w:numId w:val="7"/>
        </w:numPr>
        <w:spacing w:after="100"/>
      </w:pPr>
      <w:r>
        <w:rPr>
          <w:sz w:val="22"/>
          <w:szCs w:val="22"/>
        </w:rPr>
        <w:t xml:space="preserve">Pestaña "Configuración": crear una regla de enrutamiento httpsRoutingRule con:</w:t>
      </w:r>
    </w:p>
    <w:p>
      <w:pPr>
        <w:spacing w:after="120"/>
      </w:pPr>
      <w:r>
        <w:rPr>
          <w:b/>
          <w:bCs/>
          <w:sz w:val="22"/>
          <w:szCs w:val="22"/>
        </w:rPr>
        <w:t xml:space="preserve">     • Listener: </w:t>
      </w:r>
      <w:r>
        <w:rPr>
          <w:sz w:val="22"/>
          <w:szCs w:val="22"/>
        </w:rPr>
        <w:t xml:space="preserve">httpsListener, protocolo HTTPS, puerto 443, certificado TLS importado desde Key Vault (usando la identidad administrada con permiso de lectura) — no "Sin cifrado TLS".</w:t>
      </w:r>
    </w:p>
    <w:p>
      <w:pPr>
        <w:spacing w:after="120"/>
      </w:pPr>
      <w:r>
        <w:rPr>
          <w:b/>
          <w:bCs/>
          <w:sz w:val="22"/>
          <w:szCs w:val="22"/>
        </w:rPr>
        <w:t xml:space="preserve">     • Configuración de backend: </w:t>
      </w:r>
      <w:r>
        <w:rPr>
          <w:sz w:val="22"/>
          <w:szCs w:val="22"/>
        </w:rPr>
        <w:t xml:space="preserve">puerto 443, protocolo HTTPS, sin afinidad de cookies, "Utilizar nombre de host del backend" habilitado, tiempo de espera de solicitud 30 s.</w:t>
      </w:r>
    </w:p>
    <w:p>
      <w:pPr>
        <w:spacing w:after="120"/>
      </w:pPr>
      <w:r>
        <w:rPr>
          <w:b/>
          <w:bCs/>
          <w:sz w:val="22"/>
          <w:szCs w:val="22"/>
        </w:rPr>
        <w:t xml:space="preserve">     • Sondeo de estado personalizado: </w:t>
      </w:r>
      <w:r>
        <w:rPr>
          <w:sz w:val="22"/>
          <w:szCs w:val="22"/>
        </w:rPr>
        <w:t xml:space="preserve">protocolo HTTPS, ruta "/", intervalo 30 s, umbral no saludable 3.</w:t>
      </w:r>
    </w:p>
    <w:p>
      <w:pPr>
        <w:pStyle w:val="ListParagraph"/>
        <w:numPr>
          <w:ilvl w:val="0"/>
          <w:numId w:val="7"/>
        </w:numPr>
        <w:spacing w:after="100"/>
      </w:pPr>
      <w:r>
        <w:rPr>
          <w:sz w:val="22"/>
          <w:szCs w:val="22"/>
        </w:rPr>
        <w:t xml:space="preserve">Pestaña "Firewall de aplicaciones web (WAF)": habilitar WAF, modo "Prevención" (no "Detección"), conjunto de reglas administradas OWASP versión 3.2, revisión de cuerpo de solicitud habilitada, tamaño máximo 128 KB, límite de carga de archivos 100 MB.</w:t>
      </w:r>
    </w:p>
    <w:p>
      <w:pPr>
        <w:pStyle w:val="ListParagraph"/>
        <w:numPr>
          <w:ilvl w:val="0"/>
          <w:numId w:val="7"/>
        </w:numPr>
        <w:spacing w:after="100"/>
      </w:pPr>
      <w:r>
        <w:rPr>
          <w:sz w:val="22"/>
          <w:szCs w:val="22"/>
        </w:rPr>
        <w:t xml:space="preserve">Pestaña "Etiquetas": aplicar etiquetas corporativas.</w:t>
      </w:r>
    </w:p>
    <w:p>
      <w:pPr>
        <w:pStyle w:val="ListParagraph"/>
        <w:numPr>
          <w:ilvl w:val="0"/>
          <w:numId w:val="7"/>
        </w:numPr>
        <w:spacing w:after="100"/>
      </w:pPr>
      <w:r>
        <w:rPr>
          <w:sz w:val="22"/>
          <w:szCs w:val="22"/>
        </w:rPr>
        <w:t xml:space="preserve">Revisar y crear. El aprovisionamiento del Application Gateway puede tardar de 20 a 30 minutos.</w:t>
      </w:r>
    </w:p>
    <w:p>
      <w:pPr>
        <w:spacing w:after="200"/>
      </w:pPr>
    </w:p>
    <w:p>
      <w:pPr>
        <w:pStyle w:val="Heading1"/>
        <w:pBdr>
          <w:bottom w:val="single" w:color="2E74B5" w:sz="8" w:space="4"/>
        </w:pBdr>
        <w:spacing w:after="160" w:before="360"/>
      </w:pPr>
      <w:r>
        <w:rPr>
          <w:b/>
          <w:bCs/>
          <w:color w:val="1F3864"/>
          <w:sz w:val="30"/>
          <w:szCs w:val="30"/>
        </w:rPr>
        <w:t xml:space="preserve">9. Crear Azure Bastion (Opcional / Recomendado)</w:t>
      </w:r>
    </w:p>
    <w:p>
      <w:pPr>
        <w:pStyle w:val="ListParagraph"/>
        <w:numPr>
          <w:ilvl w:val="0"/>
          <w:numId w:val="8"/>
        </w:numPr>
        <w:spacing w:after="100"/>
      </w:pPr>
      <w:r>
        <w:rPr>
          <w:sz w:val="22"/>
          <w:szCs w:val="22"/>
        </w:rPr>
        <w:t xml:space="preserve">Crear la IP pública dedicada: SKU Standard, asignación estática, nombre contoso-pip-bastion.</w:t>
      </w:r>
    </w:p>
    <w:p>
      <w:pPr>
        <w:pStyle w:val="ListParagraph"/>
        <w:numPr>
          <w:ilvl w:val="0"/>
          <w:numId w:val="8"/>
        </w:numPr>
        <w:spacing w:after="100"/>
      </w:pPr>
      <w:r>
        <w:rPr>
          <w:sz w:val="22"/>
          <w:szCs w:val="22"/>
        </w:rPr>
        <w:t xml:space="preserve">Ir a "Bastions" → "+ Crear".</w:t>
      </w:r>
    </w:p>
    <w:p>
      <w:pPr>
        <w:pStyle w:val="ListParagraph"/>
        <w:numPr>
          <w:ilvl w:val="0"/>
          <w:numId w:val="8"/>
        </w:numPr>
        <w:spacing w:after="100"/>
      </w:pPr>
      <w:r>
        <w:rPr>
          <w:sz w:val="22"/>
          <w:szCs w:val="22"/>
        </w:rPr>
        <w:t xml:space="preserve">Seleccionar la VNet contoso-vnet (debe existir ya la subred AzureBastionSubnet creada en el paso 4).</w:t>
      </w:r>
    </w:p>
    <w:p>
      <w:pPr>
        <w:pStyle w:val="ListParagraph"/>
        <w:numPr>
          <w:ilvl w:val="0"/>
          <w:numId w:val="8"/>
        </w:numPr>
        <w:spacing w:after="100"/>
      </w:pPr>
      <w:r>
        <w:rPr>
          <w:sz w:val="22"/>
          <w:szCs w:val="22"/>
        </w:rPr>
        <w:t xml:space="preserve">Nivel (SKU): seleccionar Basic — conforme a la hoja de costos del cliente (730 horas, 5 GB de transferencia de datos de salida).</w:t>
      </w:r>
    </w:p>
    <w:p>
      <w:pPr>
        <w:pStyle w:val="ListParagraph"/>
        <w:numPr>
          <w:ilvl w:val="0"/>
          <w:numId w:val="8"/>
        </w:numPr>
        <w:spacing w:after="100"/>
      </w:pPr>
      <w:r>
        <w:rPr>
          <w:sz w:val="22"/>
          <w:szCs w:val="22"/>
        </w:rPr>
        <w:t xml:space="preserve">Nombre: contoso-bastion.</w:t>
      </w:r>
    </w:p>
    <w:p>
      <w:pPr>
        <w:pBdr>
          <w:left w:val="single" w:color="C00000" w:sz="24" w:space="8"/>
        </w:pBdr>
        <w:shd w:fill="FDEDED" w:val="clear"/>
        <w:spacing w:after="160" w:before="80"/>
        <w:ind w:left="120"/>
      </w:pPr>
      <w:r>
        <w:rPr>
          <w:b/>
          <w:bCs/>
          <w:color w:val="C00000"/>
          <w:sz w:val="22"/>
          <w:szCs w:val="22"/>
        </w:rPr>
        <w:t xml:space="preserve">Nota: </w:t>
      </w:r>
      <w:r>
        <w:rPr>
          <w:i/>
          <w:iCs/>
          <w:sz w:val="22"/>
          <w:szCs w:val="22"/>
        </w:rPr>
        <w:t xml:space="preserve">El SKU Basic no soporta túnel nativo (Native Client / "tunneling"), escalado por instancias ni Shareable Port. Si más adelante se requiere alguna de estas capacidades, será necesario escalar a Standard, lo que incrementa el costo mensual estimado en la hoja de costos.</w:t>
      </w:r>
    </w:p>
    <w:p>
      <w:pPr>
        <w:spacing w:after="120"/>
      </w:pPr>
    </w:p>
    <w:p>
      <w:pPr>
        <w:pStyle w:val="Heading1"/>
        <w:pBdr>
          <w:bottom w:val="single" w:color="2E74B5" w:sz="8" w:space="4"/>
        </w:pBdr>
        <w:spacing w:after="160" w:before="360"/>
      </w:pPr>
      <w:r>
        <w:rPr>
          <w:b/>
          <w:bCs/>
          <w:color w:val="1F3864"/>
          <w:sz w:val="30"/>
          <w:szCs w:val="30"/>
        </w:rPr>
        <w:t xml:space="preserve">10. Crear el VPN Gateway Site-to-Site (Opcional / Recomendado)</w:t>
      </w:r>
    </w:p>
    <w:p>
      <w:pPr>
        <w:pStyle w:val="ListParagraph"/>
        <w:numPr>
          <w:ilvl w:val="0"/>
          <w:numId w:val="9"/>
        </w:numPr>
        <w:spacing w:after="100"/>
      </w:pPr>
      <w:r>
        <w:rPr>
          <w:sz w:val="22"/>
          <w:szCs w:val="22"/>
        </w:rPr>
        <w:t xml:space="preserve">Crear la IP pública dedicada: SKU Standard, asignación estática, nombre contoso-pip-vpngw.</w:t>
      </w:r>
    </w:p>
    <w:p>
      <w:pPr>
        <w:pStyle w:val="ListParagraph"/>
        <w:numPr>
          <w:ilvl w:val="0"/>
          <w:numId w:val="9"/>
        </w:numPr>
        <w:spacing w:after="100"/>
      </w:pPr>
      <w:r>
        <w:rPr>
          <w:sz w:val="22"/>
          <w:szCs w:val="22"/>
        </w:rPr>
        <w:t xml:space="preserve">Ir a "Puertas de enlace de red virtual" → "+ Crear".</w:t>
      </w:r>
    </w:p>
    <w:p>
      <w:pPr>
        <w:pStyle w:val="ListParagraph"/>
        <w:numPr>
          <w:ilvl w:val="0"/>
          <w:numId w:val="9"/>
        </w:numPr>
        <w:spacing w:after="100"/>
      </w:pPr>
      <w:r>
        <w:rPr>
          <w:sz w:val="22"/>
          <w:szCs w:val="22"/>
        </w:rPr>
        <w:t xml:space="preserve">Nombre: contoso-vpngw. Región la misma del ambiente. Tipo de puerta de enlace: VPN. Tipo de VPN: Basado en rutas.</w:t>
      </w:r>
    </w:p>
    <w:p>
      <w:pPr>
        <w:pStyle w:val="ListParagraph"/>
        <w:numPr>
          <w:ilvl w:val="0"/>
          <w:numId w:val="9"/>
        </w:numPr>
        <w:spacing w:after="100"/>
      </w:pPr>
      <w:r>
        <w:rPr>
          <w:sz w:val="22"/>
          <w:szCs w:val="22"/>
        </w:rPr>
        <w:t xml:space="preserve">SKU: VpnGw1 (según hoja de costos del cliente).</w:t>
      </w:r>
    </w:p>
    <w:p>
      <w:pPr>
        <w:pStyle w:val="ListParagraph"/>
        <w:numPr>
          <w:ilvl w:val="0"/>
          <w:numId w:val="9"/>
        </w:numPr>
        <w:spacing w:after="100"/>
      </w:pPr>
      <w:r>
        <w:rPr>
          <w:sz w:val="22"/>
          <w:szCs w:val="22"/>
        </w:rPr>
        <w:t xml:space="preserve">Red virtual: contoso-vnet (la GatewaySubnet ya existe). IP pública: la creada en el paso 1 de esta sección.</w:t>
      </w:r>
    </w:p>
    <w:p>
      <w:pPr>
        <w:pStyle w:val="ListParagraph"/>
        <w:numPr>
          <w:ilvl w:val="0"/>
          <w:numId w:val="9"/>
        </w:numPr>
        <w:spacing w:after="100"/>
      </w:pPr>
      <w:r>
        <w:rPr>
          <w:sz w:val="22"/>
          <w:szCs w:val="22"/>
        </w:rPr>
        <w:t xml:space="preserve">Crear. El aprovisionamiento del Gateway puede tardar entre 30 y 45 minutos.</w:t>
      </w:r>
    </w:p>
    <w:p>
      <w:pPr>
        <w:pStyle w:val="ListParagraph"/>
        <w:numPr>
          <w:ilvl w:val="0"/>
          <w:numId w:val="9"/>
        </w:numPr>
        <w:spacing w:after="100"/>
      </w:pPr>
      <w:r>
        <w:rPr>
          <w:sz w:val="22"/>
          <w:szCs w:val="22"/>
        </w:rPr>
        <w:t xml:space="preserve">Por cada sucursal: crear un "Puerta de enlace de red local" (Local Network Gateway) con la IP pública del dispositivo VPN remoto y el rango de direcciones de esa sucursal.</w:t>
      </w:r>
    </w:p>
    <w:p>
      <w:pPr>
        <w:pStyle w:val="ListParagraph"/>
        <w:numPr>
          <w:ilvl w:val="0"/>
          <w:numId w:val="9"/>
        </w:numPr>
        <w:spacing w:after="100"/>
      </w:pPr>
      <w:r>
        <w:rPr>
          <w:sz w:val="22"/>
          <w:szCs w:val="22"/>
        </w:rPr>
        <w:t xml:space="preserve">Crear la "Conexión" tipo IPsec/IKEv2 entre contoso-vpngw y cada puerta de enlace local, usando la misma clave precompartida (PSK) configurada en ambos extremos.</w:t>
      </w:r>
    </w:p>
    <w:p>
      <w:pPr>
        <w:pStyle w:val="ListParagraph"/>
        <w:numPr>
          <w:ilvl w:val="0"/>
          <w:numId w:val="9"/>
        </w:numPr>
        <w:spacing w:after="100"/>
      </w:pPr>
      <w:r>
        <w:rPr>
          <w:sz w:val="22"/>
          <w:szCs w:val="22"/>
        </w:rPr>
        <w:t xml:space="preserve">Validar el estado de la conexión como "Conectado" desde la hoja "Conexiones" del VPN Gateway.</w:t>
      </w:r>
    </w:p>
    <w:p>
      <w:pPr>
        <w:spacing w:after="200"/>
      </w:pPr>
    </w:p>
    <w:p>
      <w:pPr>
        <w:pStyle w:val="Heading1"/>
        <w:pBdr>
          <w:bottom w:val="single" w:color="2E74B5" w:sz="8" w:space="4"/>
        </w:pBdr>
        <w:spacing w:after="160" w:before="360"/>
      </w:pPr>
      <w:r>
        <w:rPr>
          <w:b/>
          <w:bCs/>
          <w:color w:val="1F3864"/>
          <w:sz w:val="30"/>
          <w:szCs w:val="30"/>
        </w:rPr>
        <w:t xml:space="preserve">11. Configurar Azure Backup (Recovery Services Vault)</w:t>
      </w:r>
    </w:p>
    <w:p>
      <w:pPr>
        <w:pStyle w:val="ListParagraph"/>
        <w:numPr>
          <w:ilvl w:val="0"/>
          <w:numId w:val="10"/>
        </w:numPr>
        <w:spacing w:after="100"/>
      </w:pPr>
      <w:r>
        <w:rPr>
          <w:sz w:val="22"/>
          <w:szCs w:val="22"/>
        </w:rPr>
        <w:t xml:space="preserve">Ir a "Recovery Services vaults" → "+ Crear". Nombre: contoso-rsv.</w:t>
      </w:r>
    </w:p>
    <w:p>
      <w:pPr>
        <w:pStyle w:val="ListParagraph"/>
        <w:numPr>
          <w:ilvl w:val="0"/>
          <w:numId w:val="10"/>
        </w:numPr>
        <w:spacing w:after="100"/>
      </w:pPr>
      <w:r>
        <w:rPr>
          <w:sz w:val="22"/>
          <w:szCs w:val="22"/>
        </w:rPr>
        <w:t xml:space="preserve">Una vez creado, entrar a "Propiedades" → "Configuración de copia de seguridad" y establecer: Replicación de almacenamiento = Localmente redundante (LRS); mantener habilitadas la eliminación temporal (soft delete) y la seguridad mejorada (MUA).</w:t>
      </w:r>
    </w:p>
    <w:p>
      <w:pPr>
        <w:pStyle w:val="ListParagraph"/>
        <w:numPr>
          <w:ilvl w:val="0"/>
          <w:numId w:val="10"/>
        </w:numPr>
        <w:spacing w:after="100"/>
      </w:pPr>
      <w:r>
        <w:rPr>
          <w:sz w:val="22"/>
          <w:szCs w:val="22"/>
        </w:rPr>
        <w:t xml:space="preserve">Ir a "Directivas de copia de seguridad" → "+ Agregar" → tipo "Máquina virtual de Azure". Nombre: contoso-backup-policy.</w:t>
      </w:r>
    </w:p>
    <w:p>
      <w:pPr>
        <w:pStyle w:val="ListParagraph"/>
        <w:numPr>
          <w:ilvl w:val="0"/>
          <w:numId w:val="10"/>
        </w:numPr>
        <w:spacing w:after="100"/>
      </w:pPr>
      <w:r>
        <w:rPr>
          <w:sz w:val="22"/>
          <w:szCs w:val="22"/>
        </w:rPr>
        <w:t xml:space="preserve">Programación: frecuencia diaria, hora de respaldo 05:00 UTC.</w:t>
      </w:r>
    </w:p>
    <w:p>
      <w:pPr>
        <w:pStyle w:val="ListParagraph"/>
        <w:numPr>
          <w:ilvl w:val="0"/>
          <w:numId w:val="10"/>
        </w:numPr>
        <w:spacing w:after="100"/>
      </w:pPr>
      <w:r>
        <w:rPr>
          <w:sz w:val="22"/>
          <w:szCs w:val="22"/>
        </w:rPr>
        <w:t xml:space="preserve">Retención: diaria 30 días; semanal (domingo) 12 semanas; mensual (primer domingo del mes) 12 meses.</w:t>
      </w:r>
    </w:p>
    <w:p>
      <w:pPr>
        <w:pStyle w:val="ListParagraph"/>
        <w:numPr>
          <w:ilvl w:val="0"/>
          <w:numId w:val="10"/>
        </w:numPr>
        <w:spacing w:after="100"/>
      </w:pPr>
      <w:r>
        <w:rPr>
          <w:sz w:val="22"/>
          <w:szCs w:val="22"/>
        </w:rPr>
        <w:t xml:space="preserve">Ir a "Copia de seguridad" → "+ Copia de seguridad" → tipo "Máquina virtual de Azure", seleccionar la directiva contoso-backup-policy.</w:t>
      </w:r>
    </w:p>
    <w:p>
      <w:pPr>
        <w:pStyle w:val="ListParagraph"/>
        <w:numPr>
          <w:ilvl w:val="0"/>
          <w:numId w:val="10"/>
        </w:numPr>
        <w:spacing w:after="100"/>
      </w:pPr>
      <w:r>
        <w:rPr>
          <w:sz w:val="22"/>
          <w:szCs w:val="22"/>
        </w:rPr>
        <w:t xml:space="preserve">Seleccionar ambas VMs (contoso-vm-app y contoso-vm-db) para protegerlas y confirmar.</w:t>
      </w:r>
    </w:p>
    <w:p>
      <w:pPr>
        <w:spacing w:after="200"/>
      </w:pPr>
    </w:p>
    <w:p>
      <w:pPr>
        <w:pStyle w:val="Heading1"/>
        <w:pBdr>
          <w:bottom w:val="single" w:color="2E74B5" w:sz="8" w:space="4"/>
        </w:pBdr>
        <w:spacing w:after="160" w:before="360"/>
      </w:pPr>
      <w:r>
        <w:rPr>
          <w:b/>
          <w:bCs/>
          <w:color w:val="1F3864"/>
          <w:sz w:val="30"/>
          <w:szCs w:val="30"/>
        </w:rPr>
        <w:t xml:space="preserve">12. Configurar Azure Monitor y Log Analytics</w:t>
      </w:r>
    </w:p>
    <w:p>
      <w:pPr>
        <w:pStyle w:val="ListParagraph"/>
        <w:numPr>
          <w:ilvl w:val="0"/>
          <w:numId w:val="11"/>
        </w:numPr>
        <w:spacing w:after="100"/>
      </w:pPr>
      <w:r>
        <w:rPr>
          <w:sz w:val="22"/>
          <w:szCs w:val="22"/>
        </w:rPr>
        <w:t xml:space="preserve">Ir a "Espacios de trabajo de Log Analytics" → "+ Crear". Nombre: contoso-law. SKU: PerGB2018. Retención: 30 días.</w:t>
      </w:r>
    </w:p>
    <w:p>
      <w:pPr>
        <w:pStyle w:val="ListParagraph"/>
        <w:numPr>
          <w:ilvl w:val="0"/>
          <w:numId w:val="11"/>
        </w:numPr>
        <w:spacing w:after="100"/>
      </w:pPr>
      <w:r>
        <w:rPr>
          <w:sz w:val="22"/>
          <w:szCs w:val="22"/>
        </w:rPr>
        <w:t xml:space="preserve">En "Uso y costos estimados" → "Límite diario", establecer una cuota de 10 GB/día, conforme a la hoja de costos del cliente.</w:t>
      </w:r>
    </w:p>
    <w:p>
      <w:pPr>
        <w:pStyle w:val="ListParagraph"/>
        <w:numPr>
          <w:ilvl w:val="0"/>
          <w:numId w:val="11"/>
        </w:numPr>
        <w:spacing w:after="100"/>
      </w:pPr>
      <w:r>
        <w:rPr>
          <w:sz w:val="22"/>
          <w:szCs w:val="22"/>
        </w:rPr>
        <w:t xml:space="preserve">En cada VM (contoso-vm-app y contoso-vm-db) → "Extensiones + aplicaciones", instalar la extensión "Azure Monitor Windows Agent" y asociarla al espacio de trabajo contoso-law mediante una Regla de recopilación de datos (DCR).</w:t>
      </w:r>
    </w:p>
    <w:p>
      <w:pPr>
        <w:pStyle w:val="ListParagraph"/>
        <w:numPr>
          <w:ilvl w:val="0"/>
          <w:numId w:val="11"/>
        </w:numPr>
        <w:spacing w:after="100"/>
      </w:pPr>
      <w:r>
        <w:rPr>
          <w:sz w:val="22"/>
          <w:szCs w:val="22"/>
        </w:rPr>
        <w:t xml:space="preserve">Crear un Grupo de acciones: "Monitor" → "Alertas" → "Grupos de acciones" → "+ Crear". Nombre: contoso-ag-infra; agregar un receptor de tipo correo electrónico con el correo de notificación (por ejemplo ti@contoso.com).</w:t>
      </w:r>
    </w:p>
    <w:p>
      <w:pPr>
        <w:pStyle w:val="ListParagraph"/>
        <w:numPr>
          <w:ilvl w:val="0"/>
          <w:numId w:val="11"/>
        </w:numPr>
        <w:spacing w:after="100"/>
      </w:pPr>
      <w:r>
        <w:rPr>
          <w:sz w:val="22"/>
          <w:szCs w:val="22"/>
        </w:rPr>
        <w:t xml:space="preserve">Crear una Regla de alerta de disponibilidad por cada VM: condición "VM Availability Metric" &lt; 1, agregación promedio, ventana de evaluación 15 min., frecuencia 5 min., severidad 1 (crítica), acción = contoso-ag-infra.</w:t>
      </w:r>
    </w:p>
    <w:p>
      <w:pPr>
        <w:pStyle w:val="ListParagraph"/>
        <w:numPr>
          <w:ilvl w:val="0"/>
          <w:numId w:val="11"/>
        </w:numPr>
        <w:spacing w:after="100"/>
      </w:pPr>
      <w:r>
        <w:rPr>
          <w:sz w:val="22"/>
          <w:szCs w:val="22"/>
        </w:rPr>
        <w:t xml:space="preserve">Crear una Regla de alerta de CPU por cada VM: condición "Percentage CPU" &gt; 85, agregación promedio, ventana 15 min., frecuencia 5 min., severidad 2 (advertencia), acción = contoso-ag-infra.</w:t>
      </w:r>
    </w:p>
    <w:p>
      <w:pPr>
        <w:spacing w:after="200"/>
      </w:pPr>
    </w:p>
    <w:p>
      <w:pPr>
        <w:pStyle w:val="Heading1"/>
        <w:pBdr>
          <w:bottom w:val="single" w:color="2E74B5" w:sz="8" w:space="4"/>
        </w:pBdr>
        <w:spacing w:after="160" w:before="360"/>
      </w:pPr>
      <w:r>
        <w:rPr>
          <w:b/>
          <w:bCs/>
          <w:color w:val="1F3864"/>
          <w:sz w:val="30"/>
          <w:szCs w:val="30"/>
        </w:rPr>
        <w:t xml:space="preserve">13. Validación Final del Ambiente</w:t>
      </w:r>
    </w:p>
    <w:p>
      <w:pPr>
        <w:pStyle w:val="ListParagraph"/>
        <w:numPr>
          <w:ilvl w:val="0"/>
          <w:numId w:val="12"/>
        </w:numPr>
        <w:spacing w:after="100"/>
      </w:pPr>
      <w:r>
        <w:rPr>
          <w:sz w:val="22"/>
          <w:szCs w:val="22"/>
        </w:rPr>
        <w:t xml:space="preserve">Verificar que ambas VMs muestren estado "En ejecución" y que no tengan IP pública asignada.</w:t>
      </w:r>
    </w:p>
    <w:p>
      <w:pPr>
        <w:pStyle w:val="ListParagraph"/>
        <w:numPr>
          <w:ilvl w:val="0"/>
          <w:numId w:val="12"/>
        </w:numPr>
        <w:spacing w:after="100"/>
      </w:pPr>
      <w:r>
        <w:rPr>
          <w:sz w:val="22"/>
          <w:szCs w:val="22"/>
        </w:rPr>
        <w:t xml:space="preserve">Desde una máquina de administración, conectar vía Azure Bastion a cada VM usando RDP y validar el acceso con las credenciales de administrador.</w:t>
      </w:r>
    </w:p>
    <w:p>
      <w:pPr>
        <w:pStyle w:val="ListParagraph"/>
        <w:numPr>
          <w:ilvl w:val="0"/>
          <w:numId w:val="12"/>
        </w:numPr>
        <w:spacing w:after="100"/>
      </w:pPr>
      <w:r>
        <w:rPr>
          <w:sz w:val="22"/>
          <w:szCs w:val="22"/>
        </w:rPr>
        <w:t xml:space="preserve">Verificar que el Application Gateway muestre estado "Correcto" (Healthy) en su Backend Health, apuntando a la IP privada de contoso-vm-app.</w:t>
      </w:r>
    </w:p>
    <w:p>
      <w:pPr>
        <w:pStyle w:val="ListParagraph"/>
        <w:numPr>
          <w:ilvl w:val="0"/>
          <w:numId w:val="12"/>
        </w:numPr>
        <w:spacing w:after="100"/>
      </w:pPr>
      <w:r>
        <w:rPr>
          <w:sz w:val="22"/>
          <w:szCs w:val="22"/>
        </w:rPr>
        <w:t xml:space="preserve">Probar la URL pública / FQDN del Application Gateway por HTTPS y confirmar que el certificado TLS cargue correctamente y sin advertencias.</w:t>
      </w:r>
    </w:p>
    <w:p>
      <w:pPr>
        <w:pStyle w:val="ListParagraph"/>
        <w:numPr>
          <w:ilvl w:val="0"/>
          <w:numId w:val="12"/>
        </w:numPr>
        <w:spacing w:after="100"/>
      </w:pPr>
      <w:r>
        <w:rPr>
          <w:sz w:val="22"/>
          <w:szCs w:val="22"/>
        </w:rPr>
        <w:t xml:space="preserve">Si se desplegó VPN: confirmar que cada conexión Site-to-Site muestre estado "Conectado".</w:t>
      </w:r>
    </w:p>
    <w:p>
      <w:pPr>
        <w:pStyle w:val="ListParagraph"/>
        <w:numPr>
          <w:ilvl w:val="0"/>
          <w:numId w:val="12"/>
        </w:numPr>
        <w:spacing w:after="100"/>
      </w:pPr>
      <w:r>
        <w:rPr>
          <w:sz w:val="22"/>
          <w:szCs w:val="22"/>
        </w:rPr>
        <w:t xml:space="preserve">Confirmar en el Recovery Services Vault que ambas VMs aparezcan como "Protegidas" y que el primer respaldo se haya programado o ejecutado.</w:t>
      </w:r>
    </w:p>
    <w:p>
      <w:pPr>
        <w:pStyle w:val="ListParagraph"/>
        <w:numPr>
          <w:ilvl w:val="0"/>
          <w:numId w:val="12"/>
        </w:numPr>
        <w:spacing w:after="100"/>
      </w:pPr>
      <w:r>
        <w:rPr>
          <w:sz w:val="22"/>
          <w:szCs w:val="22"/>
        </w:rPr>
        <w:t xml:space="preserve">Confirmar en Log Analytics que estén llegando datos de ambas VMs (heartbeat) y que la alerta de prueba (deshabilitar/habilitar una VM) dispare una notificación al correo configurado.</w:t>
      </w:r>
    </w:p>
    <w:p>
      <w:pPr>
        <w:pStyle w:val="ListParagraph"/>
        <w:numPr>
          <w:ilvl w:val="0"/>
          <w:numId w:val="12"/>
        </w:numPr>
        <w:spacing w:after="100"/>
      </w:pPr>
      <w:r>
        <w:rPr>
          <w:sz w:val="22"/>
          <w:szCs w:val="22"/>
        </w:rPr>
        <w:t xml:space="preserve">Documentar en la bitácora del proyecto los nombres finales de los recursos, IPs asignadas y FQDN público resultante.</w:t>
      </w:r>
    </w:p>
    <w:p>
      <w:pPr>
        <w:spacing w:after="200"/>
      </w:pPr>
    </w:p>
    <w:p>
      <w:pPr>
        <w:pStyle w:val="Heading1"/>
        <w:pBdr>
          <w:bottom w:val="single" w:color="2E74B5" w:sz="8" w:space="4"/>
        </w:pBdr>
        <w:spacing w:after="160" w:before="360"/>
      </w:pPr>
      <w:r>
        <w:rPr>
          <w:b/>
          <w:bCs/>
          <w:color w:val="1F3864"/>
          <w:sz w:val="30"/>
          <w:szCs w:val="30"/>
        </w:rPr>
        <w:t xml:space="preserve">14. Recomendaciones de Seguridad</w:t>
      </w:r>
    </w:p>
    <w:p>
      <w:pPr>
        <w:pStyle w:val="ListParagraph"/>
        <w:numPr>
          <w:ilvl w:val="0"/>
          <w:numId w:val="2"/>
        </w:numPr>
        <w:spacing w:after="60"/>
      </w:pPr>
      <w:r>
        <w:rPr>
          <w:sz w:val="22"/>
          <w:szCs w:val="22"/>
        </w:rPr>
        <w:t xml:space="preserve">Nunca dejar contraseñas de administrador, claves precompartidas (PSK) del VPN ni cadenas de conexión en texto plano en documentos compartidos; usar Azure Key Vault y referencias seguras.</w:t>
      </w:r>
    </w:p>
    <w:p>
      <w:pPr>
        <w:pStyle w:val="ListParagraph"/>
        <w:numPr>
          <w:ilvl w:val="0"/>
          <w:numId w:val="2"/>
        </w:numPr>
        <w:spacing w:after="60"/>
      </w:pPr>
      <w:r>
        <w:rPr>
          <w:sz w:val="22"/>
          <w:szCs w:val="22"/>
        </w:rPr>
        <w:t xml:space="preserve">Restringir el acceso a Azure Bastion y al Key Vault mediante roles RBAC específicos (principio de menor privilegio).</w:t>
      </w:r>
    </w:p>
    <w:p>
      <w:pPr>
        <w:pStyle w:val="ListParagraph"/>
        <w:numPr>
          <w:ilvl w:val="0"/>
          <w:numId w:val="2"/>
        </w:numPr>
        <w:spacing w:after="60"/>
      </w:pPr>
      <w:r>
        <w:rPr>
          <w:sz w:val="22"/>
          <w:szCs w:val="22"/>
        </w:rPr>
        <w:t xml:space="preserve">Revisar periódicamente las reglas de los NSG y el modo del WAF (mantenerlo en "Prevención", no "Detección", en producción).</w:t>
      </w:r>
    </w:p>
    <w:p>
      <w:pPr>
        <w:pStyle w:val="ListParagraph"/>
        <w:numPr>
          <w:ilvl w:val="0"/>
          <w:numId w:val="2"/>
        </w:numPr>
        <w:spacing w:after="60"/>
      </w:pPr>
      <w:r>
        <w:rPr>
          <w:sz w:val="22"/>
          <w:szCs w:val="22"/>
        </w:rPr>
        <w:t xml:space="preserve">Programar la rotación de la contraseña de administrador local y del certificado TLS antes de su vencimiento.</w:t>
      </w:r>
    </w:p>
    <w:p>
      <w:pPr>
        <w:pStyle w:val="ListParagraph"/>
        <w:numPr>
          <w:ilvl w:val="0"/>
          <w:numId w:val="2"/>
        </w:numPr>
        <w:spacing w:after="60"/>
      </w:pPr>
      <w:r>
        <w:rPr>
          <w:sz w:val="22"/>
          <w:szCs w:val="22"/>
        </w:rPr>
        <w:t xml:space="preserve">Validar mensualmente el consumo real de Log Analytics contra la cuota de 10 GB/día para evitar cortes de ingesta o costos inesperados.</w:t>
      </w:r>
    </w:p>
    <w:p>
      <w:pPr>
        <w:spacing w:after="160"/>
      </w:pPr>
    </w:p>
    <w:p>
      <w:pPr>
        <w:spacing w:after="120"/>
      </w:pPr>
      <w:r>
        <w:rPr>
          <w:i/>
          <w:iCs/>
          <w:color w:val="595959"/>
          <w:sz w:val="22"/>
          <w:szCs w:val="22"/>
        </w:rPr>
        <w:t xml:space="preserve">Documento de referencia: proyecto Bicep "bicep-arquitectura-3niveles" y hoja de costos "0_1-Info_Infra_01.csv". Ante cualquier discrepancia entre esta guía y una versión más reciente del proyecto de código, prevalece el código.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60"/>
      </w:pPr>
    </w:lvl>
  </w:abstractNum>
  <w:abstractNum w:abstractNumId="4" w15:restartNumberingAfterBreak="0">
    <w:multiLevelType w:val="hybridMultilevel"/>
    <w:lvl w:ilvl="0" w15:tentative="1">
      <w:start w:val="1"/>
      <w:numFmt w:val="decimal"/>
      <w:lvlText w:val="%1."/>
      <w:lvlJc w:val="left"/>
      <w:pPr>
        <w:ind w:left="460" w:hanging="360"/>
      </w:pPr>
    </w:lvl>
  </w:abstractNum>
  <w:abstractNum w:abstractNumId="5" w15:restartNumberingAfterBreak="0">
    <w:multiLevelType w:val="hybridMultilevel"/>
    <w:lvl w:ilvl="0" w15:tentative="1">
      <w:start w:val="1"/>
      <w:numFmt w:val="decimal"/>
      <w:lvlText w:val="%1."/>
      <w:lvlJc w:val="left"/>
      <w:pPr>
        <w:ind w:left="460" w:hanging="360"/>
      </w:pPr>
    </w:lvl>
  </w:abstractNum>
  <w:abstractNum w:abstractNumId="6" w15:restartNumberingAfterBreak="0">
    <w:multiLevelType w:val="hybridMultilevel"/>
    <w:lvl w:ilvl="0" w15:tentative="1">
      <w:start w:val="1"/>
      <w:numFmt w:val="decimal"/>
      <w:lvlText w:val="%1."/>
      <w:lvlJc w:val="left"/>
      <w:pPr>
        <w:ind w:left="460" w:hanging="360"/>
      </w:pPr>
    </w:lvl>
  </w:abstractNum>
  <w:abstractNum w:abstractNumId="7" w15:restartNumberingAfterBreak="0">
    <w:multiLevelType w:val="hybridMultilevel"/>
    <w:lvl w:ilvl="0" w15:tentative="1">
      <w:start w:val="1"/>
      <w:numFmt w:val="decimal"/>
      <w:lvlText w:val="%1."/>
      <w:lvlJc w:val="left"/>
      <w:pPr>
        <w:ind w:left="460" w:hanging="360"/>
      </w:pPr>
    </w:lvl>
  </w:abstractNum>
  <w:abstractNum w:abstractNumId="8" w15:restartNumberingAfterBreak="0">
    <w:multiLevelType w:val="hybridMultilevel"/>
    <w:lvl w:ilvl="0" w15:tentative="1">
      <w:start w:val="1"/>
      <w:numFmt w:val="decimal"/>
      <w:lvlText w:val="%1."/>
      <w:lvlJc w:val="left"/>
      <w:pPr>
        <w:ind w:left="460" w:hanging="360"/>
      </w:pPr>
    </w:lvl>
  </w:abstractNum>
  <w:abstractNum w:abstractNumId="9" w15:restartNumberingAfterBreak="0">
    <w:multiLevelType w:val="hybridMultilevel"/>
    <w:lvl w:ilvl="0" w15:tentative="1">
      <w:start w:val="1"/>
      <w:numFmt w:val="decimal"/>
      <w:lvlText w:val="%1."/>
      <w:lvlJc w:val="left"/>
      <w:pPr>
        <w:ind w:left="460" w:hanging="360"/>
      </w:pPr>
    </w:lvl>
  </w:abstractNum>
  <w:abstractNum w:abstractNumId="10" w15:restartNumberingAfterBreak="0">
    <w:multiLevelType w:val="hybridMultilevel"/>
    <w:lvl w:ilvl="0" w15:tentative="1">
      <w:start w:val="1"/>
      <w:numFmt w:val="decimal"/>
      <w:lvlText w:val="%1."/>
      <w:lvlJc w:val="left"/>
      <w:pPr>
        <w:ind w:left="460" w:hanging="360"/>
      </w:pPr>
    </w:lvl>
  </w:abstractNum>
  <w:abstractNum w:abstractNumId="11" w15:restartNumberingAfterBreak="0">
    <w:multiLevelType w:val="hybridMultilevel"/>
    <w:lvl w:ilvl="0" w15:tentative="1">
      <w:start w:val="1"/>
      <w:numFmt w:val="decimal"/>
      <w:lvlText w:val="%1."/>
      <w:lvlJc w:val="left"/>
      <w:pPr>
        <w:ind w:left="460" w:hanging="360"/>
      </w:pPr>
    </w:lvl>
  </w:abstractNum>
  <w:abstractNum w:abstractNumId="12" w15:restartNumberingAfterBreak="0">
    <w:multiLevelType w:val="hybridMultilevel"/>
    <w:lvl w:ilvl="0" w15:tentative="1">
      <w:start w:val="1"/>
      <w:numFmt w:val="decimal"/>
      <w:lvlText w:val="%1."/>
      <w:lvlJc w:val="left"/>
      <w:pPr>
        <w:ind w:left="460" w:hanging="360"/>
      </w:pPr>
    </w:lvl>
  </w:abstractNum>
  <w:abstractNum w:abstractNumId="13"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2026-09-28T05:05:34.625Z</dcterms:created>
  <dcterms:modified xsi:type="dcterms:W3CDTF">2026-09-28T05:05:34.635Z</dcterms:modified>
</cp:coreProperties>
</file>

<file path=docProps/custom.xml><?xml version="1.0" encoding="utf-8"?>
<Properties xmlns="http://schemas.openxmlformats.org/officeDocument/2006/custom-properties" xmlns:vt="http://schemas.openxmlformats.org/officeDocument/2006/docPropsVTypes"/>
</file>