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1F3864" w:val="clear"/>
            <w:tcMar>
              <w:top w:type="dxa" w:w="80"/>
              <w:left w:type="dxa" w:w="140"/>
              <w:bottom w:type="dxa" w:w="80"/>
              <w:right w:type="dxa" w:w="140"/>
            </w:tcMar>
            <w:vAlign w:val="center"/>
          </w:tcPr>
          <w:p>
            <w:pPr>
              <w:spacing w:after="0" w:before="0"/>
            </w:pPr>
            <w:r>
              <w:t xml:space="preserve"/>
            </w:r>
          </w:p>
          <w:p>
            <w:pPr>
              <w:spacing w:after="0" w:before="0"/>
            </w:pPr>
            <w:r>
              <w:t xml:space="preserve"/>
            </w:r>
          </w:p>
          <w:p>
            <w:pPr>
              <w:spacing w:after="200" w:before="0"/>
              <w:jc w:val="center"/>
            </w:pPr>
            <w:r>
              <w:rPr>
                <w:rFonts w:ascii="Arial" w:cs="Arial" w:eastAsia="Arial" w:hAnsi="Arial"/>
                <w:b/>
                <w:bCs/>
                <w:color w:val="FFFFFF"/>
                <w:sz w:val="52"/>
                <w:szCs w:val="52"/>
              </w:rPr>
              <w:t xml:space="preserve">INFORME EJECUTIVO</w:t>
            </w:r>
          </w:p>
          <w:p>
            <w:pPr>
              <w:spacing w:after="120" w:before="0"/>
              <w:jc w:val="center"/>
            </w:pPr>
            <w:r>
              <w:rPr>
                <w:rFonts w:ascii="Arial" w:cs="Arial" w:eastAsia="Arial" w:hAnsi="Arial"/>
                <w:b/>
                <w:bCs/>
                <w:color w:val="BDD7EE"/>
                <w:sz w:val="68"/>
                <w:szCs w:val="68"/>
              </w:rPr>
              <w:t xml:space="preserve">Azure DDoS Protection</w:t>
            </w:r>
          </w:p>
          <w:p>
            <w:pPr>
              <w:spacing w:after="400" w:before="0"/>
              <w:jc w:val="center"/>
            </w:pPr>
            <w:r>
              <w:rPr>
                <w:rFonts w:ascii="Arial" w:cs="Arial" w:eastAsia="Arial" w:hAnsi="Arial"/>
                <w:i/>
                <w:iCs/>
                <w:color w:val="9DC3E6"/>
                <w:sz w:val="30"/>
                <w:szCs w:val="30"/>
              </w:rPr>
              <w:t xml:space="preserve">Análisis Técnico, Comparativo y de Costos</w:t>
            </w:r>
          </w:p>
          <w:p>
            <w:pPr>
              <w:spacing w:after="60" w:before="200"/>
              <w:jc w:val="center"/>
            </w:pPr>
            <w:r>
              <w:rPr>
                <w:rFonts w:ascii="Arial" w:cs="Arial" w:eastAsia="Arial" w:hAnsi="Arial"/>
                <w:color w:val="FFFFFF"/>
                <w:sz w:val="24"/>
                <w:szCs w:val="24"/>
              </w:rPr>
              <w:t xml:space="preserve">Preparado para: Cliente Azure</w:t>
            </w:r>
          </w:p>
          <w:p>
            <w:pPr>
              <w:spacing w:after="60" w:before="0"/>
              <w:jc w:val="center"/>
            </w:pPr>
            <w:r>
              <w:rPr>
                <w:rFonts w:ascii="Arial" w:cs="Arial" w:eastAsia="Arial" w:hAnsi="Arial"/>
                <w:color w:val="9DC3E6"/>
                <w:sz w:val="24"/>
                <w:szCs w:val="24"/>
              </w:rPr>
              <w:t xml:space="preserve">Fecha: Abril 2026  |  Versión 1.0</w:t>
            </w:r>
          </w:p>
          <w:p>
            <w:pPr>
              <w:spacing w:after="0" w:before="0"/>
            </w:pPr>
            <w:r>
              <w:t xml:space="preserve"/>
            </w:r>
          </w:p>
          <w:p>
            <w:pPr>
              <w:spacing w:after="0" w:before="0"/>
            </w:pPr>
            <w:r>
              <w:t xml:space="preserve"/>
            </w:r>
          </w:p>
          <w:p>
            <w:pPr>
              <w:spacing w:after="0" w:before="0"/>
            </w:pPr>
            <w:r>
              <w:t xml:space="preserve"/>
            </w:r>
          </w:p>
        </w:tc>
      </w:tr>
    </w:tbl>
    <w:p>
      <w:r>
        <w:br w:type="page"/>
      </w:r>
    </w:p>
    <w:p>
      <w:pPr>
        <w:pStyle w:val="Heading1"/>
        <w:pBdr>
          <w:bottom w:val="single" w:color="2E75B6" w:sz="6" w:space="4"/>
        </w:pBdr>
        <w:spacing w:after="160" w:before="320"/>
      </w:pPr>
      <w:r>
        <w:rPr>
          <w:rFonts w:ascii="Arial" w:cs="Arial" w:eastAsia="Arial" w:hAnsi="Arial"/>
          <w:b/>
          <w:bCs/>
          <w:color w:val="1F3864"/>
          <w:sz w:val="32"/>
          <w:szCs w:val="32"/>
        </w:rPr>
        <w:t xml:space="preserve">1. ¿Qué es Azure DDoS Protection?</w:t>
      </w:r>
    </w:p>
    <w:p>
      <w:pPr>
        <w:spacing w:after="100" w:before="0"/>
        <w:jc w:val="left"/>
      </w:pPr>
      <w:r>
        <w:rPr>
          <w:rFonts w:ascii="Arial" w:cs="Arial" w:eastAsia="Arial" w:hAnsi="Arial"/>
          <w:color w:val="404040"/>
          <w:sz w:val="22"/>
          <w:szCs w:val="22"/>
        </w:rPr>
        <w:t xml:space="preserve">Un ataque de Denegación de Servicio Distribuido (DDoS) tiene como objetivo saturar la infraestructura de red de una aplicación con tráfico malicioso, dejándola inaccesible para usuarios legítimos. Azure DDoS Protection es el servicio administrado de Microsoft que detecta y mitiga automáticamente estos ataques antes de que afecten a los recursos de Azure.</w:t>
      </w:r>
    </w:p>
    <w:p>
      <w:pPr>
        <w:spacing w:after="120" w:before="0"/>
        <w:jc w:val="left"/>
      </w:pPr>
      <w:r>
        <w:rPr>
          <w:rFonts w:ascii="Arial" w:cs="Arial" w:eastAsia="Arial" w:hAnsi="Arial"/>
          <w:color w:val="404040"/>
          <w:sz w:val="22"/>
          <w:szCs w:val="22"/>
        </w:rPr>
        <w:t xml:space="preserve">El servicio opera en la capa de red de Azure de forma global, procesando múltiples terabits por segundo de tráfico, y se activa automáticamente cuando se detecta un patrón de ataque, sin requerir intervención manual del cliente.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12"/>
              <w:bottom w:val="single" w:color="CCCCCC" w:sz="1"/>
              <w:right w:val="single" w:color="CCCCCC" w:sz="1"/>
            </w:tcBorders>
            <w:shd w:fill="EBF3FB" w:val="clear"/>
            <w:tcMar>
              <w:top w:type="dxa" w:w="80"/>
              <w:left w:type="dxa" w:w="140"/>
              <w:bottom w:type="dxa" w:w="80"/>
              <w:right w:type="dxa" w:w="140"/>
            </w:tcMar>
            <w:vAlign w:val="center"/>
          </w:tcPr>
          <w:p>
            <w:pPr>
              <w:spacing w:after="60" w:before="0"/>
              <w:jc w:val="left"/>
            </w:pPr>
            <w:r>
              <w:rPr>
                <w:rFonts w:ascii="Arial" w:cs="Arial" w:eastAsia="Arial" w:hAnsi="Arial"/>
                <w:b/>
                <w:bCs/>
                <w:color w:val="1F3864"/>
                <w:sz w:val="22"/>
                <w:szCs w:val="22"/>
              </w:rPr>
              <w:t xml:space="preserve">Capacidad de mitigación global</w:t>
            </w:r>
          </w:p>
          <w:p>
            <w:pPr>
              <w:spacing w:after="80" w:before="0"/>
              <w:jc w:val="left"/>
            </w:pPr>
            <w:r>
              <w:rPr>
                <w:rFonts w:ascii="Arial" w:cs="Arial" w:eastAsia="Arial" w:hAnsi="Arial"/>
                <w:color w:val="404040"/>
                <w:sz w:val="21"/>
                <w:szCs w:val="21"/>
              </w:rPr>
              <w:t xml:space="preserve">Azure posee una de las redes más grandes del mundo. La infraestructura de mitigación DDoS puede absorber ataques superiores a 60 Tbps gracias a su presencia en más de 60 regiones de Azure interconectadas globalmente.</w:t>
            </w:r>
          </w:p>
        </w:tc>
      </w:tr>
    </w:tbl>
    <w:p>
      <w:pPr>
        <w:spacing w:after="0" w:before="0"/>
      </w:pPr>
      <w:r>
        <w:t xml:space="preserve"/>
      </w:r>
    </w:p>
    <w:p>
      <w:pPr>
        <w:pStyle w:val="Heading2"/>
        <w:spacing w:after="120" w:before="240"/>
      </w:pPr>
      <w:r>
        <w:rPr>
          <w:rFonts w:ascii="Arial" w:cs="Arial" w:eastAsia="Arial" w:hAnsi="Arial"/>
          <w:b/>
          <w:bCs/>
          <w:color w:val="2E75B6"/>
          <w:sz w:val="26"/>
          <w:szCs w:val="26"/>
        </w:rPr>
        <w:t xml:space="preserve">1.1 Arquitectura de funcionamiento</w:t>
      </w:r>
    </w:p>
    <w:p>
      <w:pPr>
        <w:spacing w:after="80" w:before="0"/>
        <w:jc w:val="left"/>
      </w:pPr>
      <w:r>
        <w:rPr>
          <w:rFonts w:ascii="Arial" w:cs="Arial" w:eastAsia="Arial" w:hAnsi="Arial"/>
          <w:color w:val="404040"/>
          <w:sz w:val="22"/>
          <w:szCs w:val="22"/>
        </w:rPr>
        <w:t xml:space="preserve">El servicio se compone de tres capas de defensa:</w:t>
      </w:r>
    </w:p>
    <w:p>
      <w:pPr>
        <w:pStyle w:val="ListParagraph"/>
        <w:numPr>
          <w:ilvl w:val="0"/>
          <w:numId w:val="2"/>
        </w:numPr>
        <w:spacing w:after="40" w:before="40"/>
      </w:pPr>
      <w:r>
        <w:rPr>
          <w:rFonts w:ascii="Arial" w:cs="Arial" w:eastAsia="Arial" w:hAnsi="Arial"/>
          <w:color w:val="404040"/>
          <w:sz w:val="22"/>
          <w:szCs w:val="22"/>
        </w:rPr>
        <w:t xml:space="preserve">Monitoreo continuo del tráfico: analiza el tráfico de entrada en tiempo real comparándolo con perfiles de tráfico aprendidos mediante machine learning.</w:t>
      </w:r>
    </w:p>
    <w:p>
      <w:pPr>
        <w:pStyle w:val="ListParagraph"/>
        <w:numPr>
          <w:ilvl w:val="0"/>
          <w:numId w:val="2"/>
        </w:numPr>
        <w:spacing w:after="40" w:before="40"/>
      </w:pPr>
      <w:r>
        <w:rPr>
          <w:rFonts w:ascii="Arial" w:cs="Arial" w:eastAsia="Arial" w:hAnsi="Arial"/>
          <w:color w:val="404040"/>
          <w:sz w:val="22"/>
          <w:szCs w:val="22"/>
        </w:rPr>
        <w:t xml:space="preserve">Mitigación automática: cuando se detecta un ataque, se activan contramedidas (rate limiting, SYN cookies, filtrado de paquetes) de forma transparente.</w:t>
      </w:r>
    </w:p>
    <w:p>
      <w:pPr>
        <w:pStyle w:val="ListParagraph"/>
        <w:numPr>
          <w:ilvl w:val="0"/>
          <w:numId w:val="2"/>
        </w:numPr>
        <w:spacing w:after="40" w:before="40"/>
      </w:pPr>
      <w:r>
        <w:rPr>
          <w:rFonts w:ascii="Arial" w:cs="Arial" w:eastAsia="Arial" w:hAnsi="Arial"/>
          <w:color w:val="404040"/>
          <w:sz w:val="22"/>
          <w:szCs w:val="22"/>
        </w:rPr>
        <w:t xml:space="preserve">Telemetría y alertas: genera métricas, logs y alertas en Azure Monitor para visibilidad completa durante y después del ataque.</w:t>
      </w:r>
    </w:p>
    <w:p>
      <w:pPr>
        <w:spacing w:after="0" w:before="0"/>
      </w:pPr>
      <w:r>
        <w:t xml:space="preserve"/>
      </w:r>
    </w:p>
    <w:p>
      <w:pPr>
        <w:pStyle w:val="Heading1"/>
        <w:pBdr>
          <w:bottom w:val="single" w:color="2E75B6" w:sz="6" w:space="4"/>
        </w:pBdr>
        <w:spacing w:after="160" w:before="320"/>
      </w:pPr>
      <w:r>
        <w:rPr>
          <w:rFonts w:ascii="Arial" w:cs="Arial" w:eastAsia="Arial" w:hAnsi="Arial"/>
          <w:b/>
          <w:bCs/>
          <w:color w:val="1F3864"/>
          <w:sz w:val="32"/>
          <w:szCs w:val="32"/>
        </w:rPr>
        <w:t xml:space="preserve">2. Niveles de protección: Básico vs. Network vs. IP</w:t>
      </w:r>
    </w:p>
    <w:p>
      <w:pPr>
        <w:spacing w:after="120" w:before="0"/>
        <w:jc w:val="left"/>
      </w:pPr>
      <w:r>
        <w:rPr>
          <w:rFonts w:ascii="Arial" w:cs="Arial" w:eastAsia="Arial" w:hAnsi="Arial"/>
          <w:color w:val="404040"/>
          <w:sz w:val="22"/>
          <w:szCs w:val="22"/>
        </w:rPr>
        <w:t xml:space="preserve">Azure ofrece tres niveles de protección DDoS con capacidades y costos significativamente distintos. Es fundamental comprender cada uno antes de elegir la estrategia adecuada.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Característica</w:t>
            </w:r>
          </w:p>
        </w:tc>
        <w:tc>
          <w:tcPr>
            <w:tcW w:type="dxa" w:w="22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DDoS Básico</w:t>
            </w:r>
          </w:p>
        </w:tc>
        <w:tc>
          <w:tcPr>
            <w:tcW w:type="dxa" w:w="22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DDoS Network
(Standard)</w:t>
            </w:r>
          </w:p>
        </w:tc>
        <w:tc>
          <w:tcPr>
            <w:tcW w:type="dxa" w:w="23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DDoS IP
(por IP)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Costo mensual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Gratis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~$2,944 USD/mes
+ $30/IP pública</w:t>
            </w:r>
          </w:p>
        </w:tc>
        <w:tc>
          <w:tcPr>
            <w:tcW w:type="dxa" w:w="2360"/>
            <w:tcBorders>
              <w:top w:val="single" w:color="CCCCCC" w:sz="1"/>
              <w:left w:val="single" w:color="CCCCCC" w:sz="1"/>
              <w:bottom w:val="single" w:color="CCCCCC" w:sz="1"/>
              <w:right w:val="single" w:color="CCCCCC" w:sz="1"/>
            </w:tcBorders>
            <w:shd w:fill="FFFACD"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~$199 USD/IP/mes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Recursos protegidos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Toda la plataforma Azure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Virtual Network completa</w:t>
            </w:r>
          </w:p>
        </w:tc>
        <w:tc>
          <w:tcPr>
            <w:tcW w:type="dxa" w:w="2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IPs públicas individuales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Mitigación automática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Básica (infraestructura)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Avanzada + ajustada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Avanzada + ajustada</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Perfiles de tráfico adaptativos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No</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Sí</w:t>
            </w:r>
          </w:p>
        </w:tc>
        <w:tc>
          <w:tcPr>
            <w:tcW w:type="dxa" w:w="2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Sí</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Alertas en Azure Monitor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No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Sí</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Sí</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Telemetría en tiempo real</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No</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Sí</w:t>
            </w:r>
          </w:p>
        </w:tc>
        <w:tc>
          <w:tcPr>
            <w:tcW w:type="dxa" w:w="2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Sí</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Garantía SLA mitigación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No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Sí</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Sí</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Crédito por costo de escala</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No</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Sí</w:t>
            </w:r>
          </w:p>
        </w:tc>
        <w:tc>
          <w:tcPr>
            <w:tcW w:type="dxa" w:w="2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No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Soporte DDoS Rapid Response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No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Sí (con soporte Premier)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No</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Protección de WAF</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No</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Sí (integración nativa)</w:t>
            </w:r>
          </w:p>
        </w:tc>
        <w:tc>
          <w:tcPr>
            <w:tcW w:type="dxa" w:w="2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Sí (integración nativa)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Caso de uso ideal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Entornos de prueba / dev</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Cargas productivas con múltiples VNets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Protección puntual por IP</w:t>
            </w:r>
          </w:p>
        </w:tc>
      </w:tr>
    </w:tbl>
    <w:p>
      <w:pPr>
        <w:spacing w:after="0" w:before="0"/>
      </w:pPr>
      <w:r>
        <w:t xml:space="preserve"/>
      </w:r>
    </w:p>
    <w:p>
      <w:pPr>
        <w:pStyle w:val="Heading2"/>
        <w:spacing w:after="120" w:before="240"/>
      </w:pPr>
      <w:r>
        <w:rPr>
          <w:rFonts w:ascii="Arial" w:cs="Arial" w:eastAsia="Arial" w:hAnsi="Arial"/>
          <w:b/>
          <w:bCs/>
          <w:color w:val="2E75B6"/>
          <w:sz w:val="26"/>
          <w:szCs w:val="26"/>
        </w:rPr>
        <w:t xml:space="preserve">2.1 Diferencia entre DDoS Network Protection y DDoS IP Protection</w:t>
      </w:r>
    </w:p>
    <w:p>
      <w:pPr>
        <w:spacing w:after="80" w:before="0"/>
        <w:jc w:val="left"/>
      </w:pPr>
      <w:r>
        <w:rPr>
          <w:rFonts w:ascii="Arial" w:cs="Arial" w:eastAsia="Arial" w:hAnsi="Arial"/>
          <w:color w:val="404040"/>
          <w:sz w:val="22"/>
          <w:szCs w:val="22"/>
        </w:rPr>
        <w:t xml:space="preserve">Aunque ambos ofrecen mitigación avanzada, existen diferencias clave en su modelo de licenciamiento y alcance:</w:t>
      </w:r>
    </w:p>
    <w:p>
      <w:pPr>
        <w:pStyle w:val="ListParagraph"/>
        <w:numPr>
          <w:ilvl w:val="0"/>
          <w:numId w:val="2"/>
        </w:numPr>
        <w:spacing w:after="40" w:before="40"/>
      </w:pPr>
      <w:r>
        <w:rPr>
          <w:rFonts w:ascii="Arial" w:cs="Arial" w:eastAsia="Arial" w:hAnsi="Arial"/>
          <w:color w:val="404040"/>
          <w:sz w:val="22"/>
          <w:szCs w:val="22"/>
        </w:rPr>
        <w:t xml:space="preserve">DDoS Network Protection: se aplica a nivel de Virtual Network (VNet). Todas las IPs públicas dentro de esa VNet quedan automáticamente protegidas. El costo fijo mensual (~$2,944 USD) incluye hasta 100 IPs públicas, con un cargo adicional de $30 USD por cada IP adicional. Es ideal cuando se tienen múltiples recursos en una misma VNet.</w:t>
      </w:r>
    </w:p>
    <w:p>
      <w:pPr>
        <w:pStyle w:val="ListParagraph"/>
        <w:numPr>
          <w:ilvl w:val="0"/>
          <w:numId w:val="2"/>
        </w:numPr>
        <w:spacing w:after="40" w:before="40"/>
      </w:pPr>
      <w:r>
        <w:rPr>
          <w:rFonts w:ascii="Arial" w:cs="Arial" w:eastAsia="Arial" w:hAnsi="Arial"/>
          <w:color w:val="404040"/>
          <w:sz w:val="22"/>
          <w:szCs w:val="22"/>
        </w:rPr>
        <w:t xml:space="preserve">DDoS IP Protection: protege IPs públicas individuales sin necesidad de asociarlas a una VNet. Se paga por IP (~$199 USD/IP/mes). Es ideal cuando se requiere proteger pocas IPs específicas o recursos en VNets distintas.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DDoS Network Protection</w:t>
            </w:r>
          </w:p>
        </w:tc>
        <w:tc>
          <w:tcPr>
            <w:tcW w:type="dxa" w:w="468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DDoS IP Protection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Protege toda la VNet automáticamente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Protege IPs específicas seleccionadas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Costo fijo + variable por IP adicional</w:t>
            </w:r>
          </w:p>
        </w:tc>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Costo fijo por IP protegida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Incluye crédito por scale-out durante ataques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No incluye crédito por scale-out</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Incluye DDoS Rapid Response Team</w:t>
            </w:r>
          </w:p>
        </w:tc>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No incluye Rapid Response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Más económico con 15+ IPs en misma VNet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Más económico con menos de 10 IPs</w:t>
            </w:r>
          </w:p>
        </w:tc>
      </w:tr>
    </w:tbl>
    <w:p>
      <w:pPr>
        <w:spacing w:after="0" w:before="0"/>
      </w:pPr>
      <w:r>
        <w:t xml:space="preserve"/>
      </w:r>
    </w:p>
    <w:p>
      <w:r>
        <w:br w:type="page"/>
      </w:r>
    </w:p>
    <w:p>
      <w:pPr>
        <w:pStyle w:val="Heading1"/>
        <w:pBdr>
          <w:bottom w:val="single" w:color="2E75B6" w:sz="6" w:space="4"/>
        </w:pBdr>
        <w:spacing w:after="160" w:before="320"/>
      </w:pPr>
      <w:r>
        <w:rPr>
          <w:rFonts w:ascii="Arial" w:cs="Arial" w:eastAsia="Arial" w:hAnsi="Arial"/>
          <w:b/>
          <w:bCs/>
          <w:color w:val="1F3864"/>
          <w:sz w:val="32"/>
          <w:szCs w:val="32"/>
        </w:rPr>
        <w:t xml:space="preserve">3. Ventajas y desventajas</w:t>
      </w:r>
    </w:p>
    <w:p>
      <w:pPr>
        <w:pStyle w:val="Heading2"/>
        <w:spacing w:after="120" w:before="240"/>
      </w:pPr>
      <w:r>
        <w:rPr>
          <w:rFonts w:ascii="Arial" w:cs="Arial" w:eastAsia="Arial" w:hAnsi="Arial"/>
          <w:b/>
          <w:bCs/>
          <w:color w:val="2E75B6"/>
          <w:sz w:val="26"/>
          <w:szCs w:val="26"/>
        </w:rPr>
        <w:t xml:space="preserve">3.1 Ventajas</w:t>
      </w:r>
    </w:p>
    <w:p>
      <w:pPr>
        <w:pStyle w:val="ListParagraph"/>
        <w:numPr>
          <w:ilvl w:val="0"/>
          <w:numId w:val="2"/>
        </w:numPr>
        <w:spacing w:after="40" w:before="40"/>
      </w:pPr>
      <w:r>
        <w:rPr>
          <w:rFonts w:ascii="Arial" w:cs="Arial" w:eastAsia="Arial" w:hAnsi="Arial"/>
          <w:color w:val="404040"/>
          <w:sz w:val="22"/>
          <w:szCs w:val="22"/>
        </w:rPr>
        <w:t xml:space="preserve">Mitigación automática sin intervención: el servicio actúa de forma inmediata sin necesidad de configurar reglas manuales ni escalar tickets de soporte.</w:t>
      </w:r>
    </w:p>
    <w:p>
      <w:pPr>
        <w:pStyle w:val="ListParagraph"/>
        <w:numPr>
          <w:ilvl w:val="0"/>
          <w:numId w:val="2"/>
        </w:numPr>
        <w:spacing w:after="40" w:before="40"/>
      </w:pPr>
      <w:r>
        <w:rPr>
          <w:rFonts w:ascii="Arial" w:cs="Arial" w:eastAsia="Arial" w:hAnsi="Arial"/>
          <w:color w:val="404040"/>
          <w:sz w:val="22"/>
          <w:szCs w:val="22"/>
        </w:rPr>
        <w:t xml:space="preserve">Machine Learning adaptativo: los perfiles de tráfico se ajustan continuamente a los patrones de uso de cada recurso, reduciendo falsos positivos.</w:t>
      </w:r>
    </w:p>
    <w:p>
      <w:pPr>
        <w:pStyle w:val="ListParagraph"/>
        <w:numPr>
          <w:ilvl w:val="0"/>
          <w:numId w:val="2"/>
        </w:numPr>
        <w:spacing w:after="40" w:before="40"/>
      </w:pPr>
      <w:r>
        <w:rPr>
          <w:rFonts w:ascii="Arial" w:cs="Arial" w:eastAsia="Arial" w:hAnsi="Arial"/>
          <w:color w:val="404040"/>
          <w:sz w:val="22"/>
          <w:szCs w:val="22"/>
        </w:rPr>
        <w:t xml:space="preserve">Sin impacto en latencia: la mitigación se realiza upstream, antes de que el tráfico llegue al recurso protegido, sin añadir latencia perceptible.</w:t>
      </w:r>
    </w:p>
    <w:p>
      <w:pPr>
        <w:pStyle w:val="ListParagraph"/>
        <w:numPr>
          <w:ilvl w:val="0"/>
          <w:numId w:val="2"/>
        </w:numPr>
        <w:spacing w:after="40" w:before="40"/>
      </w:pPr>
      <w:r>
        <w:rPr>
          <w:rFonts w:ascii="Arial" w:cs="Arial" w:eastAsia="Arial" w:hAnsi="Arial"/>
          <w:color w:val="404040"/>
          <w:sz w:val="22"/>
          <w:szCs w:val="22"/>
        </w:rPr>
        <w:t xml:space="preserve">Integración nativa con Azure Firewall, Application Gateway y WAF: permite construir arquitecturas de defensa en capas.</w:t>
      </w:r>
    </w:p>
    <w:p>
      <w:pPr>
        <w:pStyle w:val="ListParagraph"/>
        <w:numPr>
          <w:ilvl w:val="0"/>
          <w:numId w:val="2"/>
        </w:numPr>
        <w:spacing w:after="40" w:before="40"/>
      </w:pPr>
      <w:r>
        <w:rPr>
          <w:rFonts w:ascii="Arial" w:cs="Arial" w:eastAsia="Arial" w:hAnsi="Arial"/>
          <w:color w:val="404040"/>
          <w:sz w:val="22"/>
          <w:szCs w:val="22"/>
        </w:rPr>
        <w:t xml:space="preserve">Telemetría detallada: métricas de ataque disponibles en Azure Monitor, Log Analytics y Power BI para análisis forense.</w:t>
      </w:r>
    </w:p>
    <w:p>
      <w:pPr>
        <w:pStyle w:val="ListParagraph"/>
        <w:numPr>
          <w:ilvl w:val="0"/>
          <w:numId w:val="2"/>
        </w:numPr>
        <w:spacing w:after="40" w:before="40"/>
      </w:pPr>
      <w:r>
        <w:rPr>
          <w:rFonts w:ascii="Arial" w:cs="Arial" w:eastAsia="Arial" w:hAnsi="Arial"/>
          <w:color w:val="404040"/>
          <w:sz w:val="22"/>
          <w:szCs w:val="22"/>
        </w:rPr>
        <w:t xml:space="preserve">SLA de disponibilidad garantizado: Microsoft garantiza la mitigación de ataques volumétricos dentro de los términos del acuerdo de nivel de servicio.</w:t>
      </w:r>
    </w:p>
    <w:p>
      <w:pPr>
        <w:pStyle w:val="ListParagraph"/>
        <w:numPr>
          <w:ilvl w:val="0"/>
          <w:numId w:val="2"/>
        </w:numPr>
        <w:spacing w:after="40" w:before="40"/>
      </w:pPr>
      <w:r>
        <w:rPr>
          <w:rFonts w:ascii="Arial" w:cs="Arial" w:eastAsia="Arial" w:hAnsi="Arial"/>
          <w:color w:val="404040"/>
          <w:sz w:val="22"/>
          <w:szCs w:val="22"/>
        </w:rPr>
        <w:t xml:space="preserve">Crédito por costos de escala (Network Protection): si un ataque provoca scale-out de recursos, Microsoft emite crédito para compensar ese costo adicional.</w:t>
      </w:r>
    </w:p>
    <w:p>
      <w:pPr>
        <w:spacing w:after="0" w:before="0"/>
      </w:pPr>
      <w:r>
        <w:t xml:space="preserve"/>
      </w:r>
    </w:p>
    <w:p>
      <w:pPr>
        <w:pStyle w:val="Heading2"/>
        <w:spacing w:after="120" w:before="240"/>
      </w:pPr>
      <w:r>
        <w:rPr>
          <w:rFonts w:ascii="Arial" w:cs="Arial" w:eastAsia="Arial" w:hAnsi="Arial"/>
          <w:b/>
          <w:bCs/>
          <w:color w:val="2E75B6"/>
          <w:sz w:val="26"/>
          <w:szCs w:val="26"/>
        </w:rPr>
        <w:t xml:space="preserve">3.2 Desventajas y limitaciones</w:t>
      </w:r>
    </w:p>
    <w:p>
      <w:pPr>
        <w:pStyle w:val="ListParagraph"/>
        <w:numPr>
          <w:ilvl w:val="0"/>
          <w:numId w:val="2"/>
        </w:numPr>
        <w:spacing w:after="40" w:before="40"/>
      </w:pPr>
      <w:r>
        <w:rPr>
          <w:rFonts w:ascii="Arial" w:cs="Arial" w:eastAsia="Arial" w:hAnsi="Arial"/>
          <w:color w:val="404040"/>
          <w:sz w:val="22"/>
          <w:szCs w:val="22"/>
        </w:rPr>
        <w:t xml:space="preserve">Costo elevado para entornos pequeños: el plan Network Protection (~$2,944/mes) puede ser difícil de justificar para organizaciones con pocas IPs públicas o presupuesto reducido.</w:t>
      </w:r>
    </w:p>
    <w:p>
      <w:pPr>
        <w:pStyle w:val="ListParagraph"/>
        <w:numPr>
          <w:ilvl w:val="0"/>
          <w:numId w:val="2"/>
        </w:numPr>
        <w:spacing w:after="40" w:before="40"/>
      </w:pPr>
      <w:r>
        <w:rPr>
          <w:rFonts w:ascii="Arial" w:cs="Arial" w:eastAsia="Arial" w:hAnsi="Arial"/>
          <w:color w:val="404040"/>
          <w:sz w:val="22"/>
          <w:szCs w:val="22"/>
        </w:rPr>
        <w:t xml:space="preserve">No protege tráfico privado: solo cubre IPs públicas. El tráfico interno entre recursos privados no es alcanzado por este servicio.</w:t>
      </w:r>
    </w:p>
    <w:p>
      <w:pPr>
        <w:pStyle w:val="ListParagraph"/>
        <w:numPr>
          <w:ilvl w:val="0"/>
          <w:numId w:val="2"/>
        </w:numPr>
        <w:spacing w:after="40" w:before="40"/>
      </w:pPr>
      <w:r>
        <w:rPr>
          <w:rFonts w:ascii="Arial" w:cs="Arial" w:eastAsia="Arial" w:hAnsi="Arial"/>
          <w:color w:val="404040"/>
          <w:sz w:val="22"/>
          <w:szCs w:val="22"/>
        </w:rPr>
        <w:t xml:space="preserve">No reemplaza un WAF: DDoS Protection actúa en capas 3 y 4 (red/transporte). Para ataques de capa 7 (HTTP flood, SQL injection) se requiere Azure WAF complementariamente.</w:t>
      </w:r>
    </w:p>
    <w:p>
      <w:pPr>
        <w:pStyle w:val="ListParagraph"/>
        <w:numPr>
          <w:ilvl w:val="0"/>
          <w:numId w:val="2"/>
        </w:numPr>
        <w:spacing w:after="40" w:before="40"/>
      </w:pPr>
      <w:r>
        <w:rPr>
          <w:rFonts w:ascii="Arial" w:cs="Arial" w:eastAsia="Arial" w:hAnsi="Arial"/>
          <w:color w:val="404040"/>
          <w:sz w:val="22"/>
          <w:szCs w:val="22"/>
        </w:rPr>
        <w:t xml:space="preserve">Activación requiere permisos elevados: habilitarlo incorrectamente (como se detectó en el cliente) puede generar cargos inmediatos sin que el equipo técnico lo anticipe.</w:t>
      </w:r>
    </w:p>
    <w:p>
      <w:pPr>
        <w:pStyle w:val="ListParagraph"/>
        <w:numPr>
          <w:ilvl w:val="0"/>
          <w:numId w:val="2"/>
        </w:numPr>
        <w:spacing w:after="40" w:before="40"/>
      </w:pPr>
      <w:r>
        <w:rPr>
          <w:rFonts w:ascii="Arial" w:cs="Arial" w:eastAsia="Arial" w:hAnsi="Arial"/>
          <w:color w:val="404040"/>
          <w:sz w:val="22"/>
          <w:szCs w:val="22"/>
        </w:rPr>
        <w:t xml:space="preserve">Curva de aprendizaje inicial: los perfiles adaptativos tardan días en ajustarse a patrones normales de tráfico, pudiendo haber ruido inicial en alertas.</w:t>
      </w:r>
    </w:p>
    <w:p>
      <w:pPr>
        <w:spacing w:after="0" w:before="0"/>
      </w:pPr>
      <w:r>
        <w:t xml:space="preserve"/>
      </w:r>
    </w:p>
    <w:p>
      <w:pPr>
        <w:pStyle w:val="Heading1"/>
        <w:pBdr>
          <w:bottom w:val="single" w:color="2E75B6" w:sz="6" w:space="4"/>
        </w:pBdr>
        <w:spacing w:after="160" w:before="320"/>
      </w:pPr>
      <w:r>
        <w:rPr>
          <w:rFonts w:ascii="Arial" w:cs="Arial" w:eastAsia="Arial" w:hAnsi="Arial"/>
          <w:b/>
          <w:bCs/>
          <w:color w:val="1F3864"/>
          <w:sz w:val="32"/>
          <w:szCs w:val="32"/>
        </w:rPr>
        <w:t xml:space="preserve">4. Escenarios recomendados de uso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Escenario</w:t>
            </w:r>
          </w:p>
        </w:tc>
        <w:tc>
          <w:tcPr>
            <w:tcW w:type="dxa" w:w="312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Plan recomendado</w:t>
            </w:r>
          </w:p>
        </w:tc>
        <w:tc>
          <w:tcPr>
            <w:tcW w:type="dxa" w:w="312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Justificación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E-commerce / retail con picos de tráfico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Network Protection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Alto riesgo de ataques en temporadas altas; múltiples IPs en una VNet.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Banca y servicios financieros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Network Protection + WAF</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Cumplimiento regulatorio y protección multicapa obligatoria.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Juegos online y streaming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Network Protection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Ataques DDoS frecuentes; latencia crítica que requiere mitigación upstream.</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APIs públicas o microservicios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IP Protection o Network</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Depende del número de IPs; IP Protection si son pocas y específicas.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Portales corporativos internos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DDoS Básico / ninguno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Bajo riesgo de ataques volumétricos; el costo no se justifica.</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Infraestructura crítica de gobierno</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Network Protection + DDoS Rapid Response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Máxima protección y soporte humano ante incidentes.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Entornos de desarrollo y pruebas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DDoS Básico (gratis)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No expuesto a internet productivo; la protección básica es suficiente.</w:t>
            </w:r>
          </w:p>
        </w:tc>
      </w:tr>
    </w:tbl>
    <w:p>
      <w:pPr>
        <w:spacing w:after="0" w:before="0"/>
      </w:pPr>
      <w:r>
        <w:t xml:space="preserve"/>
      </w:r>
    </w:p>
    <w:p>
      <w:r>
        <w:br w:type="page"/>
      </w:r>
    </w:p>
    <w:p>
      <w:pPr>
        <w:pStyle w:val="Heading1"/>
        <w:pBdr>
          <w:bottom w:val="single" w:color="2E75B6" w:sz="6" w:space="4"/>
        </w:pBdr>
        <w:spacing w:after="160" w:before="320"/>
      </w:pPr>
      <w:r>
        <w:rPr>
          <w:rFonts w:ascii="Arial" w:cs="Arial" w:eastAsia="Arial" w:hAnsi="Arial"/>
          <w:b/>
          <w:bCs/>
          <w:color w:val="1F3864"/>
          <w:sz w:val="32"/>
          <w:szCs w:val="32"/>
        </w:rPr>
        <w:t xml:space="preserve">5. Solución de seguridad integral con Azure DDoS</w:t>
      </w:r>
    </w:p>
    <w:p>
      <w:pPr>
        <w:spacing w:after="120" w:before="0"/>
        <w:jc w:val="left"/>
      </w:pPr>
      <w:r>
        <w:rPr>
          <w:rFonts w:ascii="Arial" w:cs="Arial" w:eastAsia="Arial" w:hAnsi="Arial"/>
          <w:color w:val="404040"/>
          <w:sz w:val="22"/>
          <w:szCs w:val="22"/>
        </w:rPr>
        <w:t xml:space="preserve">Azure DDoS Protection no debe implementarse de forma aislada. Para una postura de seguridad sólida, se recomienda combinarlo con otros servicios de Azure en una arquitectura de defensa en capas (Defense in Depth).</w:t>
      </w:r>
    </w:p>
    <w:p>
      <w:pPr>
        <w:pStyle w:val="Heading2"/>
        <w:spacing w:after="120" w:before="240"/>
      </w:pPr>
      <w:r>
        <w:rPr>
          <w:rFonts w:ascii="Arial" w:cs="Arial" w:eastAsia="Arial" w:hAnsi="Arial"/>
          <w:b/>
          <w:bCs/>
          <w:color w:val="2E75B6"/>
          <w:sz w:val="26"/>
          <w:szCs w:val="26"/>
        </w:rPr>
        <w:t xml:space="preserve">5.1 Servicios complementarios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Servicio</w:t>
            </w:r>
          </w:p>
        </w:tc>
        <w:tc>
          <w:tcPr>
            <w:tcW w:type="dxa" w:w="2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Capa OSI</w:t>
            </w:r>
          </w:p>
        </w:tc>
        <w:tc>
          <w:tcPr>
            <w:tcW w:type="dxa" w:w="49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Función y complementariedad con DDoS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Azure DDoS Protection</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Capa 3-4</w:t>
            </w:r>
          </w:p>
        </w:tc>
        <w:tc>
          <w:tcPr>
            <w:tcW w:type="dxa" w:w="49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Mitiga ataques volumétricos y de protocolo. Base de la arquitectura.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Azure Firewall Premium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Capa 3-7</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Inspección de tráfico, IDPS, filtrado de URL y control de salida. Complementa DDoS en capas superiores.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Azure WAF (App Gateway)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Capa 7</w:t>
            </w:r>
          </w:p>
        </w:tc>
        <w:tc>
          <w:tcPr>
            <w:tcW w:type="dxa" w:w="4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Protección contra OWASP Top 10, HTTP flood, inyección SQL/XSS. Esencial para apps web.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Azure Front Door + WAF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Capa 7 (CDN)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Distribución global con WAF perimetral. Absorbe tráfico malicioso antes de llegar a la región.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Azure Bastion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Acceso administrativo</w:t>
            </w:r>
          </w:p>
        </w:tc>
        <w:tc>
          <w:tcPr>
            <w:tcW w:type="dxa" w:w="4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Elimina IPs públicas en VMs de administración, reduciendo la superficie de ataque.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Microsoft Defender for Cloud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Gestión de postura</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Detecta configuraciones de riesgo, vulnerabilidades y genera recomendaciones de seguridad.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Azure Monitor + Sentinel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SIEM / Detección</w:t>
            </w:r>
          </w:p>
        </w:tc>
        <w:tc>
          <w:tcPr>
            <w:tcW w:type="dxa" w:w="4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Correlaciona alertas de DDoS con otros eventos de seguridad para detección avanzada de amenazas.</w:t>
            </w:r>
          </w:p>
        </w:tc>
      </w:tr>
    </w:tbl>
    <w:p>
      <w:pPr>
        <w:spacing w:after="0" w:before="0"/>
      </w:pPr>
      <w:r>
        <w:t xml:space="preserve"/>
      </w:r>
    </w:p>
    <w:p>
      <w:pPr>
        <w:pStyle w:val="Heading2"/>
        <w:spacing w:after="120" w:before="240"/>
      </w:pPr>
      <w:r>
        <w:rPr>
          <w:rFonts w:ascii="Arial" w:cs="Arial" w:eastAsia="Arial" w:hAnsi="Arial"/>
          <w:b/>
          <w:bCs/>
          <w:color w:val="2E75B6"/>
          <w:sz w:val="26"/>
          <w:szCs w:val="26"/>
        </w:rPr>
        <w:t xml:space="preserve">5.2 Diagrama de arquitectura de referencia (descripción)</w:t>
      </w:r>
    </w:p>
    <w:p>
      <w:pPr>
        <w:spacing w:after="80" w:before="0"/>
        <w:jc w:val="left"/>
      </w:pPr>
      <w:r>
        <w:rPr>
          <w:rFonts w:ascii="Arial" w:cs="Arial" w:eastAsia="Arial" w:hAnsi="Arial"/>
          <w:color w:val="404040"/>
          <w:sz w:val="22"/>
          <w:szCs w:val="22"/>
        </w:rPr>
        <w:t xml:space="preserve">Una arquitectura de referencia recomendada para una organización con 6 IPs públicas tendría los siguientes componentes:</w:t>
      </w:r>
    </w:p>
    <w:p>
      <w:pPr>
        <w:pStyle w:val="ListParagraph"/>
        <w:numPr>
          <w:ilvl w:val="0"/>
          <w:numId w:val="2"/>
        </w:numPr>
        <w:spacing w:after="40" w:before="40"/>
      </w:pPr>
      <w:r>
        <w:rPr>
          <w:rFonts w:ascii="Arial" w:cs="Arial" w:eastAsia="Arial" w:hAnsi="Arial"/>
          <w:color w:val="404040"/>
          <w:sz w:val="22"/>
          <w:szCs w:val="22"/>
        </w:rPr>
        <w:t xml:space="preserve">Capa perimetral (Internet → Azure): Azure Front Door con WAF absorbe y filtra tráfico HTTP/S a nivel global antes de que llegue a la región.</w:t>
      </w:r>
    </w:p>
    <w:p>
      <w:pPr>
        <w:pStyle w:val="ListParagraph"/>
        <w:numPr>
          <w:ilvl w:val="0"/>
          <w:numId w:val="2"/>
        </w:numPr>
        <w:spacing w:after="40" w:before="40"/>
      </w:pPr>
      <w:r>
        <w:rPr>
          <w:rFonts w:ascii="Arial" w:cs="Arial" w:eastAsia="Arial" w:hAnsi="Arial"/>
          <w:color w:val="404040"/>
          <w:sz w:val="22"/>
          <w:szCs w:val="22"/>
        </w:rPr>
        <w:t xml:space="preserve">Capa de red: Azure DDoS Network Protection cubre toda la VNet. Azure Firewall Premium inspecciona el tráfico que ingresa y sale.</w:t>
      </w:r>
    </w:p>
    <w:p>
      <w:pPr>
        <w:pStyle w:val="ListParagraph"/>
        <w:numPr>
          <w:ilvl w:val="0"/>
          <w:numId w:val="2"/>
        </w:numPr>
        <w:spacing w:after="40" w:before="40"/>
      </w:pPr>
      <w:r>
        <w:rPr>
          <w:rFonts w:ascii="Arial" w:cs="Arial" w:eastAsia="Arial" w:hAnsi="Arial"/>
          <w:color w:val="404040"/>
          <w:sz w:val="22"/>
          <w:szCs w:val="22"/>
        </w:rPr>
        <w:t xml:space="preserve">Capa de aplicación: Application Gateway con WAF maneja el balanceo de carga y protección L7 para aplicaciones web internas.</w:t>
      </w:r>
    </w:p>
    <w:p>
      <w:pPr>
        <w:pStyle w:val="ListParagraph"/>
        <w:numPr>
          <w:ilvl w:val="0"/>
          <w:numId w:val="2"/>
        </w:numPr>
        <w:spacing w:after="40" w:before="40"/>
      </w:pPr>
      <w:r>
        <w:rPr>
          <w:rFonts w:ascii="Arial" w:cs="Arial" w:eastAsia="Arial" w:hAnsi="Arial"/>
          <w:color w:val="404040"/>
          <w:sz w:val="22"/>
          <w:szCs w:val="22"/>
        </w:rPr>
        <w:t xml:space="preserve">Capa de gestión: Azure Bastion reemplaza RDP/SSH directos. Sin IPs públicas en VMs administrativas.</w:t>
      </w:r>
    </w:p>
    <w:p>
      <w:pPr>
        <w:pStyle w:val="ListParagraph"/>
        <w:numPr>
          <w:ilvl w:val="0"/>
          <w:numId w:val="2"/>
        </w:numPr>
        <w:spacing w:after="40" w:before="40"/>
      </w:pPr>
      <w:r>
        <w:rPr>
          <w:rFonts w:ascii="Arial" w:cs="Arial" w:eastAsia="Arial" w:hAnsi="Arial"/>
          <w:color w:val="404040"/>
          <w:sz w:val="22"/>
          <w:szCs w:val="22"/>
        </w:rPr>
        <w:t xml:space="preserve">Capa de monitoreo: Azure Monitor, Log Analytics y Microsoft Sentinel centralizan toda la telemetría de seguridad.</w:t>
      </w:r>
    </w:p>
    <w:p>
      <w:pPr>
        <w:spacing w:after="0" w:before="0"/>
      </w:pPr>
      <w:r>
        <w:t xml:space="preserve"/>
      </w:r>
    </w:p>
    <w:p>
      <w:pPr>
        <w:pStyle w:val="Heading1"/>
        <w:pBdr>
          <w:bottom w:val="single" w:color="2E75B6" w:sz="6" w:space="4"/>
        </w:pBdr>
        <w:spacing w:after="160" w:before="320"/>
      </w:pPr>
      <w:r>
        <w:rPr>
          <w:rFonts w:ascii="Arial" w:cs="Arial" w:eastAsia="Arial" w:hAnsi="Arial"/>
          <w:b/>
          <w:bCs/>
          <w:color w:val="1F3864"/>
          <w:sz w:val="32"/>
          <w:szCs w:val="32"/>
        </w:rPr>
        <w:t xml:space="preserve">6. Estimación de costos: protección de 6 IPs públicas</w:t>
      </w:r>
    </w:p>
    <w:p>
      <w:pPr>
        <w:spacing w:after="120" w:before="0"/>
        <w:jc w:val="left"/>
      </w:pPr>
      <w:r>
        <w:rPr>
          <w:rFonts w:ascii="Arial" w:cs="Arial" w:eastAsia="Arial" w:hAnsi="Arial"/>
          <w:color w:val="404040"/>
          <w:sz w:val="22"/>
          <w:szCs w:val="22"/>
        </w:rPr>
        <w:t xml:space="preserve">A continuación se presenta una estimación de costos mensual para proteger 6 IPs públicas bajo diferentes escenarios, basada en los precios de Azure en la región East US (Abril 2026). Los precios pueden variar según región y acuerdos Enterprise.</w:t>
      </w:r>
    </w:p>
    <w:p>
      <w:pPr>
        <w:pStyle w:val="Heading2"/>
        <w:spacing w:after="120" w:before="240"/>
      </w:pPr>
      <w:r>
        <w:rPr>
          <w:rFonts w:ascii="Arial" w:cs="Arial" w:eastAsia="Arial" w:hAnsi="Arial"/>
          <w:b/>
          <w:bCs/>
          <w:color w:val="2E75B6"/>
          <w:sz w:val="26"/>
          <w:szCs w:val="26"/>
        </w:rPr>
        <w:t xml:space="preserve">6.1 Escenario A: Solo DDoS IP Protection (6 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Componente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Precio unitario/mes</w:t>
            </w:r>
          </w:p>
        </w:tc>
        <w:tc>
          <w:tcPr>
            <w:tcW w:type="dxa" w:w="234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Total/mes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DDoS IP Protection × 6 IPs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$199.00 / IP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$1,194.00</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Azure Monitor (alertas DDoS)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~$10.00 (estimado)</w:t>
            </w:r>
          </w:p>
        </w:tc>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$10.00</w:t>
            </w:r>
          </w:p>
        </w:tc>
      </w:tr>
      <w:tr>
        <w:tc>
          <w:tcPr>
            <w:tcW w:type="dxa" w:w="468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spacing w:after="80" w:before="0"/>
              <w:jc w:val="left"/>
            </w:pPr>
            <w:r>
              <w:rPr>
                <w:rFonts w:ascii="Arial" w:cs="Arial" w:eastAsia="Arial" w:hAnsi="Arial"/>
                <w:b/>
                <w:bCs/>
                <w:color w:val="FFFFFF"/>
                <w:sz w:val="21"/>
                <w:szCs w:val="21"/>
              </w:rPr>
              <w:t xml:space="preserve">TOTAL MENSUAL ESTIMADO</w:t>
            </w:r>
          </w:p>
        </w:tc>
        <w:tc>
          <w:tcPr>
            <w:tcW w:type="dxa" w:w="234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spacing w:after="80" w:before="0"/>
              <w:jc w:val="left"/>
            </w:pPr>
            <w:r>
              <w:rPr>
                <w:rFonts w:ascii="Arial" w:cs="Arial" w:eastAsia="Arial" w:hAnsi="Arial"/>
                <w:color w:val="FFFFFF"/>
                <w:sz w:val="22"/>
                <w:szCs w:val="22"/>
              </w:rPr>
              <w:t xml:space="preserve"/>
            </w:r>
          </w:p>
        </w:tc>
        <w:tc>
          <w:tcPr>
            <w:tcW w:type="dxa" w:w="234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spacing w:after="80" w:before="0"/>
              <w:jc w:val="left"/>
            </w:pPr>
            <w:r>
              <w:rPr>
                <w:rFonts w:ascii="Arial" w:cs="Arial" w:eastAsia="Arial" w:hAnsi="Arial"/>
                <w:b/>
                <w:bCs/>
                <w:color w:val="FFFFFF"/>
                <w:sz w:val="22"/>
                <w:szCs w:val="22"/>
              </w:rPr>
              <w:t xml:space="preserve">$1,204.00 USD</w:t>
            </w:r>
          </w:p>
        </w:tc>
      </w:tr>
    </w:tbl>
    <w:p>
      <w:pPr>
        <w:spacing w:after="0" w:before="0"/>
      </w:pPr>
      <w:r>
        <w:t xml:space="preserve"/>
      </w:r>
    </w:p>
    <w:p>
      <w:pPr>
        <w:pStyle w:val="Heading2"/>
        <w:spacing w:after="120" w:before="240"/>
      </w:pPr>
      <w:r>
        <w:rPr>
          <w:rFonts w:ascii="Arial" w:cs="Arial" w:eastAsia="Arial" w:hAnsi="Arial"/>
          <w:b/>
          <w:bCs/>
          <w:color w:val="2E75B6"/>
          <w:sz w:val="26"/>
          <w:szCs w:val="26"/>
        </w:rPr>
        <w:t xml:space="preserve">6.2 Escenario B: DDoS Network Protection + Azure Firewall (solución integral)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Componente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Precio unitario/mes</w:t>
            </w:r>
          </w:p>
        </w:tc>
        <w:tc>
          <w:tcPr>
            <w:tcW w:type="dxa" w:w="234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Total/mes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DDoS Network Protection (incluye hasta 100 IPs)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$2,944.00 (fijo)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$2,944.00</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Azure Firewall Premium (1 instancia)</w:t>
            </w:r>
          </w:p>
        </w:tc>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~$2,190.00 (fijo)</w:t>
            </w:r>
          </w:p>
        </w:tc>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$2,190.00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Azure Firewall — tráfico procesado (500 GB est.)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$0.016/GB</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$8.00</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Application Gateway WAF v2 (pequeño)</w:t>
            </w:r>
          </w:p>
        </w:tc>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~$250.00</w:t>
            </w:r>
          </w:p>
        </w:tc>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$250.00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Log Analytics (10 GB/mes logs)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~$23.00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$23.00</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Azure Monitor (alertas y métricas)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~$10.00</w:t>
            </w:r>
          </w:p>
        </w:tc>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$10.00</w:t>
            </w:r>
          </w:p>
        </w:tc>
      </w:tr>
      <w:tr>
        <w:tc>
          <w:tcPr>
            <w:tcW w:type="dxa" w:w="468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80" w:before="0"/>
              <w:jc w:val="left"/>
            </w:pPr>
            <w:r>
              <w:rPr>
                <w:rFonts w:ascii="Arial" w:cs="Arial" w:eastAsia="Arial" w:hAnsi="Arial"/>
                <w:b/>
                <w:bCs/>
                <w:color w:val="FFFFFF"/>
                <w:sz w:val="21"/>
                <w:szCs w:val="21"/>
              </w:rPr>
              <w:t xml:space="preserve">TOTAL MENSUAL ESTIMADO</w:t>
            </w:r>
          </w:p>
        </w:tc>
        <w:tc>
          <w:tcPr>
            <w:tcW w:type="dxa" w:w="234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80" w:before="0"/>
              <w:jc w:val="left"/>
            </w:pPr>
            <w:r>
              <w:rPr>
                <w:rFonts w:ascii="Arial" w:cs="Arial" w:eastAsia="Arial" w:hAnsi="Arial"/>
                <w:color w:val="FFFFFF"/>
                <w:sz w:val="22"/>
                <w:szCs w:val="22"/>
              </w:rPr>
              <w:t xml:space="preserve"/>
            </w:r>
          </w:p>
        </w:tc>
        <w:tc>
          <w:tcPr>
            <w:tcW w:type="dxa" w:w="234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80" w:before="0"/>
              <w:jc w:val="left"/>
            </w:pPr>
            <w:r>
              <w:rPr>
                <w:rFonts w:ascii="Arial" w:cs="Arial" w:eastAsia="Arial" w:hAnsi="Arial"/>
                <w:b/>
                <w:bCs/>
                <w:color w:val="FFFFFF"/>
                <w:sz w:val="22"/>
                <w:szCs w:val="22"/>
              </w:rPr>
              <w:t xml:space="preserve">$5,425.00 USD</w:t>
            </w:r>
          </w:p>
        </w:tc>
      </w:tr>
    </w:tbl>
    <w:p>
      <w:pPr>
        <w:spacing w:after="0" w:before="0"/>
      </w:pPr>
      <w:r>
        <w:t xml:space="preserve"/>
      </w:r>
    </w:p>
    <w:p>
      <w:pPr>
        <w:pStyle w:val="Heading2"/>
        <w:spacing w:after="120" w:before="240"/>
      </w:pPr>
      <w:r>
        <w:rPr>
          <w:rFonts w:ascii="Arial" w:cs="Arial" w:eastAsia="Arial" w:hAnsi="Arial"/>
          <w:b/>
          <w:bCs/>
          <w:color w:val="2E75B6"/>
          <w:sz w:val="26"/>
          <w:szCs w:val="26"/>
        </w:rPr>
        <w:t xml:space="preserve">6.3 Escenario C: Solución mínima recomendada (DDoS IP + WAF básico)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Componente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Precio unitario/mes</w:t>
            </w:r>
          </w:p>
        </w:tc>
        <w:tc>
          <w:tcPr>
            <w:tcW w:type="dxa" w:w="234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Total/mes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DDoS IP Protection × 6 IPs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$199.00 / IP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$1,194.00</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Application Gateway WAF v2 (small)</w:t>
            </w:r>
          </w:p>
        </w:tc>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~$250.00</w:t>
            </w:r>
          </w:p>
        </w:tc>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$250.00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Log Analytics (5 GB/mes)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~$11.50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$11.50</w:t>
            </w:r>
          </w:p>
        </w:tc>
      </w:tr>
      <w:tr>
        <w:tc>
          <w:tcPr>
            <w:tcW w:type="dxa" w:w="4680"/>
            <w:tcBorders>
              <w:top w:val="single" w:color="CCCCCC" w:sz="1"/>
              <w:left w:val="single" w:color="CCCCCC" w:sz="1"/>
              <w:bottom w:val="single" w:color="CCCCCC" w:sz="1"/>
              <w:right w:val="single" w:color="CCCCCC" w:sz="1"/>
            </w:tcBorders>
            <w:shd w:fill="375623" w:val="clear"/>
            <w:tcMar>
              <w:top w:type="dxa" w:w="80"/>
              <w:left w:type="dxa" w:w="140"/>
              <w:bottom w:type="dxa" w:w="80"/>
              <w:right w:type="dxa" w:w="140"/>
            </w:tcMar>
            <w:vAlign w:val="center"/>
          </w:tcPr>
          <w:p>
            <w:pPr>
              <w:spacing w:after="80" w:before="0"/>
              <w:jc w:val="left"/>
            </w:pPr>
            <w:r>
              <w:rPr>
                <w:rFonts w:ascii="Arial" w:cs="Arial" w:eastAsia="Arial" w:hAnsi="Arial"/>
                <w:b/>
                <w:bCs/>
                <w:color w:val="FFFFFF"/>
                <w:sz w:val="21"/>
                <w:szCs w:val="21"/>
              </w:rPr>
              <w:t xml:space="preserve">TOTAL MENSUAL ESTIMADO</w:t>
            </w:r>
          </w:p>
        </w:tc>
        <w:tc>
          <w:tcPr>
            <w:tcW w:type="dxa" w:w="2340"/>
            <w:tcBorders>
              <w:top w:val="single" w:color="CCCCCC" w:sz="1"/>
              <w:left w:val="single" w:color="CCCCCC" w:sz="1"/>
              <w:bottom w:val="single" w:color="CCCCCC" w:sz="1"/>
              <w:right w:val="single" w:color="CCCCCC" w:sz="1"/>
            </w:tcBorders>
            <w:shd w:fill="375623" w:val="clear"/>
            <w:tcMar>
              <w:top w:type="dxa" w:w="80"/>
              <w:left w:type="dxa" w:w="140"/>
              <w:bottom w:type="dxa" w:w="80"/>
              <w:right w:type="dxa" w:w="140"/>
            </w:tcMar>
            <w:vAlign w:val="center"/>
          </w:tcPr>
          <w:p>
            <w:pPr>
              <w:spacing w:after="80" w:before="0"/>
              <w:jc w:val="left"/>
            </w:pPr>
            <w:r>
              <w:rPr>
                <w:rFonts w:ascii="Arial" w:cs="Arial" w:eastAsia="Arial" w:hAnsi="Arial"/>
                <w:color w:val="FFFFFF"/>
                <w:sz w:val="22"/>
                <w:szCs w:val="22"/>
              </w:rPr>
              <w:t xml:space="preserve"/>
            </w:r>
          </w:p>
        </w:tc>
        <w:tc>
          <w:tcPr>
            <w:tcW w:type="dxa" w:w="2340"/>
            <w:tcBorders>
              <w:top w:val="single" w:color="CCCCCC" w:sz="1"/>
              <w:left w:val="single" w:color="CCCCCC" w:sz="1"/>
              <w:bottom w:val="single" w:color="CCCCCC" w:sz="1"/>
              <w:right w:val="single" w:color="CCCCCC" w:sz="1"/>
            </w:tcBorders>
            <w:shd w:fill="375623" w:val="clear"/>
            <w:tcMar>
              <w:top w:type="dxa" w:w="80"/>
              <w:left w:type="dxa" w:w="140"/>
              <w:bottom w:type="dxa" w:w="80"/>
              <w:right w:type="dxa" w:w="140"/>
            </w:tcMar>
            <w:vAlign w:val="center"/>
          </w:tcPr>
          <w:p>
            <w:pPr>
              <w:spacing w:after="80" w:before="0"/>
              <w:jc w:val="left"/>
            </w:pPr>
            <w:r>
              <w:rPr>
                <w:rFonts w:ascii="Arial" w:cs="Arial" w:eastAsia="Arial" w:hAnsi="Arial"/>
                <w:b/>
                <w:bCs/>
                <w:color w:val="FFFFFF"/>
                <w:sz w:val="22"/>
                <w:szCs w:val="22"/>
              </w:rPr>
              <w:t xml:space="preserve">$1,455.50 USD</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2"/>
              <w:left w:val="single" w:color="C00000" w:sz="12"/>
              <w:bottom w:val="single" w:color="CCCCCC" w:sz="1"/>
              <w:right w:val="single" w:color="CCCCCC" w:sz="1"/>
            </w:tcBorders>
            <w:shd w:fill="FDECEA" w:val="clear"/>
            <w:tcMar>
              <w:top w:type="dxa" w:w="80"/>
              <w:left w:type="dxa" w:w="140"/>
              <w:bottom w:type="dxa" w:w="80"/>
              <w:right w:type="dxa" w:w="140"/>
            </w:tcMar>
            <w:vAlign w:val="center"/>
          </w:tcPr>
          <w:p>
            <w:pPr>
              <w:spacing w:after="60" w:before="0"/>
              <w:jc w:val="left"/>
            </w:pPr>
            <w:r>
              <w:rPr>
                <w:rFonts w:ascii="Arial" w:cs="Arial" w:eastAsia="Arial" w:hAnsi="Arial"/>
                <w:b/>
                <w:bCs/>
                <w:color w:val="C00000"/>
                <w:sz w:val="22"/>
                <w:szCs w:val="22"/>
              </w:rPr>
              <w:t xml:space="preserve">Nota importante sobre la detección en el cliente</w:t>
            </w:r>
          </w:p>
          <w:p>
            <w:pPr>
              <w:spacing w:after="80" w:before="0"/>
              <w:jc w:val="left"/>
            </w:pPr>
            <w:r>
              <w:rPr>
                <w:rFonts w:ascii="Arial" w:cs="Arial" w:eastAsia="Arial" w:hAnsi="Arial"/>
                <w:color w:val="404040"/>
                <w:sz w:val="21"/>
                <w:szCs w:val="21"/>
              </w:rPr>
              <w:t xml:space="preserve">Los cargos detectados en el reporte del cliente ($1,087 USD en Feb 2026 y $2,999 USD en Mar 2026) corresponden a la activación del plan DDoS Network Protection. Dado que no existía historial previo de este servicio, se recomienda verificar con urgencia si fue habilitado intencionalmente. Si no era requerido, deshabilitarlo y solicitar revisión de cargos a Microsoft a través de un ticket de soporte.</w:t>
            </w:r>
          </w:p>
        </w:tc>
      </w:tr>
    </w:tbl>
    <w:p>
      <w:pPr>
        <w:spacing w:after="0" w:before="0"/>
      </w:pPr>
      <w:r>
        <w:t xml:space="preserve"/>
      </w:r>
    </w:p>
    <w:p>
      <w:r>
        <w:br w:type="page"/>
      </w:r>
    </w:p>
    <w:p>
      <w:pPr>
        <w:pStyle w:val="Heading1"/>
        <w:pBdr>
          <w:bottom w:val="single" w:color="2E75B6" w:sz="6" w:space="4"/>
        </w:pBdr>
        <w:spacing w:after="160" w:before="320"/>
      </w:pPr>
      <w:r>
        <w:rPr>
          <w:rFonts w:ascii="Arial" w:cs="Arial" w:eastAsia="Arial" w:hAnsi="Arial"/>
          <w:b/>
          <w:bCs/>
          <w:color w:val="1F3864"/>
          <w:sz w:val="32"/>
          <w:szCs w:val="32"/>
        </w:rPr>
        <w:t xml:space="preserve">7. Mejores prácticas de implementación</w:t>
      </w:r>
    </w:p>
    <w:p>
      <w:pPr>
        <w:pStyle w:val="Heading2"/>
        <w:spacing w:after="120" w:before="240"/>
      </w:pPr>
      <w:r>
        <w:rPr>
          <w:rFonts w:ascii="Arial" w:cs="Arial" w:eastAsia="Arial" w:hAnsi="Arial"/>
          <w:b/>
          <w:bCs/>
          <w:color w:val="2E75B6"/>
          <w:sz w:val="26"/>
          <w:szCs w:val="26"/>
        </w:rPr>
        <w:t xml:space="preserve">7.1 Antes de habilitar el servicio</w:t>
      </w:r>
    </w:p>
    <w:p>
      <w:pPr>
        <w:pStyle w:val="ListParagraph"/>
        <w:numPr>
          <w:ilvl w:val="0"/>
          <w:numId w:val="2"/>
        </w:numPr>
        <w:spacing w:after="40" w:before="40"/>
      </w:pPr>
      <w:r>
        <w:rPr>
          <w:rFonts w:ascii="Arial" w:cs="Arial" w:eastAsia="Arial" w:hAnsi="Arial"/>
          <w:color w:val="404040"/>
          <w:sz w:val="22"/>
          <w:szCs w:val="22"/>
        </w:rPr>
        <w:t xml:space="preserve">Inventariar todas las IPs públicas de la suscripción para estimar el costo real antes de activar Network Protection.</w:t>
      </w:r>
    </w:p>
    <w:p>
      <w:pPr>
        <w:pStyle w:val="ListParagraph"/>
        <w:numPr>
          <w:ilvl w:val="0"/>
          <w:numId w:val="2"/>
        </w:numPr>
        <w:spacing w:after="40" w:before="40"/>
      </w:pPr>
      <w:r>
        <w:rPr>
          <w:rFonts w:ascii="Arial" w:cs="Arial" w:eastAsia="Arial" w:hAnsi="Arial"/>
          <w:color w:val="404040"/>
          <w:sz w:val="22"/>
          <w:szCs w:val="22"/>
        </w:rPr>
        <w:t xml:space="preserve">Definir quién tiene permisos para activar/desactivar el servicio (recomendado: solo rol Network Contributor o Owner con aprobación).</w:t>
      </w:r>
    </w:p>
    <w:p>
      <w:pPr>
        <w:pStyle w:val="ListParagraph"/>
        <w:numPr>
          <w:ilvl w:val="0"/>
          <w:numId w:val="2"/>
        </w:numPr>
        <w:spacing w:after="40" w:before="40"/>
      </w:pPr>
      <w:r>
        <w:rPr>
          <w:rFonts w:ascii="Arial" w:cs="Arial" w:eastAsia="Arial" w:hAnsi="Arial"/>
          <w:color w:val="404040"/>
          <w:sz w:val="22"/>
          <w:szCs w:val="22"/>
        </w:rPr>
        <w:t xml:space="preserve">Establecer alertas de presupuesto en Azure Cost Management con umbral al 80% antes de activar cualquier servicio de seguridad de alto costo.</w:t>
      </w:r>
    </w:p>
    <w:p>
      <w:pPr>
        <w:pStyle w:val="ListParagraph"/>
        <w:numPr>
          <w:ilvl w:val="0"/>
          <w:numId w:val="2"/>
        </w:numPr>
        <w:spacing w:after="40" w:before="40"/>
      </w:pPr>
      <w:r>
        <w:rPr>
          <w:rFonts w:ascii="Arial" w:cs="Arial" w:eastAsia="Arial" w:hAnsi="Arial"/>
          <w:color w:val="404040"/>
          <w:sz w:val="22"/>
          <w:szCs w:val="22"/>
        </w:rPr>
        <w:t xml:space="preserve">Documentar la línea base de tráfico normal de los recursos a proteger para facilitar el ajuste de perfiles adaptativos.</w:t>
      </w:r>
    </w:p>
    <w:p>
      <w:pPr>
        <w:spacing w:after="0" w:before="0"/>
      </w:pPr>
      <w:r>
        <w:t xml:space="preserve"/>
      </w:r>
    </w:p>
    <w:p>
      <w:pPr>
        <w:pStyle w:val="Heading2"/>
        <w:spacing w:after="120" w:before="240"/>
      </w:pPr>
      <w:r>
        <w:rPr>
          <w:rFonts w:ascii="Arial" w:cs="Arial" w:eastAsia="Arial" w:hAnsi="Arial"/>
          <w:b/>
          <w:bCs/>
          <w:color w:val="2E75B6"/>
          <w:sz w:val="26"/>
          <w:szCs w:val="26"/>
        </w:rPr>
        <w:t xml:space="preserve">7.2 Durante la operación</w:t>
      </w:r>
    </w:p>
    <w:p>
      <w:pPr>
        <w:pStyle w:val="ListParagraph"/>
        <w:numPr>
          <w:ilvl w:val="0"/>
          <w:numId w:val="2"/>
        </w:numPr>
        <w:spacing w:after="40" w:before="40"/>
      </w:pPr>
      <w:r>
        <w:rPr>
          <w:rFonts w:ascii="Arial" w:cs="Arial" w:eastAsia="Arial" w:hAnsi="Arial"/>
          <w:color w:val="404040"/>
          <w:sz w:val="22"/>
          <w:szCs w:val="22"/>
        </w:rPr>
        <w:t xml:space="preserve">Configurar alertas en Azure Monitor para las métricas clave: "Under DDoS attack", "Packets dropped", "Bytes dropped".</w:t>
      </w:r>
    </w:p>
    <w:p>
      <w:pPr>
        <w:pStyle w:val="ListParagraph"/>
        <w:numPr>
          <w:ilvl w:val="0"/>
          <w:numId w:val="2"/>
        </w:numPr>
        <w:spacing w:after="40" w:before="40"/>
      </w:pPr>
      <w:r>
        <w:rPr>
          <w:rFonts w:ascii="Arial" w:cs="Arial" w:eastAsia="Arial" w:hAnsi="Arial"/>
          <w:color w:val="404040"/>
          <w:sz w:val="22"/>
          <w:szCs w:val="22"/>
        </w:rPr>
        <w:t xml:space="preserve">Revisar el DDoS Protection Dashboard mensualmente para identificar intentos de ataque, incluso si fueron mitigados automáticamente.</w:t>
      </w:r>
    </w:p>
    <w:p>
      <w:pPr>
        <w:pStyle w:val="ListParagraph"/>
        <w:numPr>
          <w:ilvl w:val="0"/>
          <w:numId w:val="2"/>
        </w:numPr>
        <w:spacing w:after="40" w:before="40"/>
      </w:pPr>
      <w:r>
        <w:rPr>
          <w:rFonts w:ascii="Arial" w:cs="Arial" w:eastAsia="Arial" w:hAnsi="Arial"/>
          <w:color w:val="404040"/>
          <w:sz w:val="22"/>
          <w:szCs w:val="22"/>
        </w:rPr>
        <w:t xml:space="preserve">Mantener los logs de mitigación en Log Analytics por al menos 90 días para análisis forense y cumplimiento.</w:t>
      </w:r>
    </w:p>
    <w:p>
      <w:pPr>
        <w:pStyle w:val="ListParagraph"/>
        <w:numPr>
          <w:ilvl w:val="0"/>
          <w:numId w:val="2"/>
        </w:numPr>
        <w:spacing w:after="40" w:before="40"/>
      </w:pPr>
      <w:r>
        <w:rPr>
          <w:rFonts w:ascii="Arial" w:cs="Arial" w:eastAsia="Arial" w:hAnsi="Arial"/>
          <w:color w:val="404040"/>
          <w:sz w:val="22"/>
          <w:szCs w:val="22"/>
        </w:rPr>
        <w:t xml:space="preserve">Integrar las alertas de DDoS con el equipo de operaciones (via Azure Monitor → Action Groups → Teams/Email/PagerDuty).</w:t>
      </w:r>
    </w:p>
    <w:p>
      <w:pPr>
        <w:spacing w:after="0" w:before="0"/>
      </w:pPr>
      <w:r>
        <w:t xml:space="preserve"/>
      </w:r>
    </w:p>
    <w:p>
      <w:pPr>
        <w:pStyle w:val="Heading2"/>
        <w:spacing w:after="120" w:before="240"/>
      </w:pPr>
      <w:r>
        <w:rPr>
          <w:rFonts w:ascii="Arial" w:cs="Arial" w:eastAsia="Arial" w:hAnsi="Arial"/>
          <w:b/>
          <w:bCs/>
          <w:color w:val="2E75B6"/>
          <w:sz w:val="26"/>
          <w:szCs w:val="26"/>
        </w:rPr>
        <w:t xml:space="preserve">7.3 Gobernanza y control de costos</w:t>
      </w:r>
    </w:p>
    <w:p>
      <w:pPr>
        <w:pStyle w:val="ListParagraph"/>
        <w:numPr>
          <w:ilvl w:val="0"/>
          <w:numId w:val="2"/>
        </w:numPr>
        <w:spacing w:after="40" w:before="40"/>
      </w:pPr>
      <w:r>
        <w:rPr>
          <w:rFonts w:ascii="Arial" w:cs="Arial" w:eastAsia="Arial" w:hAnsi="Arial"/>
          <w:color w:val="404040"/>
          <w:sz w:val="22"/>
          <w:szCs w:val="22"/>
        </w:rPr>
        <w:t xml:space="preserve">Aplicar políticas de Azure Policy para requerir aprobación antes de crear recursos DDoS Protection Plan.</w:t>
      </w:r>
    </w:p>
    <w:p>
      <w:pPr>
        <w:pStyle w:val="ListParagraph"/>
        <w:numPr>
          <w:ilvl w:val="0"/>
          <w:numId w:val="2"/>
        </w:numPr>
        <w:spacing w:after="40" w:before="40"/>
      </w:pPr>
      <w:r>
        <w:rPr>
          <w:rFonts w:ascii="Arial" w:cs="Arial" w:eastAsia="Arial" w:hAnsi="Arial"/>
          <w:color w:val="404040"/>
          <w:sz w:val="22"/>
          <w:szCs w:val="22"/>
        </w:rPr>
        <w:t xml:space="preserve">Usar etiquetas (tags) en todos los recursos de seguridad para facilitar el seguimiento de costos por proyecto o cliente.</w:t>
      </w:r>
    </w:p>
    <w:p>
      <w:pPr>
        <w:pStyle w:val="ListParagraph"/>
        <w:numPr>
          <w:ilvl w:val="0"/>
          <w:numId w:val="2"/>
        </w:numPr>
        <w:spacing w:after="40" w:before="40"/>
      </w:pPr>
      <w:r>
        <w:rPr>
          <w:rFonts w:ascii="Arial" w:cs="Arial" w:eastAsia="Arial" w:hAnsi="Arial"/>
          <w:color w:val="404040"/>
          <w:sz w:val="22"/>
          <w:szCs w:val="22"/>
        </w:rPr>
        <w:t xml:space="preserve">Revisar mensualmente si las IPs protegidas siguen siendo necesarias; las IPs de recursos eliminados generan cargo hasta ser explícitamente removidas.</w:t>
      </w:r>
    </w:p>
    <w:p>
      <w:pPr>
        <w:spacing w:after="0" w:before="0"/>
      </w:pPr>
      <w:r>
        <w:t xml:space="preserve"/>
      </w:r>
    </w:p>
    <w:p>
      <w:pPr>
        <w:pStyle w:val="Heading1"/>
        <w:pBdr>
          <w:bottom w:val="single" w:color="2E75B6" w:sz="6" w:space="4"/>
        </w:pBdr>
        <w:spacing w:after="160" w:before="320"/>
      </w:pPr>
      <w:r>
        <w:rPr>
          <w:rFonts w:ascii="Arial" w:cs="Arial" w:eastAsia="Arial" w:hAnsi="Arial"/>
          <w:b/>
          <w:bCs/>
          <w:color w:val="1F3864"/>
          <w:sz w:val="32"/>
          <w:szCs w:val="32"/>
        </w:rPr>
        <w:t xml:space="preserve">8. Recomendaciones finales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760"/>
        <w:gridCol w:w="2160"/>
      </w:tblGrid>
      <w:tr>
        <w:trPr>
          <w:tblHeader/>
        </w:trPr>
        <w:tc>
          <w:tcPr>
            <w:tcW w:type="dxa" w:w="144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Prioridad</w:t>
            </w:r>
          </w:p>
        </w:tc>
        <w:tc>
          <w:tcPr>
            <w:tcW w:type="dxa" w:w="57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Acción recomendada</w:t>
            </w:r>
          </w:p>
        </w:tc>
        <w:tc>
          <w:tcPr>
            <w:tcW w:type="dxa" w:w="21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Responsable</w:t>
            </w:r>
          </w:p>
        </w:tc>
      </w:tr>
      <w:tr>
        <w:tc>
          <w:tcPr>
            <w:tcW w:type="dxa" w:w="1440"/>
            <w:tcBorders>
              <w:top w:val="single" w:color="CCCCCC" w:sz="1"/>
              <w:left w:val="single" w:color="CCCCCC" w:sz="1"/>
              <w:bottom w:val="single" w:color="CCCCCC" w:sz="1"/>
              <w:right w:val="single" w:color="CCCCCC" w:sz="1"/>
            </w:tcBorders>
            <w:shd w:fill="FFE7E6" w:val="clear"/>
            <w:tcMar>
              <w:top w:type="dxa" w:w="80"/>
              <w:left w:type="dxa" w:w="140"/>
              <w:bottom w:type="dxa" w:w="80"/>
              <w:right w:type="dxa" w:w="140"/>
            </w:tcMar>
            <w:vAlign w:val="center"/>
          </w:tcPr>
          <w:p>
            <w:pPr>
              <w:spacing w:after="80" w:before="0"/>
              <w:jc w:val="center"/>
            </w:pPr>
            <w:r>
              <w:rPr>
                <w:rFonts w:ascii="Arial" w:cs="Arial" w:eastAsia="Arial" w:hAnsi="Arial"/>
                <w:b/>
                <w:bCs/>
                <w:color w:val="C00000"/>
                <w:sz w:val="20"/>
                <w:szCs w:val="20"/>
              </w:rPr>
              <w:t xml:space="preserve">URGENTE</w:t>
            </w:r>
          </w:p>
        </w:tc>
        <w:tc>
          <w:tcPr>
            <w:tcW w:type="dxa" w:w="5760"/>
            <w:tcBorders>
              <w:top w:val="single" w:color="CCCCCC" w:sz="1"/>
              <w:left w:val="single" w:color="CCCCCC" w:sz="1"/>
              <w:bottom w:val="single" w:color="CCCCCC" w:sz="1"/>
              <w:right w:val="single" w:color="CCCCCC" w:sz="1"/>
            </w:tcBorders>
            <w:shd w:fill="FFE7E6"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Verificar si la activación de DDoS Network Protection fue intencional. Si no, deshabilitar de inmediato y abrir ticket con Microsoft para revisión de cargos de Feb-Mar 2026.</w:t>
            </w:r>
          </w:p>
        </w:tc>
        <w:tc>
          <w:tcPr>
            <w:tcW w:type="dxa" w:w="2160"/>
            <w:tcBorders>
              <w:top w:val="single" w:color="CCCCCC" w:sz="1"/>
              <w:left w:val="single" w:color="CCCCCC" w:sz="1"/>
              <w:bottom w:val="single" w:color="CCCCCC" w:sz="1"/>
              <w:right w:val="single" w:color="CCCCCC" w:sz="1"/>
            </w:tcBorders>
            <w:shd w:fill="FFE7E6" w:val="clear"/>
            <w:tcMar>
              <w:top w:type="dxa" w:w="80"/>
              <w:left w:type="dxa" w:w="140"/>
              <w:bottom w:type="dxa" w:w="80"/>
              <w:right w:type="dxa" w:w="140"/>
            </w:tcMar>
            <w:vAlign w:val="center"/>
          </w:tcPr>
          <w:p>
            <w:pPr>
              <w:spacing w:after="80" w:before="0"/>
              <w:jc w:val="center"/>
            </w:pPr>
            <w:r>
              <w:rPr>
                <w:rFonts w:ascii="Arial" w:cs="Arial" w:eastAsia="Arial" w:hAnsi="Arial"/>
                <w:color w:val="404040"/>
                <w:sz w:val="20"/>
                <w:szCs w:val="20"/>
              </w:rPr>
              <w:t xml:space="preserve">Administrador Azure</w:t>
            </w:r>
          </w:p>
        </w:tc>
      </w:tr>
      <w:tr>
        <w:tc>
          <w:tcPr>
            <w:tcW w:type="dxa" w:w="1440"/>
            <w:tcBorders>
              <w:top w:val="single" w:color="CCCCCC" w:sz="1"/>
              <w:left w:val="single" w:color="CCCCCC" w:sz="1"/>
              <w:bottom w:val="single" w:color="CCCCCC" w:sz="1"/>
              <w:right w:val="single" w:color="CCCCCC" w:sz="1"/>
            </w:tcBorders>
            <w:shd w:fill="FFE7E6" w:val="clear"/>
            <w:tcMar>
              <w:top w:type="dxa" w:w="80"/>
              <w:left w:type="dxa" w:w="140"/>
              <w:bottom w:type="dxa" w:w="80"/>
              <w:right w:type="dxa" w:w="140"/>
            </w:tcMar>
            <w:vAlign w:val="center"/>
          </w:tcPr>
          <w:p>
            <w:pPr>
              <w:spacing w:after="80" w:before="0"/>
              <w:jc w:val="center"/>
            </w:pPr>
            <w:r>
              <w:rPr>
                <w:rFonts w:ascii="Arial" w:cs="Arial" w:eastAsia="Arial" w:hAnsi="Arial"/>
                <w:b/>
                <w:bCs/>
                <w:color w:val="C00000"/>
                <w:sz w:val="20"/>
                <w:szCs w:val="20"/>
              </w:rPr>
              <w:t xml:space="preserve">URGENTE</w:t>
            </w:r>
          </w:p>
        </w:tc>
        <w:tc>
          <w:tcPr>
            <w:tcW w:type="dxa" w:w="5760"/>
            <w:tcBorders>
              <w:top w:val="single" w:color="CCCCCC" w:sz="1"/>
              <w:left w:val="single" w:color="CCCCCC" w:sz="1"/>
              <w:bottom w:val="single" w:color="CCCCCC" w:sz="1"/>
              <w:right w:val="single" w:color="CCCCCC" w:sz="1"/>
            </w:tcBorders>
            <w:shd w:fill="FFE7E6"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Auditar los Activity Logs para identificar el usuario que habilitó el servicio (ver script proporcionado).</w:t>
            </w:r>
          </w:p>
        </w:tc>
        <w:tc>
          <w:tcPr>
            <w:tcW w:type="dxa" w:w="2160"/>
            <w:tcBorders>
              <w:top w:val="single" w:color="CCCCCC" w:sz="1"/>
              <w:left w:val="single" w:color="CCCCCC" w:sz="1"/>
              <w:bottom w:val="single" w:color="CCCCCC" w:sz="1"/>
              <w:right w:val="single" w:color="CCCCCC" w:sz="1"/>
            </w:tcBorders>
            <w:shd w:fill="FFE7E6" w:val="clear"/>
            <w:tcMar>
              <w:top w:type="dxa" w:w="80"/>
              <w:left w:type="dxa" w:w="140"/>
              <w:bottom w:type="dxa" w:w="80"/>
              <w:right w:type="dxa" w:w="140"/>
            </w:tcMar>
            <w:vAlign w:val="center"/>
          </w:tcPr>
          <w:p>
            <w:pPr>
              <w:spacing w:after="80" w:before="0"/>
              <w:jc w:val="center"/>
            </w:pPr>
            <w:r>
              <w:rPr>
                <w:rFonts w:ascii="Arial" w:cs="Arial" w:eastAsia="Arial" w:hAnsi="Arial"/>
                <w:color w:val="404040"/>
                <w:sz w:val="20"/>
                <w:szCs w:val="20"/>
              </w:rPr>
              <w:t xml:space="preserve">Equipo de Seguridad</w:t>
            </w:r>
          </w:p>
        </w:tc>
      </w:tr>
      <w:tr>
        <w:tc>
          <w:tcPr>
            <w:tcW w:type="dxa" w:w="1440"/>
            <w:tcBorders>
              <w:top w:val="single" w:color="CCCCCC" w:sz="1"/>
              <w:left w:val="single" w:color="CCCCCC" w:sz="1"/>
              <w:bottom w:val="single" w:color="CCCCCC" w:sz="1"/>
              <w:right w:val="single" w:color="CCCCCC" w:sz="1"/>
            </w:tcBorders>
            <w:shd w:fill="FFFACD" w:val="clear"/>
            <w:tcMar>
              <w:top w:type="dxa" w:w="80"/>
              <w:left w:type="dxa" w:w="140"/>
              <w:bottom w:type="dxa" w:w="80"/>
              <w:right w:type="dxa" w:w="140"/>
            </w:tcMar>
            <w:vAlign w:val="center"/>
          </w:tcPr>
          <w:p>
            <w:pPr>
              <w:spacing w:after="80" w:before="0"/>
              <w:jc w:val="center"/>
            </w:pPr>
            <w:r>
              <w:rPr>
                <w:rFonts w:ascii="Arial" w:cs="Arial" w:eastAsia="Arial" w:hAnsi="Arial"/>
                <w:b/>
                <w:bCs/>
                <w:color w:val="7F6000"/>
                <w:sz w:val="20"/>
                <w:szCs w:val="20"/>
              </w:rPr>
              <w:t xml:space="preserve">CORTO PLAZO</w:t>
            </w:r>
          </w:p>
        </w:tc>
        <w:tc>
          <w:tcPr>
            <w:tcW w:type="dxa" w:w="5760"/>
            <w:tcBorders>
              <w:top w:val="single" w:color="CCCCCC" w:sz="1"/>
              <w:left w:val="single" w:color="CCCCCC" w:sz="1"/>
              <w:bottom w:val="single" w:color="CCCCCC" w:sz="1"/>
              <w:right w:val="single" w:color="CCCCCC" w:sz="1"/>
            </w:tcBorders>
            <w:shd w:fill="FFFACD"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Si se requiere protección DDoS, evaluar DDoS IP Protection para las 6 IPs críticas (~$1,194/mes) como alternativa más económica a Network Protection.</w:t>
            </w:r>
          </w:p>
        </w:tc>
        <w:tc>
          <w:tcPr>
            <w:tcW w:type="dxa" w:w="2160"/>
            <w:tcBorders>
              <w:top w:val="single" w:color="CCCCCC" w:sz="1"/>
              <w:left w:val="single" w:color="CCCCCC" w:sz="1"/>
              <w:bottom w:val="single" w:color="CCCCCC" w:sz="1"/>
              <w:right w:val="single" w:color="CCCCCC" w:sz="1"/>
            </w:tcBorders>
            <w:shd w:fill="FFFACD" w:val="clear"/>
            <w:tcMar>
              <w:top w:type="dxa" w:w="80"/>
              <w:left w:type="dxa" w:w="140"/>
              <w:bottom w:type="dxa" w:w="80"/>
              <w:right w:type="dxa" w:w="140"/>
            </w:tcMar>
            <w:vAlign w:val="center"/>
          </w:tcPr>
          <w:p>
            <w:pPr>
              <w:spacing w:after="80" w:before="0"/>
              <w:jc w:val="center"/>
            </w:pPr>
            <w:r>
              <w:rPr>
                <w:rFonts w:ascii="Arial" w:cs="Arial" w:eastAsia="Arial" w:hAnsi="Arial"/>
                <w:color w:val="404040"/>
                <w:sz w:val="20"/>
                <w:szCs w:val="20"/>
              </w:rPr>
              <w:t xml:space="preserve">Arquitecto de Nube</w:t>
            </w:r>
          </w:p>
        </w:tc>
      </w:tr>
      <w:tr>
        <w:tc>
          <w:tcPr>
            <w:tcW w:type="dxa" w:w="1440"/>
            <w:tcBorders>
              <w:top w:val="single" w:color="CCCCCC" w:sz="1"/>
              <w:left w:val="single" w:color="CCCCCC" w:sz="1"/>
              <w:bottom w:val="single" w:color="CCCCCC" w:sz="1"/>
              <w:right w:val="single" w:color="CCCCCC" w:sz="1"/>
            </w:tcBorders>
            <w:shd w:fill="FFFACD" w:val="clear"/>
            <w:tcMar>
              <w:top w:type="dxa" w:w="80"/>
              <w:left w:type="dxa" w:w="140"/>
              <w:bottom w:type="dxa" w:w="80"/>
              <w:right w:type="dxa" w:w="140"/>
            </w:tcMar>
            <w:vAlign w:val="center"/>
          </w:tcPr>
          <w:p>
            <w:pPr>
              <w:spacing w:after="80" w:before="0"/>
              <w:jc w:val="center"/>
            </w:pPr>
            <w:r>
              <w:rPr>
                <w:rFonts w:ascii="Arial" w:cs="Arial" w:eastAsia="Arial" w:hAnsi="Arial"/>
                <w:b/>
                <w:bCs/>
                <w:color w:val="7F6000"/>
                <w:sz w:val="20"/>
                <w:szCs w:val="20"/>
              </w:rPr>
              <w:t xml:space="preserve">CORTO PLAZO</w:t>
            </w:r>
          </w:p>
        </w:tc>
        <w:tc>
          <w:tcPr>
            <w:tcW w:type="dxa" w:w="5760"/>
            <w:tcBorders>
              <w:top w:val="single" w:color="CCCCCC" w:sz="1"/>
              <w:left w:val="single" w:color="CCCCCC" w:sz="1"/>
              <w:bottom w:val="single" w:color="CCCCCC" w:sz="1"/>
              <w:right w:val="single" w:color="CCCCCC" w:sz="1"/>
            </w:tcBorders>
            <w:shd w:fill="FFFACD"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Implementar Azure Policy para requerir aprobación antes de habilitar DDoS Protection Plans en la suscripción.</w:t>
            </w:r>
          </w:p>
        </w:tc>
        <w:tc>
          <w:tcPr>
            <w:tcW w:type="dxa" w:w="2160"/>
            <w:tcBorders>
              <w:top w:val="single" w:color="CCCCCC" w:sz="1"/>
              <w:left w:val="single" w:color="CCCCCC" w:sz="1"/>
              <w:bottom w:val="single" w:color="CCCCCC" w:sz="1"/>
              <w:right w:val="single" w:color="CCCCCC" w:sz="1"/>
            </w:tcBorders>
            <w:shd w:fill="FFFACD" w:val="clear"/>
            <w:tcMar>
              <w:top w:type="dxa" w:w="80"/>
              <w:left w:type="dxa" w:w="140"/>
              <w:bottom w:type="dxa" w:w="80"/>
              <w:right w:type="dxa" w:w="140"/>
            </w:tcMar>
            <w:vAlign w:val="center"/>
          </w:tcPr>
          <w:p>
            <w:pPr>
              <w:spacing w:after="80" w:before="0"/>
              <w:jc w:val="center"/>
            </w:pPr>
            <w:r>
              <w:rPr>
                <w:rFonts w:ascii="Arial" w:cs="Arial" w:eastAsia="Arial" w:hAnsi="Arial"/>
                <w:color w:val="404040"/>
                <w:sz w:val="20"/>
                <w:szCs w:val="20"/>
              </w:rPr>
              <w:t xml:space="preserve">Administrador Azure</w:t>
            </w:r>
          </w:p>
        </w:tc>
      </w:tr>
      <w:tr>
        <w:tc>
          <w:tcPr>
            <w:tcW w:type="dxa" w:w="1440"/>
            <w:tcBorders>
              <w:top w:val="single" w:color="CCCCCC" w:sz="1"/>
              <w:left w:val="single" w:color="CCCCCC" w:sz="1"/>
              <w:bottom w:val="single" w:color="CCCCCC" w:sz="1"/>
              <w:right w:val="single" w:color="CCCCCC" w:sz="1"/>
            </w:tcBorders>
            <w:shd w:fill="E7F5E7" w:val="clear"/>
            <w:tcMar>
              <w:top w:type="dxa" w:w="80"/>
              <w:left w:type="dxa" w:w="140"/>
              <w:bottom w:type="dxa" w:w="80"/>
              <w:right w:type="dxa" w:w="140"/>
            </w:tcMar>
            <w:vAlign w:val="center"/>
          </w:tcPr>
          <w:p>
            <w:pPr>
              <w:spacing w:after="80" w:before="0"/>
              <w:jc w:val="center"/>
            </w:pPr>
            <w:r>
              <w:rPr>
                <w:rFonts w:ascii="Arial" w:cs="Arial" w:eastAsia="Arial" w:hAnsi="Arial"/>
                <w:b/>
                <w:bCs/>
                <w:color w:val="375623"/>
                <w:sz w:val="20"/>
                <w:szCs w:val="20"/>
              </w:rPr>
              <w:t xml:space="preserve">MEDIANO PLAZO</w:t>
            </w:r>
          </w:p>
        </w:tc>
        <w:tc>
          <w:tcPr>
            <w:tcW w:type="dxa" w:w="5760"/>
            <w:tcBorders>
              <w:top w:val="single" w:color="CCCCCC" w:sz="1"/>
              <w:left w:val="single" w:color="CCCCCC" w:sz="1"/>
              <w:bottom w:val="single" w:color="CCCCCC" w:sz="1"/>
              <w:right w:val="single" w:color="CCCCCC" w:sz="1"/>
            </w:tcBorders>
            <w:shd w:fill="E7F5E7"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Diseñar arquitectura de seguridad multicapa incluyendo DDoS IP + WAF para aplicaciones expuestas a internet con tráfico productivo.</w:t>
            </w:r>
          </w:p>
        </w:tc>
        <w:tc>
          <w:tcPr>
            <w:tcW w:type="dxa" w:w="2160"/>
            <w:tcBorders>
              <w:top w:val="single" w:color="CCCCCC" w:sz="1"/>
              <w:left w:val="single" w:color="CCCCCC" w:sz="1"/>
              <w:bottom w:val="single" w:color="CCCCCC" w:sz="1"/>
              <w:right w:val="single" w:color="CCCCCC" w:sz="1"/>
            </w:tcBorders>
            <w:shd w:fill="E7F5E7" w:val="clear"/>
            <w:tcMar>
              <w:top w:type="dxa" w:w="80"/>
              <w:left w:type="dxa" w:w="140"/>
              <w:bottom w:type="dxa" w:w="80"/>
              <w:right w:type="dxa" w:w="140"/>
            </w:tcMar>
            <w:vAlign w:val="center"/>
          </w:tcPr>
          <w:p>
            <w:pPr>
              <w:spacing w:after="80" w:before="0"/>
              <w:jc w:val="center"/>
            </w:pPr>
            <w:r>
              <w:rPr>
                <w:rFonts w:ascii="Arial" w:cs="Arial" w:eastAsia="Arial" w:hAnsi="Arial"/>
                <w:color w:val="404040"/>
                <w:sz w:val="20"/>
                <w:szCs w:val="20"/>
              </w:rPr>
              <w:t xml:space="preserve">Arquitecto de Soluciones</w:t>
            </w:r>
          </w:p>
        </w:tc>
      </w:tr>
      <w:tr>
        <w:tc>
          <w:tcPr>
            <w:tcW w:type="dxa" w:w="1440"/>
            <w:tcBorders>
              <w:top w:val="single" w:color="CCCCCC" w:sz="1"/>
              <w:left w:val="single" w:color="CCCCCC" w:sz="1"/>
              <w:bottom w:val="single" w:color="CCCCCC" w:sz="1"/>
              <w:right w:val="single" w:color="CCCCCC" w:sz="1"/>
            </w:tcBorders>
            <w:shd w:fill="E7F5E7" w:val="clear"/>
            <w:tcMar>
              <w:top w:type="dxa" w:w="80"/>
              <w:left w:type="dxa" w:w="140"/>
              <w:bottom w:type="dxa" w:w="80"/>
              <w:right w:type="dxa" w:w="140"/>
            </w:tcMar>
            <w:vAlign w:val="center"/>
          </w:tcPr>
          <w:p>
            <w:pPr>
              <w:spacing w:after="80" w:before="0"/>
              <w:jc w:val="center"/>
            </w:pPr>
            <w:r>
              <w:rPr>
                <w:rFonts w:ascii="Arial" w:cs="Arial" w:eastAsia="Arial" w:hAnsi="Arial"/>
                <w:b/>
                <w:bCs/>
                <w:color w:val="375623"/>
                <w:sz w:val="20"/>
                <w:szCs w:val="20"/>
              </w:rPr>
              <w:t xml:space="preserve">MEDIANO PLAZO</w:t>
            </w:r>
          </w:p>
        </w:tc>
        <w:tc>
          <w:tcPr>
            <w:tcW w:type="dxa" w:w="5760"/>
            <w:tcBorders>
              <w:top w:val="single" w:color="CCCCCC" w:sz="1"/>
              <w:left w:val="single" w:color="CCCCCC" w:sz="1"/>
              <w:bottom w:val="single" w:color="CCCCCC" w:sz="1"/>
              <w:right w:val="single" w:color="CCCCCC" w:sz="1"/>
            </w:tcBorders>
            <w:shd w:fill="E7F5E7"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Configurar alertas de presupuesto en Azure Cost Management con notificaciones al 70% y 90% del presupuesto mensual.</w:t>
            </w:r>
          </w:p>
        </w:tc>
        <w:tc>
          <w:tcPr>
            <w:tcW w:type="dxa" w:w="2160"/>
            <w:tcBorders>
              <w:top w:val="single" w:color="CCCCCC" w:sz="1"/>
              <w:left w:val="single" w:color="CCCCCC" w:sz="1"/>
              <w:bottom w:val="single" w:color="CCCCCC" w:sz="1"/>
              <w:right w:val="single" w:color="CCCCCC" w:sz="1"/>
            </w:tcBorders>
            <w:shd w:fill="E7F5E7" w:val="clear"/>
            <w:tcMar>
              <w:top w:type="dxa" w:w="80"/>
              <w:left w:type="dxa" w:w="140"/>
              <w:bottom w:type="dxa" w:w="80"/>
              <w:right w:type="dxa" w:w="140"/>
            </w:tcMar>
            <w:vAlign w:val="center"/>
          </w:tcPr>
          <w:p>
            <w:pPr>
              <w:spacing w:after="80" w:before="0"/>
              <w:jc w:val="center"/>
            </w:pPr>
            <w:r>
              <w:rPr>
                <w:rFonts w:ascii="Arial" w:cs="Arial" w:eastAsia="Arial" w:hAnsi="Arial"/>
                <w:color w:val="404040"/>
                <w:sz w:val="20"/>
                <w:szCs w:val="20"/>
              </w:rPr>
              <w:t xml:space="preserve">FinOps / Administrador</w:t>
            </w:r>
          </w:p>
        </w:tc>
      </w:tr>
    </w:tbl>
    <w:p>
      <w:pPr>
        <w:spacing w:after="0" w:before="0"/>
      </w:pPr>
      <w:r>
        <w:t xml:space="preserve"/>
      </w:r>
    </w:p>
    <w:p>
      <w:pPr>
        <w:spacing w:after="0" w:before="0"/>
      </w:pPr>
      <w:r>
        <w:t xml:space="preserve"/>
      </w:r>
    </w:p>
    <w:p>
      <w:pPr>
        <w:pStyle w:val="Heading1"/>
        <w:pBdr>
          <w:bottom w:val="single" w:color="2E75B6" w:sz="6" w:space="4"/>
        </w:pBdr>
        <w:spacing w:after="160" w:before="320"/>
      </w:pPr>
      <w:r>
        <w:rPr>
          <w:rFonts w:ascii="Arial" w:cs="Arial" w:eastAsia="Arial" w:hAnsi="Arial"/>
          <w:b/>
          <w:bCs/>
          <w:color w:val="1F3864"/>
          <w:sz w:val="32"/>
          <w:szCs w:val="32"/>
        </w:rPr>
        <w:t xml:space="preserve">9. Referencias y recursos adicionales</w:t>
      </w:r>
    </w:p>
    <w:p>
      <w:pPr>
        <w:pStyle w:val="ListParagraph"/>
        <w:numPr>
          <w:ilvl w:val="0"/>
          <w:numId w:val="2"/>
        </w:numPr>
        <w:spacing w:after="40" w:before="40"/>
      </w:pPr>
      <w:r>
        <w:rPr>
          <w:rFonts w:ascii="Arial" w:cs="Arial" w:eastAsia="Arial" w:hAnsi="Arial"/>
          <w:color w:val="404040"/>
          <w:sz w:val="22"/>
          <w:szCs w:val="22"/>
        </w:rPr>
        <w:t xml:space="preserve">Documentación oficial Azure DDoS Protection: https://learn.microsoft.com/azure/ddos-protection/</w:t>
      </w:r>
    </w:p>
    <w:p>
      <w:pPr>
        <w:pStyle w:val="ListParagraph"/>
        <w:numPr>
          <w:ilvl w:val="0"/>
          <w:numId w:val="2"/>
        </w:numPr>
        <w:spacing w:after="40" w:before="40"/>
      </w:pPr>
      <w:r>
        <w:rPr>
          <w:rFonts w:ascii="Arial" w:cs="Arial" w:eastAsia="Arial" w:hAnsi="Arial"/>
          <w:color w:val="404040"/>
          <w:sz w:val="22"/>
          <w:szCs w:val="22"/>
        </w:rPr>
        <w:t xml:space="preserve">Calculadora de precios de Azure: https://azure.microsoft.com/pricing/calculator/</w:t>
      </w:r>
    </w:p>
    <w:p>
      <w:pPr>
        <w:pStyle w:val="ListParagraph"/>
        <w:numPr>
          <w:ilvl w:val="0"/>
          <w:numId w:val="2"/>
        </w:numPr>
        <w:spacing w:after="40" w:before="40"/>
      </w:pPr>
      <w:r>
        <w:rPr>
          <w:rFonts w:ascii="Arial" w:cs="Arial" w:eastAsia="Arial" w:hAnsi="Arial"/>
          <w:color w:val="404040"/>
          <w:sz w:val="22"/>
          <w:szCs w:val="22"/>
        </w:rPr>
        <w:t xml:space="preserve">Mejores prácticas de seguridad en Azure: https://learn.microsoft.com/azure/security/fundamentals/best-practices-and-patterns</w:t>
      </w:r>
    </w:p>
    <w:p>
      <w:pPr>
        <w:pStyle w:val="ListParagraph"/>
        <w:numPr>
          <w:ilvl w:val="0"/>
          <w:numId w:val="2"/>
        </w:numPr>
        <w:spacing w:after="40" w:before="40"/>
      </w:pPr>
      <w:r>
        <w:rPr>
          <w:rFonts w:ascii="Arial" w:cs="Arial" w:eastAsia="Arial" w:hAnsi="Arial"/>
          <w:color w:val="404040"/>
          <w:sz w:val="22"/>
          <w:szCs w:val="22"/>
        </w:rPr>
        <w:t xml:space="preserve">Azure DDoS Protection — Guía de referencia de arquitectura: https://learn.microsoft.com/azure/architecture/reference-architectures/</w:t>
      </w:r>
    </w:p>
    <w:p>
      <w:pPr>
        <w:pStyle w:val="ListParagraph"/>
        <w:numPr>
          <w:ilvl w:val="0"/>
          <w:numId w:val="2"/>
        </w:numPr>
        <w:spacing w:after="40" w:before="40"/>
      </w:pPr>
      <w:r>
        <w:rPr>
          <w:rFonts w:ascii="Arial" w:cs="Arial" w:eastAsia="Arial" w:hAnsi="Arial"/>
          <w:color w:val="404040"/>
          <w:sz w:val="22"/>
          <w:szCs w:val="22"/>
        </w:rPr>
        <w:t xml:space="preserve">Microsoft Learn — DDoS Protection Training: https://learn.microsoft.com/training/modules/introduction-azure-ddos-protection/</w:t>
      </w:r>
    </w:p>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595959" w:sz="8"/>
              <w:bottom w:val="single" w:color="CCCCCC" w:sz="1"/>
              <w:right w:val="single" w:color="CCCCCC" w:sz="1"/>
            </w:tcBorders>
            <w:shd w:fill="F2F2F2" w:val="clear"/>
            <w:tcMar>
              <w:top w:type="dxa" w:w="80"/>
              <w:left w:type="dxa" w:w="140"/>
              <w:bottom w:type="dxa" w:w="80"/>
              <w:right w:type="dxa" w:w="140"/>
            </w:tcMar>
            <w:vAlign w:val="center"/>
          </w:tcPr>
          <w:p>
            <w:pPr>
              <w:spacing w:after="40" w:before="0"/>
              <w:jc w:val="left"/>
            </w:pPr>
            <w:r>
              <w:rPr>
                <w:rFonts w:ascii="Arial" w:cs="Arial" w:eastAsia="Arial" w:hAnsi="Arial"/>
                <w:b/>
                <w:bCs/>
                <w:color w:val="595959"/>
                <w:sz w:val="20"/>
                <w:szCs w:val="20"/>
              </w:rPr>
              <w:t xml:space="preserve">Descargo de responsabilidad</w:t>
            </w:r>
          </w:p>
          <w:p>
            <w:pPr>
              <w:spacing w:after="80" w:before="0"/>
              <w:jc w:val="left"/>
            </w:pPr>
            <w:r>
              <w:rPr>
                <w:rFonts w:ascii="Arial" w:cs="Arial" w:eastAsia="Arial" w:hAnsi="Arial"/>
                <w:i/>
                <w:iCs/>
                <w:color w:val="595959"/>
                <w:sz w:val="19"/>
                <w:szCs w:val="19"/>
              </w:rPr>
              <w:t xml:space="preserve">Los precios indicados en este documento son estimaciones basadas en la lista de precios pública de Azure en abril 2026 para la región East US. Los precios reales pueden variar según acuerdos de Enterprise Agreement, región geográfica, consumo real de tráfico y cambios en la política de precios de Microsoft. Se recomienda siempre validar los costos finales en la calculadora oficial de Azure antes de tomar decisiones de implementación.</w:t>
            </w:r>
          </w:p>
        </w:tc>
      </w:tr>
    </w:tbl>
    <w:sectPr>
      <w:headerReference w:type="default" r:id="rId7"/>
      <w:footerReference w:type="default" r:id="rId8"/>
      <w:pgSz w:w="12240" w:h="15840"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80"/>
      <w:jc w:val="center"/>
    </w:pPr>
    <w:r>
      <w:rPr>
        <w:rFonts w:ascii="Arial" w:cs="Arial" w:eastAsia="Arial" w:hAnsi="Arial"/>
        <w:color w:val="595959"/>
        <w:sz w:val="18"/>
        <w:szCs w:val="18"/>
      </w:rPr>
      <w:t xml:space="preserve">Confidencial — Uso Interno  |  Azure DDoS Protection  |  </w:t>
    </w:r>
    <w:r>
      <w:rPr>
        <w:rFonts w:ascii="Arial" w:cs="Arial" w:eastAsia="Arial" w:hAnsi="Arial"/>
        <w:color w:val="2E75B6"/>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de </w:t>
    </w:r>
    <w:r>
      <w:rPr>
        <w:rFonts w:ascii="Arial" w:cs="Arial" w:eastAsia="Arial" w:hAnsi="Arial"/>
        <w:color w:val="2E75B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720"/>
      <w:gridCol w:w="3000"/>
    </w:tblGrid>
    <w:tr>
      <w:tc>
        <w:tcPr>
          <w:tcW w:type="dxa" w:w="6720"/>
          <w:tcBorders>
            <w:top w:val="none" w:color="FFFFFF" w:sz="0"/>
            <w:left w:val="none" w:color="FFFFFF" w:sz="0"/>
            <w:bottom w:val="none" w:color="FFFFFF" w:sz="0"/>
            <w:right w:val="none" w:color="FFFFFF" w:sz="0"/>
          </w:tcBorders>
          <w:shd w:fill="1F3864" w:val="clear"/>
          <w:tcMar>
            <w:top w:type="dxa" w:w="80"/>
            <w:left w:type="dxa" w:w="140"/>
            <w:bottom w:type="dxa" w:w="80"/>
            <w:right w:type="dxa" w:w="140"/>
          </w:tcMar>
          <w:vAlign w:val="center"/>
        </w:tcPr>
        <w:p>
          <w:pPr>
            <w:spacing w:after="80" w:before="0"/>
            <w:jc w:val="left"/>
          </w:pPr>
          <w:r>
            <w:rPr>
              <w:rFonts w:ascii="Arial" w:cs="Arial" w:eastAsia="Arial" w:hAnsi="Arial"/>
              <w:b/>
              <w:bCs/>
              <w:color w:val="FFFFFF"/>
              <w:sz w:val="20"/>
              <w:szCs w:val="20"/>
            </w:rPr>
            <w:t xml:space="preserve">INFORME EJECUTIVO — AZURE DDoS PROTECTION</w:t>
          </w:r>
        </w:p>
      </w:tc>
      <w:tc>
        <w:tcPr>
          <w:tcW w:type="dxa" w:w="3000"/>
          <w:tcBorders>
            <w:top w:val="none" w:color="FFFFFF" w:sz="0"/>
            <w:left w:val="none" w:color="FFFFFF" w:sz="0"/>
            <w:bottom w:val="none" w:color="FFFFFF" w:sz="0"/>
            <w:right w:val="none" w:color="FFFFFF" w:sz="0"/>
          </w:tcBorders>
          <w:shd w:fill="1F3864" w:val="clear"/>
          <w:tcMar>
            <w:top w:type="dxa" w:w="80"/>
            <w:left w:type="dxa" w:w="140"/>
            <w:bottom w:type="dxa" w:w="80"/>
            <w:right w:type="dxa" w:w="140"/>
          </w:tcMar>
          <w:vAlign w:val="center"/>
        </w:tcPr>
        <w:p>
          <w:pPr>
            <w:spacing w:after="80" w:before="0"/>
            <w:jc w:val="right"/>
          </w:pPr>
          <w:r>
            <w:rPr>
              <w:rFonts w:ascii="Arial" w:cs="Arial" w:eastAsia="Arial" w:hAnsi="Arial"/>
              <w:color w:val="BDD7EE"/>
              <w:sz w:val="18"/>
              <w:szCs w:val="18"/>
            </w:rPr>
            <w:t xml:space="preserve">Análisis Técnico y de Costos</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2E75B6"/>
      </w:rPr>
    </w:lvl>
    <w:lvl w:ilvl="1" w15:tentative="1">
      <w:start w:val="1"/>
      <w:numFmt w:val="bullet"/>
      <w:lvlText w:val="–"/>
      <w:lvlJc w:val="left"/>
      <w:pPr>
        <w:ind w:left="1080" w:hanging="360"/>
      </w:pPr>
      <w:rPr>
        <w:color w:val="595959"/>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2026-04-15T05:24:22.951Z</dcterms:created>
  <dcterms:modified xsi:type="dcterms:W3CDTF">2026-04-15T05:24:22.952Z</dcterms:modified>
</cp:coreProperties>
</file>

<file path=docProps/custom.xml><?xml version="1.0" encoding="utf-8"?>
<Properties xmlns="http://schemas.openxmlformats.org/officeDocument/2006/custom-properties" xmlns:vt="http://schemas.openxmlformats.org/officeDocument/2006/docPropsVTypes"/>
</file>