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3864"/>
          <w:sz w:val="44"/>
          <w:szCs w:val="44"/>
        </w:rPr>
        <w:t xml:space="preserve">PROPUESTA DE SERVICIOS</w:t>
      </w:r>
    </w:p>
    <w:p>
      <w:pPr>
        <w:spacing w:after="100"/>
        <w:jc w:val="center"/>
      </w:pPr>
      <w:r>
        <w:rPr>
          <w:rFonts w:ascii="Calibri" w:cs="Calibri" w:eastAsia="Calibri" w:hAnsi="Calibri"/>
          <w:b/>
          <w:bCs/>
          <w:color w:val="2E74B5"/>
          <w:sz w:val="30"/>
          <w:szCs w:val="30"/>
        </w:rPr>
        <w:t xml:space="preserve">Optimización de Costos y Gobernanza de Azure Blob Storage</w:t>
      </w:r>
    </w:p>
    <w:p>
      <w:pPr>
        <w:spacing w:after="600"/>
        <w:jc w:val="center"/>
      </w:pPr>
      <w:r>
        <w:rPr>
          <w:rFonts w:ascii="Calibri" w:cs="Calibri" w:eastAsia="Calibri" w:hAnsi="Calibri"/>
          <w:i/>
          <w:iCs/>
          <w:color w:val="595959"/>
          <w:sz w:val="26"/>
          <w:szCs w:val="26"/>
        </w:rPr>
        <w:t xml:space="preserve">Grupo Romo</w:t>
      </w:r>
    </w:p>
    <w:p>
      <w:pPr>
        <w:spacing w:after="40"/>
        <w:jc w:val="center"/>
      </w:pPr>
      <w:r>
        <w:rPr>
          <w:rFonts w:ascii="Calibri" w:cs="Calibri" w:eastAsia="Calibri" w:hAnsi="Calibri"/>
          <w:sz w:val="21"/>
          <w:szCs w:val="21"/>
        </w:rPr>
        <w:t xml:space="preserve">Fecha de elaboración: 15 de julio de 2026</w:t>
      </w:r>
    </w:p>
    <w:p>
      <w:pPr>
        <w:spacing w:after="40"/>
        <w:jc w:val="center"/>
      </w:pPr>
      <w:r>
        <w:rPr>
          <w:rFonts w:ascii="Calibri" w:cs="Calibri" w:eastAsia="Calibri" w:hAnsi="Calibri"/>
          <w:sz w:val="21"/>
          <w:szCs w:val="21"/>
        </w:rPr>
        <w:t xml:space="preserve">Versión: 1.0</w:t>
      </w:r>
    </w:p>
    <w:p>
      <w:pPr>
        <w:spacing w:after="40"/>
        <w:jc w:val="center"/>
      </w:pPr>
      <w:r>
        <w:rPr>
          <w:rFonts w:ascii="Calibri" w:cs="Calibri" w:eastAsia="Calibri" w:hAnsi="Calibri"/>
          <w:color w:val="C00000"/>
          <w:sz w:val="21"/>
          <w:szCs w:val="21"/>
        </w:rPr>
        <w:t xml:space="preserve">Clasificación: Confidencial — Uso interno</w:t>
      </w:r>
    </w:p>
    <w:p>
      <w:r>
        <w:br w:type="page"/>
      </w:r>
    </w:p>
    <w:p>
      <w:pPr>
        <w:pStyle w:val="Heading1"/>
        <w:pBdr>
          <w:bottom w:val="single" w:color="2E74B5" w:sz="6" w:space="4"/>
        </w:pBdr>
        <w:spacing w:after="160" w:before="360"/>
      </w:pPr>
      <w:r>
        <w:rPr>
          <w:rFonts w:ascii="Calibri" w:cs="Calibri" w:eastAsia="Calibri" w:hAnsi="Calibri"/>
          <w:b/>
          <w:bCs/>
          <w:color w:val="1F3864"/>
          <w:sz w:val="30"/>
          <w:szCs w:val="30"/>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4B5" w:sz="6" w:space="4"/>
        </w:pBdr>
        <w:spacing w:after="160" w:before="360"/>
      </w:pPr>
      <w:r>
        <w:rPr>
          <w:rFonts w:ascii="Calibri" w:cs="Calibri" w:eastAsia="Calibri" w:hAnsi="Calibri"/>
          <w:b/>
          <w:bCs/>
          <w:color w:val="1F3864"/>
          <w:sz w:val="30"/>
          <w:szCs w:val="30"/>
        </w:rPr>
        <w:t xml:space="preserve">1. Resumen Ejecutivo</w:t>
      </w:r>
    </w:p>
    <w:p>
      <w:pPr>
        <w:spacing w:after="140" w:line="276"/>
      </w:pPr>
      <w:r>
        <w:rPr>
          <w:rFonts w:ascii="Calibri" w:cs="Calibri" w:eastAsia="Calibri" w:hAnsi="Calibri"/>
          <w:sz w:val="21"/>
          <w:szCs w:val="21"/>
        </w:rPr>
        <w:t xml:space="preserve">Grupo Romo opera actualmente una cuenta de Azure Blob Storage con un presupuesto contratado de 28 TB, sobre el cual se ha generado un excedente sostenido de 23 TB adicionales, alcanzando un consumo total de 51 TB y un costo mensual de $909 USD. El crecimiento del almacenamiento ha sido acelerado (+77% en 6 meses, de $501 USD en diciembre 2025 a $891 USD en mayo 2026), sin que a la fecha existan políticas de ciclo de vida, alertas de presupuesto, ni etiquetado de gobernanza.</w:t>
      </w:r>
    </w:p>
    <w:p>
      <w:pPr>
        <w:spacing w:after="140" w:line="276"/>
      </w:pPr>
      <w:r>
        <w:rPr>
          <w:rFonts w:ascii="Calibri" w:cs="Calibri" w:eastAsia="Calibri" w:hAnsi="Calibri"/>
          <w:sz w:val="21"/>
          <w:szCs w:val="21"/>
        </w:rPr>
        <w:t xml:space="preserve">Esta propuesta cubre dos frentes: (1) la sustitución administrativa del contrato actual (28 TB) por uno nuevo que ampare un presupuesto único de $1,000 USD mensuales para cubrir los 51 TB en operación, y (2) la implementación de seis políticas técnicas de optimización de costos, gobernanza y control, complementadas con mecanismos de protección de datos (sin borrado no autorizado), monitoreo proactivo y una estrategia de respaldo basada en etiquetas.</w:t>
      </w:r>
    </w:p>
    <w:p>
      <w:pPr>
        <w:spacing w:after="140" w:line="276"/>
      </w:pPr>
      <w:r>
        <w:rPr>
          <w:rFonts w:ascii="Calibri" w:cs="Calibri" w:eastAsia="Calibri" w:hAnsi="Calibri"/>
          <w:sz w:val="21"/>
          <w:szCs w:val="21"/>
        </w:rPr>
        <w:t xml:space="preserve">El principio rector de esta propuesta es: optimizar costo y visibilidad sin eliminar información. Toda acción de limpieza o depuración de datos se plantea como un proceso de identificación, notificación y validación humana — nunca como borrado automático.</w:t>
      </w:r>
    </w:p>
    <w:p>
      <w:pPr>
        <w:pStyle w:val="Heading1"/>
        <w:pBdr>
          <w:bottom w:val="single" w:color="2E74B5" w:sz="6" w:space="4"/>
        </w:pBdr>
        <w:spacing w:after="160" w:before="360"/>
      </w:pPr>
      <w:r>
        <w:rPr>
          <w:rFonts w:ascii="Calibri" w:cs="Calibri" w:eastAsia="Calibri" w:hAnsi="Calibri"/>
          <w:b/>
          <w:bCs/>
          <w:color w:val="1F3864"/>
          <w:sz w:val="30"/>
          <w:szCs w:val="30"/>
        </w:rPr>
        <w:t xml:space="preserve">2. Situación Actual</w:t>
      </w:r>
    </w:p>
    <w:p>
      <w:pPr>
        <w:pStyle w:val="Heading2"/>
        <w:spacing w:after="120" w:before="260"/>
      </w:pPr>
      <w:r>
        <w:rPr>
          <w:rFonts w:ascii="Calibri" w:cs="Calibri" w:eastAsia="Calibri" w:hAnsi="Calibri"/>
          <w:b/>
          <w:bCs/>
          <w:color w:val="2E74B5"/>
          <w:sz w:val="24"/>
          <w:szCs w:val="24"/>
        </w:rPr>
        <w:t xml:space="preserve">2.1 Consumo y costos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c>
          <w:tcPr>
            <w:tcW w:type="dxa" w:w="4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Concepto</w:t>
            </w:r>
          </w:p>
        </w:tc>
        <w:tc>
          <w:tcPr>
            <w:tcW w:type="dxa" w:w="5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Valor actual</w:t>
            </w:r>
          </w:p>
        </w:tc>
      </w:tr>
      <w:tr>
        <w:tc>
          <w:tcPr>
            <w:tcW w:type="dxa" w:w="4000"/>
            <w:tcMar>
              <w:top w:type="dxa" w:w="80"/>
              <w:left w:type="dxa" w:w="100"/>
              <w:bottom w:type="dxa" w:w="80"/>
              <w:right w:type="dxa" w:w="100"/>
            </w:tcMar>
            <w:vAlign w:val="center"/>
          </w:tcPr>
          <w:p>
            <w:r>
              <w:rPr>
                <w:rFonts w:ascii="Calibri" w:cs="Calibri" w:eastAsia="Calibri" w:hAnsi="Calibri"/>
                <w:sz w:val="20"/>
                <w:szCs w:val="20"/>
              </w:rPr>
              <w:t xml:space="preserve">Presupuesto contratado original</w:t>
            </w:r>
          </w:p>
        </w:tc>
        <w:tc>
          <w:tcPr>
            <w:tcW w:type="dxa" w:w="5350"/>
            <w:tcMar>
              <w:top w:type="dxa" w:w="80"/>
              <w:left w:type="dxa" w:w="100"/>
              <w:bottom w:type="dxa" w:w="80"/>
              <w:right w:type="dxa" w:w="100"/>
            </w:tcMar>
            <w:vAlign w:val="center"/>
          </w:tcPr>
          <w:p>
            <w:r>
              <w:rPr>
                <w:rFonts w:ascii="Calibri" w:cs="Calibri" w:eastAsia="Calibri" w:hAnsi="Calibri"/>
                <w:sz w:val="20"/>
                <w:szCs w:val="20"/>
              </w:rPr>
              <w:t xml:space="preserve">28 TB</w:t>
            </w:r>
          </w:p>
        </w:tc>
      </w:tr>
      <w:tr>
        <w:tc>
          <w:tcPr>
            <w:tcW w:type="dxa" w:w="4000"/>
            <w:shd w:fill="F2F2F2" w:val="clear"/>
            <w:tcMar>
              <w:top w:type="dxa" w:w="80"/>
              <w:left w:type="dxa" w:w="100"/>
              <w:bottom w:type="dxa" w:w="80"/>
              <w:right w:type="dxa" w:w="100"/>
            </w:tcMar>
            <w:vAlign w:val="center"/>
          </w:tcPr>
          <w:p>
            <w:r>
              <w:rPr>
                <w:rFonts w:ascii="Calibri" w:cs="Calibri" w:eastAsia="Calibri" w:hAnsi="Calibri"/>
                <w:sz w:val="20"/>
                <w:szCs w:val="20"/>
              </w:rPr>
              <w:t xml:space="preserve">Excedente en uso (pago adicional)</w:t>
            </w:r>
          </w:p>
        </w:tc>
        <w:tc>
          <w:tcPr>
            <w:tcW w:type="dxa" w:w="5350"/>
            <w:shd w:fill="F2F2F2" w:val="clear"/>
            <w:tcMar>
              <w:top w:type="dxa" w:w="80"/>
              <w:left w:type="dxa" w:w="100"/>
              <w:bottom w:type="dxa" w:w="80"/>
              <w:right w:type="dxa" w:w="100"/>
            </w:tcMar>
            <w:vAlign w:val="center"/>
          </w:tcPr>
          <w:p>
            <w:r>
              <w:rPr>
                <w:rFonts w:ascii="Calibri" w:cs="Calibri" w:eastAsia="Calibri" w:hAnsi="Calibri"/>
                <w:sz w:val="20"/>
                <w:szCs w:val="20"/>
              </w:rPr>
              <w:t xml:space="preserve">23 TB</w:t>
            </w:r>
          </w:p>
        </w:tc>
      </w:tr>
      <w:tr>
        <w:tc>
          <w:tcPr>
            <w:tcW w:type="dxa" w:w="4000"/>
            <w:tcMar>
              <w:top w:type="dxa" w:w="80"/>
              <w:left w:type="dxa" w:w="100"/>
              <w:bottom w:type="dxa" w:w="80"/>
              <w:right w:type="dxa" w:w="100"/>
            </w:tcMar>
            <w:vAlign w:val="center"/>
          </w:tcPr>
          <w:p>
            <w:r>
              <w:rPr>
                <w:rFonts w:ascii="Calibri" w:cs="Calibri" w:eastAsia="Calibri" w:hAnsi="Calibri"/>
                <w:sz w:val="20"/>
                <w:szCs w:val="20"/>
              </w:rPr>
              <w:t xml:space="preserve">Consumo total real</w:t>
            </w:r>
          </w:p>
        </w:tc>
        <w:tc>
          <w:tcPr>
            <w:tcW w:type="dxa" w:w="5350"/>
            <w:tcMar>
              <w:top w:type="dxa" w:w="80"/>
              <w:left w:type="dxa" w:w="100"/>
              <w:bottom w:type="dxa" w:w="80"/>
              <w:right w:type="dxa" w:w="100"/>
            </w:tcMar>
            <w:vAlign w:val="center"/>
          </w:tcPr>
          <w:p>
            <w:r>
              <w:rPr>
                <w:rFonts w:ascii="Calibri" w:cs="Calibri" w:eastAsia="Calibri" w:hAnsi="Calibri"/>
                <w:sz w:val="20"/>
                <w:szCs w:val="20"/>
              </w:rPr>
              <w:t xml:space="preserve">51 TB</w:t>
            </w:r>
          </w:p>
        </w:tc>
      </w:tr>
      <w:tr>
        <w:tc>
          <w:tcPr>
            <w:tcW w:type="dxa" w:w="4000"/>
            <w:shd w:fill="F2F2F2" w:val="clear"/>
            <w:tcMar>
              <w:top w:type="dxa" w:w="80"/>
              <w:left w:type="dxa" w:w="100"/>
              <w:bottom w:type="dxa" w:w="80"/>
              <w:right w:type="dxa" w:w="100"/>
            </w:tcMar>
            <w:vAlign w:val="center"/>
          </w:tcPr>
          <w:p>
            <w:r>
              <w:rPr>
                <w:rFonts w:ascii="Calibri" w:cs="Calibri" w:eastAsia="Calibri" w:hAnsi="Calibri"/>
                <w:sz w:val="20"/>
                <w:szCs w:val="20"/>
              </w:rPr>
              <w:t xml:space="preserve">Costo mensual actual</w:t>
            </w:r>
          </w:p>
        </w:tc>
        <w:tc>
          <w:tcPr>
            <w:tcW w:type="dxa" w:w="5350"/>
            <w:shd w:fill="F2F2F2" w:val="clear"/>
            <w:tcMar>
              <w:top w:type="dxa" w:w="80"/>
              <w:left w:type="dxa" w:w="100"/>
              <w:bottom w:type="dxa" w:w="80"/>
              <w:right w:type="dxa" w:w="100"/>
            </w:tcMar>
            <w:vAlign w:val="center"/>
          </w:tcPr>
          <w:p>
            <w:r>
              <w:rPr>
                <w:rFonts w:ascii="Calibri" w:cs="Calibri" w:eastAsia="Calibri" w:hAnsi="Calibri"/>
                <w:b/>
                <w:bCs/>
                <w:sz w:val="20"/>
                <w:szCs w:val="20"/>
              </w:rPr>
              <w:t xml:space="preserve">$909 USD</w:t>
            </w:r>
          </w:p>
        </w:tc>
      </w:tr>
      <w:tr>
        <w:tc>
          <w:tcPr>
            <w:tcW w:type="dxa" w:w="4000"/>
            <w:tcMar>
              <w:top w:type="dxa" w:w="80"/>
              <w:left w:type="dxa" w:w="100"/>
              <w:bottom w:type="dxa" w:w="80"/>
              <w:right w:type="dxa" w:w="100"/>
            </w:tcMar>
            <w:vAlign w:val="center"/>
          </w:tcPr>
          <w:p>
            <w:r>
              <w:rPr>
                <w:rFonts w:ascii="Calibri" w:cs="Calibri" w:eastAsia="Calibri" w:hAnsi="Calibri"/>
                <w:sz w:val="20"/>
                <w:szCs w:val="20"/>
              </w:rPr>
              <w:t xml:space="preserve">Costo en diciembre 2025</w:t>
            </w:r>
          </w:p>
        </w:tc>
        <w:tc>
          <w:tcPr>
            <w:tcW w:type="dxa" w:w="5350"/>
            <w:tcMar>
              <w:top w:type="dxa" w:w="80"/>
              <w:left w:type="dxa" w:w="100"/>
              <w:bottom w:type="dxa" w:w="80"/>
              <w:right w:type="dxa" w:w="100"/>
            </w:tcMar>
            <w:vAlign w:val="center"/>
          </w:tcPr>
          <w:p>
            <w:r>
              <w:rPr>
                <w:rFonts w:ascii="Calibri" w:cs="Calibri" w:eastAsia="Calibri" w:hAnsi="Calibri"/>
                <w:sz w:val="20"/>
                <w:szCs w:val="20"/>
              </w:rPr>
              <w:t xml:space="preserve">$501 USD</w:t>
            </w:r>
          </w:p>
        </w:tc>
      </w:tr>
      <w:tr>
        <w:tc>
          <w:tcPr>
            <w:tcW w:type="dxa" w:w="4000"/>
            <w:shd w:fill="F2F2F2" w:val="clear"/>
            <w:tcMar>
              <w:top w:type="dxa" w:w="80"/>
              <w:left w:type="dxa" w:w="100"/>
              <w:bottom w:type="dxa" w:w="80"/>
              <w:right w:type="dxa" w:w="100"/>
            </w:tcMar>
            <w:vAlign w:val="center"/>
          </w:tcPr>
          <w:p>
            <w:r>
              <w:rPr>
                <w:rFonts w:ascii="Calibri" w:cs="Calibri" w:eastAsia="Calibri" w:hAnsi="Calibri"/>
                <w:sz w:val="20"/>
                <w:szCs w:val="20"/>
              </w:rPr>
              <w:t xml:space="preserve">Costo en mayo 2026</w:t>
            </w:r>
          </w:p>
        </w:tc>
        <w:tc>
          <w:tcPr>
            <w:tcW w:type="dxa" w:w="5350"/>
            <w:shd w:fill="F2F2F2" w:val="clear"/>
            <w:tcMar>
              <w:top w:type="dxa" w:w="80"/>
              <w:left w:type="dxa" w:w="100"/>
              <w:bottom w:type="dxa" w:w="80"/>
              <w:right w:type="dxa" w:w="100"/>
            </w:tcMar>
            <w:vAlign w:val="center"/>
          </w:tcPr>
          <w:p>
            <w:r>
              <w:rPr>
                <w:rFonts w:ascii="Calibri" w:cs="Calibri" w:eastAsia="Calibri" w:hAnsi="Calibri"/>
                <w:sz w:val="20"/>
                <w:szCs w:val="20"/>
              </w:rPr>
              <w:t xml:space="preserve">$891 USD</w:t>
            </w:r>
          </w:p>
        </w:tc>
      </w:tr>
      <w:tr>
        <w:tc>
          <w:tcPr>
            <w:tcW w:type="dxa" w:w="4000"/>
            <w:tcMar>
              <w:top w:type="dxa" w:w="80"/>
              <w:left w:type="dxa" w:w="100"/>
              <w:bottom w:type="dxa" w:w="80"/>
              <w:right w:type="dxa" w:w="100"/>
            </w:tcMar>
            <w:vAlign w:val="center"/>
          </w:tcPr>
          <w:p>
            <w:r>
              <w:rPr>
                <w:rFonts w:ascii="Calibri" w:cs="Calibri" w:eastAsia="Calibri" w:hAnsi="Calibri"/>
                <w:sz w:val="20"/>
                <w:szCs w:val="20"/>
              </w:rPr>
              <w:t xml:space="preserve">Crecimiento en 6 meses</w:t>
            </w:r>
          </w:p>
        </w:tc>
        <w:tc>
          <w:tcPr>
            <w:tcW w:type="dxa" w:w="5350"/>
            <w:tcMar>
              <w:top w:type="dxa" w:w="80"/>
              <w:left w:type="dxa" w:w="100"/>
              <w:bottom w:type="dxa" w:w="80"/>
              <w:right w:type="dxa" w:w="100"/>
            </w:tcMar>
            <w:vAlign w:val="center"/>
          </w:tcPr>
          <w:p>
            <w:r>
              <w:rPr>
                <w:rFonts w:ascii="Calibri" w:cs="Calibri" w:eastAsia="Calibri" w:hAnsi="Calibri"/>
                <w:b/>
                <w:bCs/>
                <w:color w:val="C00000"/>
                <w:sz w:val="20"/>
                <w:szCs w:val="20"/>
              </w:rPr>
              <w:t xml:space="preserve">+77%</w:t>
            </w:r>
          </w:p>
        </w:tc>
      </w:tr>
      <w:tr>
        <w:tc>
          <w:tcPr>
            <w:tcW w:type="dxa" w:w="4000"/>
            <w:shd w:fill="F2F2F2" w:val="clear"/>
            <w:tcMar>
              <w:top w:type="dxa" w:w="80"/>
              <w:left w:type="dxa" w:w="100"/>
              <w:bottom w:type="dxa" w:w="80"/>
              <w:right w:type="dxa" w:w="100"/>
            </w:tcMar>
            <w:vAlign w:val="center"/>
          </w:tcPr>
          <w:p>
            <w:r>
              <w:rPr>
                <w:rFonts w:ascii="Calibri" w:cs="Calibri" w:eastAsia="Calibri" w:hAnsi="Calibri"/>
                <w:sz w:val="20"/>
                <w:szCs w:val="20"/>
              </w:rPr>
              <w:t xml:space="preserve">Write Operations — Marzo 2026</w:t>
            </w:r>
          </w:p>
        </w:tc>
        <w:tc>
          <w:tcPr>
            <w:tcW w:type="dxa" w:w="5350"/>
            <w:shd w:fill="F2F2F2" w:val="clear"/>
            <w:tcMar>
              <w:top w:type="dxa" w:w="80"/>
              <w:left w:type="dxa" w:w="100"/>
              <w:bottom w:type="dxa" w:w="80"/>
              <w:right w:type="dxa" w:w="100"/>
            </w:tcMar>
            <w:vAlign w:val="center"/>
          </w:tcPr>
          <w:p>
            <w:r>
              <w:rPr>
                <w:rFonts w:ascii="Calibri" w:cs="Calibri" w:eastAsia="Calibri" w:hAnsi="Calibri"/>
                <w:sz w:val="20"/>
                <w:szCs w:val="20"/>
              </w:rPr>
              <w:t xml:space="preserve">$5.00 USD (vs. ~$1.00 USD en meses regulares, +400%)</w:t>
            </w:r>
          </w:p>
        </w:tc>
      </w:tr>
    </w:tbl>
    <w:p>
      <w:pPr>
        <w:spacing w:after="160"/>
      </w:pPr>
    </w:p>
    <w:p>
      <w:pPr>
        <w:pStyle w:val="Heading2"/>
        <w:spacing w:after="120" w:before="260"/>
      </w:pPr>
      <w:r>
        <w:rPr>
          <w:rFonts w:ascii="Calibri" w:cs="Calibri" w:eastAsia="Calibri" w:hAnsi="Calibri"/>
          <w:b/>
          <w:bCs/>
          <w:color w:val="2E74B5"/>
          <w:sz w:val="24"/>
          <w:szCs w:val="24"/>
        </w:rPr>
        <w:t xml:space="preserve">2.2 Brechas identificadas</w:t>
      </w:r>
    </w:p>
    <w:p>
      <w:pPr>
        <w:pStyle w:val="ListParagraph"/>
        <w:numPr>
          <w:ilvl w:val="0"/>
          <w:numId w:val="2"/>
        </w:numPr>
        <w:spacing w:after="80" w:line="264"/>
      </w:pPr>
      <w:r>
        <w:rPr>
          <w:rFonts w:ascii="Calibri" w:cs="Calibri" w:eastAsia="Calibri" w:hAnsi="Calibri"/>
          <w:sz w:val="21"/>
          <w:szCs w:val="21"/>
        </w:rPr>
        <w:t xml:space="preserve">No existen políticas de Lifecycle Management: todo el dato permanece en tier Hot LRS independientemente de su antigüedad o frecuencia de acceso.</w:t>
      </w:r>
    </w:p>
    <w:p>
      <w:pPr>
        <w:pStyle w:val="ListParagraph"/>
        <w:numPr>
          <w:ilvl w:val="0"/>
          <w:numId w:val="2"/>
        </w:numPr>
        <w:spacing w:after="80" w:line="264"/>
      </w:pPr>
      <w:r>
        <w:rPr>
          <w:rFonts w:ascii="Calibri" w:cs="Calibri" w:eastAsia="Calibri" w:hAnsi="Calibri"/>
          <w:sz w:val="21"/>
          <w:szCs w:val="21"/>
        </w:rPr>
        <w:t xml:space="preserve">No hay presupuesto (Budget) ni alertas de costo configuradas en Azure Cost Management + Billing.</w:t>
      </w:r>
    </w:p>
    <w:p>
      <w:pPr>
        <w:pStyle w:val="ListParagraph"/>
        <w:numPr>
          <w:ilvl w:val="0"/>
          <w:numId w:val="2"/>
        </w:numPr>
        <w:spacing w:after="80" w:line="264"/>
      </w:pPr>
      <w:r>
        <w:rPr>
          <w:rFonts w:ascii="Calibri" w:cs="Calibri" w:eastAsia="Calibri" w:hAnsi="Calibri"/>
          <w:sz w:val="21"/>
          <w:szCs w:val="21"/>
        </w:rPr>
        <w:t xml:space="preserve">No hay evidencia de un proceso de depuración de datos obsoletos, duplicados o huérfanos.</w:t>
      </w:r>
    </w:p>
    <w:p>
      <w:pPr>
        <w:pStyle w:val="ListParagraph"/>
        <w:numPr>
          <w:ilvl w:val="0"/>
          <w:numId w:val="2"/>
        </w:numPr>
        <w:spacing w:after="80" w:line="264"/>
      </w:pPr>
      <w:r>
        <w:rPr>
          <w:rFonts w:ascii="Calibri" w:cs="Calibri" w:eastAsia="Calibri" w:hAnsi="Calibri"/>
          <w:sz w:val="21"/>
          <w:szCs w:val="21"/>
        </w:rPr>
        <w:t xml:space="preserve">No existen etiquetas (tags) de gobernanza (Proyecto, Ambiente, Centro de Costo, Propietario).</w:t>
      </w:r>
    </w:p>
    <w:p>
      <w:pPr>
        <w:pStyle w:val="ListParagraph"/>
        <w:numPr>
          <w:ilvl w:val="0"/>
          <w:numId w:val="2"/>
        </w:numPr>
        <w:spacing w:after="80" w:line="264"/>
      </w:pPr>
      <w:r>
        <w:rPr>
          <w:rFonts w:ascii="Calibri" w:cs="Calibri" w:eastAsia="Calibri" w:hAnsi="Calibri"/>
          <w:sz w:val="21"/>
          <w:szCs w:val="21"/>
        </w:rPr>
        <w:t xml:space="preserve">El pico de Write Operations de marzo 2026 no ha sido investigado ni atribuido a un proceso, aplicación o usuario.</w:t>
      </w:r>
    </w:p>
    <w:p>
      <w:pPr>
        <w:pStyle w:val="ListParagraph"/>
        <w:numPr>
          <w:ilvl w:val="0"/>
          <w:numId w:val="2"/>
        </w:numPr>
        <w:spacing w:after="80" w:line="264"/>
      </w:pPr>
      <w:r>
        <w:rPr>
          <w:rFonts w:ascii="Calibri" w:cs="Calibri" w:eastAsia="Calibri" w:hAnsi="Calibri"/>
          <w:sz w:val="21"/>
          <w:szCs w:val="21"/>
        </w:rPr>
        <w:t xml:space="preserve">No hay mecanismos de respaldo (backup) ni protección adicional contra borrado accidental documentados.</w:t>
      </w:r>
    </w:p>
    <w:p>
      <w:pPr>
        <w:spacing w:after="100"/>
      </w:pPr>
    </w:p>
    <w:p>
      <w:pPr>
        <w:pStyle w:val="Heading1"/>
        <w:pBdr>
          <w:bottom w:val="single" w:color="2E74B5" w:sz="6" w:space="4"/>
        </w:pBdr>
        <w:spacing w:after="160" w:before="360"/>
      </w:pPr>
      <w:r>
        <w:rPr>
          <w:rFonts w:ascii="Calibri" w:cs="Calibri" w:eastAsia="Calibri" w:hAnsi="Calibri"/>
          <w:b/>
          <w:bCs/>
          <w:color w:val="1F3864"/>
          <w:sz w:val="30"/>
          <w:szCs w:val="30"/>
        </w:rPr>
        <w:t xml:space="preserve">3. Alcance</w:t>
      </w:r>
    </w:p>
    <w:p>
      <w:pPr>
        <w:spacing w:after="140" w:line="276"/>
      </w:pPr>
      <w:r>
        <w:rPr>
          <w:rFonts w:ascii="Calibri" w:cs="Calibri" w:eastAsia="Calibri" w:hAnsi="Calibri"/>
          <w:sz w:val="21"/>
          <w:szCs w:val="21"/>
        </w:rPr>
        <w:t xml:space="preserve">El presente proyecto contempla:</w:t>
      </w:r>
    </w:p>
    <w:p>
      <w:pPr>
        <w:pStyle w:val="ListParagraph"/>
        <w:numPr>
          <w:ilvl w:val="0"/>
          <w:numId w:val="3"/>
        </w:numPr>
        <w:spacing w:after="80" w:line="264"/>
      </w:pPr>
      <w:r>
        <w:rPr>
          <w:rFonts w:ascii="Calibri" w:cs="Calibri" w:eastAsia="Calibri" w:hAnsi="Calibri"/>
          <w:sz w:val="21"/>
          <w:szCs w:val="21"/>
        </w:rPr>
        <w:t xml:space="preserve">Gestión administrativa: sustitución del contrato de 28 TB por un contrato único de presupuesto $1,000 USD/mes que ampare los 51 TB en operación.</w:t>
      </w:r>
    </w:p>
    <w:p>
      <w:pPr>
        <w:pStyle w:val="ListParagraph"/>
        <w:numPr>
          <w:ilvl w:val="0"/>
          <w:numId w:val="3"/>
        </w:numPr>
        <w:spacing w:after="80" w:line="264"/>
      </w:pPr>
      <w:r>
        <w:rPr>
          <w:rFonts w:ascii="Calibri" w:cs="Calibri" w:eastAsia="Calibri" w:hAnsi="Calibri"/>
          <w:sz w:val="21"/>
          <w:szCs w:val="21"/>
        </w:rPr>
        <w:t xml:space="preserve">Configuración de política de Lifecycle Management (tierToCool a 30 días, tierToArchive a 90 días sin acceso) sobre la(s) cuenta(s) de Storage en alcance.</w:t>
      </w:r>
    </w:p>
    <w:p>
      <w:pPr>
        <w:pStyle w:val="ListParagraph"/>
        <w:numPr>
          <w:ilvl w:val="0"/>
          <w:numId w:val="3"/>
        </w:numPr>
        <w:spacing w:after="80" w:line="264"/>
      </w:pPr>
      <w:r>
        <w:rPr>
          <w:rFonts w:ascii="Calibri" w:cs="Calibri" w:eastAsia="Calibri" w:hAnsi="Calibri"/>
          <w:sz w:val="21"/>
          <w:szCs w:val="21"/>
        </w:rPr>
        <w:t xml:space="preserve">Ejecución de un inventario de blobs (Blob Inventory) para identificar candidatos a depuración (sin accesos recientes, duplicados o sin propietario claro).</w:t>
      </w:r>
    </w:p>
    <w:p>
      <w:pPr>
        <w:pStyle w:val="ListParagraph"/>
        <w:numPr>
          <w:ilvl w:val="0"/>
          <w:numId w:val="3"/>
        </w:numPr>
        <w:spacing w:after="80" w:line="264"/>
      </w:pPr>
      <w:r>
        <w:rPr>
          <w:rFonts w:ascii="Calibri" w:cs="Calibri" w:eastAsia="Calibri" w:hAnsi="Calibri"/>
          <w:sz w:val="21"/>
          <w:szCs w:val="21"/>
        </w:rPr>
        <w:t xml:space="preserve">Diseño e implementación de un proceso mensual de revisión y depuración con aprobación humana obligatoria (sin borrado automático).</w:t>
      </w:r>
    </w:p>
    <w:p>
      <w:pPr>
        <w:pStyle w:val="ListParagraph"/>
        <w:numPr>
          <w:ilvl w:val="0"/>
          <w:numId w:val="3"/>
        </w:numPr>
        <w:spacing w:after="80" w:line="264"/>
      </w:pPr>
      <w:r>
        <w:rPr>
          <w:rFonts w:ascii="Calibri" w:cs="Calibri" w:eastAsia="Calibri" w:hAnsi="Calibri"/>
          <w:sz w:val="21"/>
          <w:szCs w:val="21"/>
        </w:rPr>
        <w:t xml:space="preserve">Configuración de Budgets y Cost Alerts (80% y 100%) y de Cost Anomaly Alerts en Azure Cost Management + Billing.</w:t>
      </w:r>
    </w:p>
    <w:p>
      <w:pPr>
        <w:pStyle w:val="ListParagraph"/>
        <w:numPr>
          <w:ilvl w:val="0"/>
          <w:numId w:val="3"/>
        </w:numPr>
        <w:spacing w:after="80" w:line="264"/>
      </w:pPr>
      <w:r>
        <w:rPr>
          <w:rFonts w:ascii="Calibri" w:cs="Calibri" w:eastAsia="Calibri" w:hAnsi="Calibri"/>
          <w:sz w:val="21"/>
          <w:szCs w:val="21"/>
        </w:rPr>
        <w:t xml:space="preserve">Investigación puntual del pico de Write Operations de marzo 2026 mediante Azure Monitor / Storage Logs.</w:t>
      </w:r>
    </w:p>
    <w:p>
      <w:pPr>
        <w:pStyle w:val="ListParagraph"/>
        <w:numPr>
          <w:ilvl w:val="0"/>
          <w:numId w:val="3"/>
        </w:numPr>
        <w:spacing w:after="80" w:line="264"/>
      </w:pPr>
      <w:r>
        <w:rPr>
          <w:rFonts w:ascii="Calibri" w:cs="Calibri" w:eastAsia="Calibri" w:hAnsi="Calibri"/>
          <w:sz w:val="21"/>
          <w:szCs w:val="21"/>
        </w:rPr>
        <w:t xml:space="preserve">Definición y aplicación de un esquema de etiquetado de gobernanza (Proyecto, Ambiente, CentroCosto, Propietario).</w:t>
      </w:r>
    </w:p>
    <w:p>
      <w:pPr>
        <w:pStyle w:val="ListParagraph"/>
        <w:numPr>
          <w:ilvl w:val="0"/>
          <w:numId w:val="3"/>
        </w:numPr>
        <w:spacing w:after="80" w:line="264"/>
      </w:pPr>
      <w:r>
        <w:rPr>
          <w:rFonts w:ascii="Calibri" w:cs="Calibri" w:eastAsia="Calibri" w:hAnsi="Calibri"/>
          <w:sz w:val="21"/>
          <w:szCs w:val="21"/>
        </w:rPr>
        <w:t xml:space="preserve">Configuración de controles de protección de datos: soft delete, versioning, resource locks y flujo de notificación ante intentos de eliminación.</w:t>
      </w:r>
    </w:p>
    <w:p>
      <w:pPr>
        <w:pStyle w:val="ListParagraph"/>
        <w:numPr>
          <w:ilvl w:val="0"/>
          <w:numId w:val="3"/>
        </w:numPr>
        <w:spacing w:after="80" w:line="264"/>
      </w:pPr>
      <w:r>
        <w:rPr>
          <w:rFonts w:ascii="Calibri" w:cs="Calibri" w:eastAsia="Calibri" w:hAnsi="Calibri"/>
          <w:sz w:val="21"/>
          <w:szCs w:val="21"/>
        </w:rPr>
        <w:t xml:space="preserve">Configuración de monitoreo y alertas para los movimientos de tier, eventos de ciclo de vida y operaciones de eliminación.</w:t>
      </w:r>
    </w:p>
    <w:p>
      <w:pPr>
        <w:pStyle w:val="ListParagraph"/>
        <w:numPr>
          <w:ilvl w:val="0"/>
          <w:numId w:val="3"/>
        </w:numPr>
        <w:spacing w:after="80" w:line="264"/>
      </w:pPr>
      <w:r>
        <w:rPr>
          <w:rFonts w:ascii="Calibri" w:cs="Calibri" w:eastAsia="Calibri" w:hAnsi="Calibri"/>
          <w:sz w:val="21"/>
          <w:szCs w:val="21"/>
        </w:rPr>
        <w:t xml:space="preserve">Diseño de estrategia de backup (operational + vaulted) basada en etiquetas, con frecuencia semanal para los datos designados.</w:t>
      </w:r>
    </w:p>
    <w:p>
      <w:pPr>
        <w:pStyle w:val="ListParagraph"/>
        <w:numPr>
          <w:ilvl w:val="0"/>
          <w:numId w:val="3"/>
        </w:numPr>
        <w:spacing w:after="80" w:line="264"/>
      </w:pPr>
      <w:r>
        <w:rPr>
          <w:rFonts w:ascii="Calibri" w:cs="Calibri" w:eastAsia="Calibri" w:hAnsi="Calibri"/>
          <w:sz w:val="21"/>
          <w:szCs w:val="21"/>
        </w:rPr>
        <w:t xml:space="preserve">Documentación técnica, capacitación breve al equipo de TI de Grupo Romo y entrega de manual de operación.</w:t>
      </w:r>
    </w:p>
    <w:p>
      <w:pPr>
        <w:spacing w:after="100"/>
      </w:pPr>
    </w:p>
    <w:p>
      <w:pPr>
        <w:pStyle w:val="Heading1"/>
        <w:pBdr>
          <w:bottom w:val="single" w:color="2E74B5" w:sz="6" w:space="4"/>
        </w:pBdr>
        <w:spacing w:after="160" w:before="360"/>
      </w:pPr>
      <w:r>
        <w:rPr>
          <w:rFonts w:ascii="Calibri" w:cs="Calibri" w:eastAsia="Calibri" w:hAnsi="Calibri"/>
          <w:b/>
          <w:bCs/>
          <w:color w:val="1F3864"/>
          <w:sz w:val="30"/>
          <w:szCs w:val="30"/>
        </w:rPr>
        <w:t xml:space="preserve">4. Fuera de Alcance</w:t>
      </w:r>
    </w:p>
    <w:p>
      <w:pPr>
        <w:pStyle w:val="ListParagraph"/>
        <w:numPr>
          <w:ilvl w:val="0"/>
          <w:numId w:val="2"/>
        </w:numPr>
        <w:spacing w:after="80" w:line="264"/>
      </w:pPr>
      <w:r>
        <w:rPr>
          <w:rFonts w:ascii="Calibri" w:cs="Calibri" w:eastAsia="Calibri" w:hAnsi="Calibri"/>
          <w:sz w:val="21"/>
          <w:szCs w:val="21"/>
        </w:rPr>
        <w:t xml:space="preserve">Eliminación (borrado definitivo) de cualquier blob, contenedor o cuenta de almacenamiento. Toda depuración queda limitada a identificación + notificación + decisión humana documentada.</w:t>
      </w:r>
    </w:p>
    <w:p>
      <w:pPr>
        <w:pStyle w:val="ListParagraph"/>
        <w:numPr>
          <w:ilvl w:val="0"/>
          <w:numId w:val="2"/>
        </w:numPr>
        <w:spacing w:after="80" w:line="264"/>
      </w:pPr>
      <w:r>
        <w:rPr>
          <w:rFonts w:ascii="Calibri" w:cs="Calibri" w:eastAsia="Calibri" w:hAnsi="Calibri"/>
          <w:sz w:val="21"/>
          <w:szCs w:val="21"/>
        </w:rPr>
        <w:t xml:space="preserve">Migración de datos hacia otra nube, otra región de Azure o rediseño de la arquitectura de aplicaciones consumidoras del Storage.</w:t>
      </w:r>
    </w:p>
    <w:p>
      <w:pPr>
        <w:pStyle w:val="ListParagraph"/>
        <w:numPr>
          <w:ilvl w:val="0"/>
          <w:numId w:val="2"/>
        </w:numPr>
        <w:spacing w:after="80" w:line="264"/>
      </w:pPr>
      <w:r>
        <w:rPr>
          <w:rFonts w:ascii="Calibri" w:cs="Calibri" w:eastAsia="Calibri" w:hAnsi="Calibri"/>
          <w:sz w:val="21"/>
          <w:szCs w:val="21"/>
        </w:rPr>
        <w:t xml:space="preserve">Renegociación comercial/contractual con Microsoft o el CSP (Cloud Solution Provider) — se documentan los requerimientos, pero la firma del nuevo contrato de $1,000 USD es responsabilidad de Grupo Romo y su proveedor.</w:t>
      </w:r>
    </w:p>
    <w:p>
      <w:pPr>
        <w:pStyle w:val="ListParagraph"/>
        <w:numPr>
          <w:ilvl w:val="0"/>
          <w:numId w:val="2"/>
        </w:numPr>
        <w:spacing w:after="80" w:line="264"/>
      </w:pPr>
      <w:r>
        <w:rPr>
          <w:rFonts w:ascii="Calibri" w:cs="Calibri" w:eastAsia="Calibri" w:hAnsi="Calibri"/>
          <w:sz w:val="21"/>
          <w:szCs w:val="21"/>
        </w:rPr>
        <w:t xml:space="preserve">Desarrollo o modificación del código de las aplicaciones que generan el pico de escrituras (solo se entrega el diagnóstico y recomendación; el remedio en código es responsabilidad del equipo dueño de la aplicación).</w:t>
      </w:r>
    </w:p>
    <w:p>
      <w:pPr>
        <w:pStyle w:val="ListParagraph"/>
        <w:numPr>
          <w:ilvl w:val="0"/>
          <w:numId w:val="2"/>
        </w:numPr>
        <w:spacing w:after="80" w:line="264"/>
      </w:pPr>
      <w:r>
        <w:rPr>
          <w:rFonts w:ascii="Calibri" w:cs="Calibri" w:eastAsia="Calibri" w:hAnsi="Calibri"/>
          <w:sz w:val="21"/>
          <w:szCs w:val="21"/>
        </w:rPr>
        <w:t xml:space="preserve">Cumplimiento normativo específico (ISO 27001, LFPDPPP, SOC2, etc.) más allá de las buenas prácticas generales de gobernanza de datos.</w:t>
      </w:r>
    </w:p>
    <w:p>
      <w:pPr>
        <w:pStyle w:val="ListParagraph"/>
        <w:numPr>
          <w:ilvl w:val="0"/>
          <w:numId w:val="2"/>
        </w:numPr>
        <w:spacing w:after="80" w:line="264"/>
      </w:pPr>
      <w:r>
        <w:rPr>
          <w:rFonts w:ascii="Calibri" w:cs="Calibri" w:eastAsia="Calibri" w:hAnsi="Calibri"/>
          <w:sz w:val="21"/>
          <w:szCs w:val="21"/>
        </w:rPr>
        <w:t xml:space="preserve">Soporte 24/7 post-implementación; se entrega documentación y transferencia de conocimiento, no operación continua (salvo que se contrate por separado).</w:t>
      </w:r>
    </w:p>
    <w:p>
      <w:pPr>
        <w:spacing w:after="100"/>
      </w:pPr>
    </w:p>
    <w:p>
      <w:pPr>
        <w:pStyle w:val="Heading1"/>
        <w:pBdr>
          <w:bottom w:val="single" w:color="2E74B5" w:sz="6" w:space="4"/>
        </w:pBdr>
        <w:spacing w:after="160" w:before="360"/>
      </w:pPr>
      <w:r>
        <w:rPr>
          <w:rFonts w:ascii="Calibri" w:cs="Calibri" w:eastAsia="Calibri" w:hAnsi="Calibri"/>
          <w:b/>
          <w:bCs/>
          <w:color w:val="1F3864"/>
          <w:sz w:val="30"/>
          <w:szCs w:val="30"/>
        </w:rPr>
        <w:t xml:space="preserve">5. Supuestos</w:t>
      </w:r>
    </w:p>
    <w:p>
      <w:pPr>
        <w:pStyle w:val="ListParagraph"/>
        <w:numPr>
          <w:ilvl w:val="0"/>
          <w:numId w:val="2"/>
        </w:numPr>
        <w:spacing w:after="80" w:line="264"/>
      </w:pPr>
      <w:r>
        <w:rPr>
          <w:rFonts w:ascii="Calibri" w:cs="Calibri" w:eastAsia="Calibri" w:hAnsi="Calibri"/>
          <w:sz w:val="21"/>
          <w:szCs w:val="21"/>
        </w:rPr>
        <w:t xml:space="preserve">Grupo Romo cuenta con un rol de Owner o Contributor + User Access Administrator sobre la suscripción/Resource Group involucrado para poder aplicar RBAC, locks y políticas.</w:t>
      </w:r>
    </w:p>
    <w:p>
      <w:pPr>
        <w:pStyle w:val="ListParagraph"/>
        <w:numPr>
          <w:ilvl w:val="0"/>
          <w:numId w:val="2"/>
        </w:numPr>
        <w:spacing w:after="80" w:line="264"/>
      </w:pPr>
      <w:r>
        <w:rPr>
          <w:rFonts w:ascii="Calibri" w:cs="Calibri" w:eastAsia="Calibri" w:hAnsi="Calibri"/>
          <w:sz w:val="21"/>
          <w:szCs w:val="21"/>
        </w:rPr>
        <w:t xml:space="preserve">La cuenta de Storage es de tipo General Purpose v2 (GPv2); si existe alguna cuenta v1, se asume su actualización previa, ya que Lifecycle Management requiere GPv2.</w:t>
      </w:r>
    </w:p>
    <w:p>
      <w:pPr>
        <w:pStyle w:val="ListParagraph"/>
        <w:numPr>
          <w:ilvl w:val="0"/>
          <w:numId w:val="2"/>
        </w:numPr>
        <w:spacing w:after="80" w:line="264"/>
      </w:pPr>
      <w:r>
        <w:rPr>
          <w:rFonts w:ascii="Calibri" w:cs="Calibri" w:eastAsia="Calibri" w:hAnsi="Calibri"/>
          <w:sz w:val="21"/>
          <w:szCs w:val="21"/>
        </w:rPr>
        <w:t xml:space="preserve">El contrato/presupuesto de $1,000 USD será tramitado directamente entre Grupo Romo y su proveedor/CSP; el equipo técnico solo brinda los datos de consumo para soportar la negociación.</w:t>
      </w:r>
    </w:p>
    <w:p>
      <w:pPr>
        <w:pStyle w:val="ListParagraph"/>
        <w:numPr>
          <w:ilvl w:val="0"/>
          <w:numId w:val="2"/>
        </w:numPr>
        <w:spacing w:after="80" w:line="264"/>
      </w:pPr>
      <w:r>
        <w:rPr>
          <w:rFonts w:ascii="Calibri" w:cs="Calibri" w:eastAsia="Calibri" w:hAnsi="Calibri"/>
          <w:sz w:val="21"/>
          <w:szCs w:val="21"/>
        </w:rPr>
        <w:t xml:space="preserve">Los propietarios de datos (áreas de negocio) estarán disponibles durante el proceso de auditoría mensual para validar/autorizar depuraciones sobre sus datos.</w:t>
      </w:r>
    </w:p>
    <w:p>
      <w:pPr>
        <w:pStyle w:val="ListParagraph"/>
        <w:numPr>
          <w:ilvl w:val="0"/>
          <w:numId w:val="2"/>
        </w:numPr>
        <w:spacing w:after="80" w:line="264"/>
      </w:pPr>
      <w:r>
        <w:rPr>
          <w:rFonts w:ascii="Calibri" w:cs="Calibri" w:eastAsia="Calibri" w:hAnsi="Calibri"/>
          <w:sz w:val="21"/>
          <w:szCs w:val="21"/>
        </w:rPr>
        <w:t xml:space="preserve">No existen restricciones regulatorias que impidan mover datos específicos a tier Cool/Archive (ej. requisitos de acceso inmediato 24/7 sobre todo el dataset).</w:t>
      </w:r>
    </w:p>
    <w:p>
      <w:pPr>
        <w:pStyle w:val="ListParagraph"/>
        <w:numPr>
          <w:ilvl w:val="0"/>
          <w:numId w:val="2"/>
        </w:numPr>
        <w:spacing w:after="80" w:line="264"/>
      </w:pPr>
      <w:r>
        <w:rPr>
          <w:rFonts w:ascii="Calibri" w:cs="Calibri" w:eastAsia="Calibri" w:hAnsi="Calibri"/>
          <w:sz w:val="21"/>
          <w:szCs w:val="21"/>
        </w:rPr>
        <w:t xml:space="preserve">Los costos y porcentajes de ahorro estimados en la calculadora de Azure son referenciales; deben validarse en el portal oficial con la región y tipo de redundancia (LRS/GRS/ZRS) reales de la cuenta.</w:t>
      </w:r>
    </w:p>
    <w:p>
      <w:pPr>
        <w:pStyle w:val="ListParagraph"/>
        <w:numPr>
          <w:ilvl w:val="0"/>
          <w:numId w:val="2"/>
        </w:numPr>
        <w:spacing w:after="80" w:line="264"/>
      </w:pPr>
      <w:r>
        <w:rPr>
          <w:rFonts w:ascii="Calibri" w:cs="Calibri" w:eastAsia="Calibri" w:hAnsi="Calibri"/>
          <w:sz w:val="21"/>
          <w:szCs w:val="21"/>
        </w:rPr>
        <w:t xml:space="preserve">El horario de mantenimiento para aplicar cambios de configuración (fuera de ventana pico) será coordinado con el equipo de TI de Grupo Romo.</w:t>
      </w:r>
    </w:p>
    <w:p>
      <w:pPr>
        <w:spacing w:after="100"/>
      </w:pPr>
    </w:p>
    <w:p>
      <w:pPr>
        <w:pStyle w:val="Heading1"/>
        <w:pBdr>
          <w:bottom w:val="single" w:color="2E74B5" w:sz="6" w:space="4"/>
        </w:pBdr>
        <w:spacing w:after="160" w:before="360"/>
      </w:pPr>
      <w:r>
        <w:rPr>
          <w:rFonts w:ascii="Calibri" w:cs="Calibri" w:eastAsia="Calibri" w:hAnsi="Calibri"/>
          <w:b/>
          <w:bCs/>
          <w:color w:val="1F3864"/>
          <w:sz w:val="30"/>
          <w:szCs w:val="30"/>
        </w:rPr>
        <w:t xml:space="preserve">6. Requerimientos Técnicos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Componente</w:t>
            </w:r>
          </w:p>
        </w:tc>
        <w:tc>
          <w:tcPr>
            <w:tcW w:type="dxa" w:w="6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Requerimiento</w:t>
            </w:r>
          </w:p>
        </w:tc>
      </w:tr>
      <w:tr>
        <w:tc>
          <w:tcPr>
            <w:tcW w:type="dxa" w:w="3200"/>
            <w:tcMar>
              <w:top w:type="dxa" w:w="80"/>
              <w:left w:type="dxa" w:w="100"/>
              <w:bottom w:type="dxa" w:w="80"/>
              <w:right w:type="dxa" w:w="100"/>
            </w:tcMar>
            <w:vAlign w:val="center"/>
          </w:tcPr>
          <w:p>
            <w:r>
              <w:rPr>
                <w:rFonts w:ascii="Calibri" w:cs="Calibri" w:eastAsia="Calibri" w:hAnsi="Calibri"/>
                <w:sz w:val="20"/>
                <w:szCs w:val="20"/>
              </w:rPr>
              <w:t xml:space="preserve">Storage Account</w:t>
            </w:r>
          </w:p>
        </w:tc>
        <w:tc>
          <w:tcPr>
            <w:tcW w:type="dxa" w:w="6150"/>
            <w:tcMar>
              <w:top w:type="dxa" w:w="80"/>
              <w:left w:type="dxa" w:w="100"/>
              <w:bottom w:type="dxa" w:w="80"/>
              <w:right w:type="dxa" w:w="100"/>
            </w:tcMar>
            <w:vAlign w:val="center"/>
          </w:tcPr>
          <w:p>
            <w:r>
              <w:rPr>
                <w:rFonts w:ascii="Calibri" w:cs="Calibri" w:eastAsia="Calibri" w:hAnsi="Calibri"/>
                <w:sz w:val="20"/>
                <w:szCs w:val="20"/>
              </w:rPr>
              <w:t xml:space="preserve">General Purpose v2 (GPv2), Standard, soporte de tiers Hot/Cool/Archive y Lifecycle Management.</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Acceso / RBAC</w:t>
            </w:r>
          </w:p>
        </w:tc>
        <w:tc>
          <w:tcPr>
            <w:tcW w:type="dxa" w:w="6150"/>
            <w:shd w:fill="F2F2F2" w:val="clear"/>
            <w:tcMar>
              <w:top w:type="dxa" w:w="80"/>
              <w:left w:type="dxa" w:w="100"/>
              <w:bottom w:type="dxa" w:w="80"/>
              <w:right w:type="dxa" w:w="100"/>
            </w:tcMar>
            <w:vAlign w:val="center"/>
          </w:tcPr>
          <w:p>
            <w:r>
              <w:rPr>
                <w:rFonts w:ascii="Calibri" w:cs="Calibri" w:eastAsia="Calibri" w:hAnsi="Calibri"/>
                <w:sz w:val="20"/>
                <w:szCs w:val="20"/>
              </w:rPr>
              <w:t xml:space="preserve">Rol Storage Account Contributor (mínimo) sobre la cuenta objetivo; Cost Management Contributor para budgets/alerts; permisos para crear Resource Locks.</w:t>
            </w:r>
          </w:p>
        </w:tc>
      </w:tr>
      <w:tr>
        <w:tc>
          <w:tcPr>
            <w:tcW w:type="dxa" w:w="3200"/>
            <w:tcMar>
              <w:top w:type="dxa" w:w="80"/>
              <w:left w:type="dxa" w:w="100"/>
              <w:bottom w:type="dxa" w:w="80"/>
              <w:right w:type="dxa" w:w="100"/>
            </w:tcMar>
            <w:vAlign w:val="center"/>
          </w:tcPr>
          <w:p>
            <w:r>
              <w:rPr>
                <w:rFonts w:ascii="Calibri" w:cs="Calibri" w:eastAsia="Calibri" w:hAnsi="Calibri"/>
                <w:sz w:val="20"/>
                <w:szCs w:val="20"/>
              </w:rPr>
              <w:t xml:space="preserve">Azure Cost Management + Billing</w:t>
            </w:r>
          </w:p>
        </w:tc>
        <w:tc>
          <w:tcPr>
            <w:tcW w:type="dxa" w:w="6150"/>
            <w:tcMar>
              <w:top w:type="dxa" w:w="80"/>
              <w:left w:type="dxa" w:w="100"/>
              <w:bottom w:type="dxa" w:w="80"/>
              <w:right w:type="dxa" w:w="100"/>
            </w:tcMar>
            <w:vAlign w:val="center"/>
          </w:tcPr>
          <w:p>
            <w:r>
              <w:rPr>
                <w:rFonts w:ascii="Calibri" w:cs="Calibri" w:eastAsia="Calibri" w:hAnsi="Calibri"/>
                <w:sz w:val="20"/>
                <w:szCs w:val="20"/>
              </w:rPr>
              <w:t xml:space="preserve">Acceso habilitado a nivel suscripción para crear Budgets, Action Groups y Cost Anomaly Alerts.</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Azure Monitor / Log Analytics</w:t>
            </w:r>
          </w:p>
        </w:tc>
        <w:tc>
          <w:tcPr>
            <w:tcW w:type="dxa" w:w="6150"/>
            <w:shd w:fill="F2F2F2" w:val="clear"/>
            <w:tcMar>
              <w:top w:type="dxa" w:w="80"/>
              <w:left w:type="dxa" w:w="100"/>
              <w:bottom w:type="dxa" w:w="80"/>
              <w:right w:type="dxa" w:w="100"/>
            </w:tcMar>
            <w:vAlign w:val="center"/>
          </w:tcPr>
          <w:p>
            <w:r>
              <w:rPr>
                <w:rFonts w:ascii="Calibri" w:cs="Calibri" w:eastAsia="Calibri" w:hAnsi="Calibri"/>
                <w:sz w:val="20"/>
                <w:szCs w:val="20"/>
              </w:rPr>
              <w:t xml:space="preserve">Workspace de Log Analytics para diagnostic settings de la cuenta de Storage (StorageWrite, StorageRead, StorageDelete logs).</w:t>
            </w:r>
          </w:p>
        </w:tc>
      </w:tr>
      <w:tr>
        <w:tc>
          <w:tcPr>
            <w:tcW w:type="dxa" w:w="3200"/>
            <w:tcMar>
              <w:top w:type="dxa" w:w="80"/>
              <w:left w:type="dxa" w:w="100"/>
              <w:bottom w:type="dxa" w:w="80"/>
              <w:right w:type="dxa" w:w="100"/>
            </w:tcMar>
            <w:vAlign w:val="center"/>
          </w:tcPr>
          <w:p>
            <w:r>
              <w:rPr>
                <w:rFonts w:ascii="Calibri" w:cs="Calibri" w:eastAsia="Calibri" w:hAnsi="Calibri"/>
                <w:sz w:val="20"/>
                <w:szCs w:val="20"/>
              </w:rPr>
              <w:t xml:space="preserve">Event Grid</w:t>
            </w:r>
          </w:p>
        </w:tc>
        <w:tc>
          <w:tcPr>
            <w:tcW w:type="dxa" w:w="6150"/>
            <w:tcMar>
              <w:top w:type="dxa" w:w="80"/>
              <w:left w:type="dxa" w:w="100"/>
              <w:bottom w:type="dxa" w:w="80"/>
              <w:right w:type="dxa" w:w="100"/>
            </w:tcMar>
            <w:vAlign w:val="center"/>
          </w:tcPr>
          <w:p>
            <w:r>
              <w:rPr>
                <w:rFonts w:ascii="Calibri" w:cs="Calibri" w:eastAsia="Calibri" w:hAnsi="Calibri"/>
                <w:sz w:val="20"/>
                <w:szCs w:val="20"/>
              </w:rPr>
              <w:t xml:space="preserve">Habilitar el evento del sistema del Storage Account para notificaciones de eliminación y de finalización de políticas de ciclo de vida (LifecyclePolicyCompleted).</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Azure Backup / Backup vault</w:t>
            </w:r>
          </w:p>
        </w:tc>
        <w:tc>
          <w:tcPr>
            <w:tcW w:type="dxa" w:w="6150"/>
            <w:shd w:fill="F2F2F2" w:val="clear"/>
            <w:tcMar>
              <w:top w:type="dxa" w:w="80"/>
              <w:left w:type="dxa" w:w="100"/>
              <w:bottom w:type="dxa" w:w="80"/>
              <w:right w:type="dxa" w:w="100"/>
            </w:tcMar>
            <w:vAlign w:val="center"/>
          </w:tcPr>
          <w:p>
            <w:r>
              <w:rPr>
                <w:rFonts w:ascii="Calibri" w:cs="Calibri" w:eastAsia="Calibri" w:hAnsi="Calibri"/>
                <w:sz w:val="20"/>
                <w:szCs w:val="20"/>
              </w:rPr>
              <w:t xml:space="preserve">Backup vault en la misma región; rol Storage Account Backup Contributor asignado al vault; blob versioning y change feed habilitados.</w:t>
            </w:r>
          </w:p>
        </w:tc>
      </w:tr>
      <w:tr>
        <w:tc>
          <w:tcPr>
            <w:tcW w:type="dxa" w:w="3200"/>
            <w:tcMar>
              <w:top w:type="dxa" w:w="80"/>
              <w:left w:type="dxa" w:w="100"/>
              <w:bottom w:type="dxa" w:w="80"/>
              <w:right w:type="dxa" w:w="100"/>
            </w:tcMar>
            <w:vAlign w:val="center"/>
          </w:tcPr>
          <w:p>
            <w:r>
              <w:rPr>
                <w:rFonts w:ascii="Calibri" w:cs="Calibri" w:eastAsia="Calibri" w:hAnsi="Calibri"/>
                <w:sz w:val="20"/>
                <w:szCs w:val="20"/>
              </w:rPr>
              <w:t xml:space="preserve">Notificaciones</w:t>
            </w:r>
          </w:p>
        </w:tc>
        <w:tc>
          <w:tcPr>
            <w:tcW w:type="dxa" w:w="6150"/>
            <w:tcMar>
              <w:top w:type="dxa" w:w="80"/>
              <w:left w:type="dxa" w:w="100"/>
              <w:bottom w:type="dxa" w:w="80"/>
              <w:right w:type="dxa" w:w="100"/>
            </w:tcMar>
            <w:vAlign w:val="center"/>
          </w:tcPr>
          <w:p>
            <w:r>
              <w:rPr>
                <w:rFonts w:ascii="Calibri" w:cs="Calibri" w:eastAsia="Calibri" w:hAnsi="Calibri"/>
                <w:sz w:val="20"/>
                <w:szCs w:val="20"/>
              </w:rPr>
              <w:t xml:space="preserve">Action Group (correo/Teams/webhook) para alertas de costo, anomalías y eventos de eliminación/movimiento de datos.</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Herramientas de cliente</w:t>
            </w:r>
          </w:p>
        </w:tc>
        <w:tc>
          <w:tcPr>
            <w:tcW w:type="dxa" w:w="6150"/>
            <w:shd w:fill="F2F2F2" w:val="clear"/>
            <w:tcMar>
              <w:top w:type="dxa" w:w="80"/>
              <w:left w:type="dxa" w:w="100"/>
              <w:bottom w:type="dxa" w:w="80"/>
              <w:right w:type="dxa" w:w="100"/>
            </w:tcMar>
            <w:vAlign w:val="center"/>
          </w:tcPr>
          <w:p>
            <w:r>
              <w:rPr>
                <w:rFonts w:ascii="Calibri" w:cs="Calibri" w:eastAsia="Calibri" w:hAnsi="Calibri"/>
                <w:sz w:val="20"/>
                <w:szCs w:val="20"/>
              </w:rPr>
              <w:t xml:space="preserve">Azure CLI o Azure PowerShell (Az.Storage) para aplicar políticas vía script/IaC; opcionalmente plantilla Bicep/ARM para control de versiones.</w:t>
            </w:r>
          </w:p>
        </w:tc>
      </w:tr>
    </w:tbl>
    <w:p>
      <w:pPr>
        <w:spacing w:after="160"/>
      </w:pPr>
    </w:p>
    <w:p>
      <w:pPr>
        <w:pStyle w:val="Heading1"/>
        <w:pBdr>
          <w:bottom w:val="single" w:color="2E74B5" w:sz="6" w:space="4"/>
        </w:pBdr>
        <w:spacing w:after="160" w:before="360"/>
      </w:pPr>
      <w:r>
        <w:rPr>
          <w:rFonts w:ascii="Calibri" w:cs="Calibri" w:eastAsia="Calibri" w:hAnsi="Calibri"/>
          <w:b/>
          <w:bCs/>
          <w:color w:val="1F3864"/>
          <w:sz w:val="30"/>
          <w:szCs w:val="30"/>
        </w:rPr>
        <w:t xml:space="preserve">7. Requerimientos Humanos (Roles y Responsabilidades)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50"/>
        <w:gridCol w:w="3300"/>
      </w:tblGrid>
      <w:t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w:t>
            </w:r>
          </w:p>
        </w:tc>
        <w:tc>
          <w:tcPr>
            <w:tcW w:type="dxa" w:w="34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Responsabilidad</w:t>
            </w:r>
          </w:p>
        </w:tc>
        <w:tc>
          <w:tcPr>
            <w:tcW w:type="dxa" w:w="3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Dedicación estimada</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Sponsor / Responsable de Grupo Romo</w:t>
            </w:r>
          </w:p>
        </w:tc>
        <w:tc>
          <w:tcPr>
            <w:tcW w:type="dxa" w:w="3450"/>
            <w:tcMar>
              <w:top w:type="dxa" w:w="80"/>
              <w:left w:type="dxa" w:w="100"/>
              <w:bottom w:type="dxa" w:w="80"/>
              <w:right w:type="dxa" w:w="100"/>
            </w:tcMar>
            <w:vAlign w:val="center"/>
          </w:tcPr>
          <w:p>
            <w:r>
              <w:rPr>
                <w:rFonts w:ascii="Calibri" w:cs="Calibri" w:eastAsia="Calibri" w:hAnsi="Calibri"/>
                <w:sz w:val="20"/>
                <w:szCs w:val="20"/>
              </w:rPr>
              <w:t xml:space="preserve">Autorizar cambio contractual ($1,000 USD), validar depuraciones mensuales, ser punto de escalamiento.</w:t>
            </w:r>
          </w:p>
        </w:tc>
        <w:tc>
          <w:tcPr>
            <w:tcW w:type="dxa" w:w="3300"/>
            <w:tcMar>
              <w:top w:type="dxa" w:w="80"/>
              <w:left w:type="dxa" w:w="100"/>
              <w:bottom w:type="dxa" w:w="80"/>
              <w:right w:type="dxa" w:w="100"/>
            </w:tcMar>
            <w:vAlign w:val="center"/>
          </w:tcPr>
          <w:p>
            <w:r>
              <w:rPr>
                <w:rFonts w:ascii="Calibri" w:cs="Calibri" w:eastAsia="Calibri" w:hAnsi="Calibri"/>
                <w:sz w:val="20"/>
                <w:szCs w:val="20"/>
              </w:rPr>
              <w:t xml:space="preserve">2–4 h/mes</w:t>
            </w:r>
          </w:p>
        </w:tc>
      </w:tr>
      <w:tr>
        <w:tc>
          <w:tcPr>
            <w:tcW w:type="dxa" w:w="2600"/>
            <w:shd w:fill="F2F2F2" w:val="clear"/>
            <w:tcMar>
              <w:top w:type="dxa" w:w="80"/>
              <w:left w:type="dxa" w:w="100"/>
              <w:bottom w:type="dxa" w:w="80"/>
              <w:right w:type="dxa" w:w="100"/>
            </w:tcMar>
            <w:vAlign w:val="center"/>
          </w:tcPr>
          <w:p>
            <w:r>
              <w:rPr>
                <w:rFonts w:ascii="Calibri" w:cs="Calibri" w:eastAsia="Calibri" w:hAnsi="Calibri"/>
                <w:sz w:val="20"/>
                <w:szCs w:val="20"/>
              </w:rPr>
              <w:t xml:space="preserve">Arquitecto/Administrador Cloud (Azure)</w:t>
            </w:r>
          </w:p>
        </w:tc>
        <w:tc>
          <w:tcPr>
            <w:tcW w:type="dxa" w:w="3450"/>
            <w:shd w:fill="F2F2F2" w:val="clear"/>
            <w:tcMar>
              <w:top w:type="dxa" w:w="80"/>
              <w:left w:type="dxa" w:w="100"/>
              <w:bottom w:type="dxa" w:w="80"/>
              <w:right w:type="dxa" w:w="100"/>
            </w:tcMar>
            <w:vAlign w:val="center"/>
          </w:tcPr>
          <w:p>
            <w:r>
              <w:rPr>
                <w:rFonts w:ascii="Calibri" w:cs="Calibri" w:eastAsia="Calibri" w:hAnsi="Calibri"/>
                <w:sz w:val="20"/>
                <w:szCs w:val="20"/>
              </w:rPr>
              <w:t xml:space="preserve">Configurar Lifecycle Management, tags, budgets, backup, RBAC y locks.</w:t>
            </w:r>
          </w:p>
        </w:tc>
        <w:tc>
          <w:tcPr>
            <w:tcW w:type="dxa" w:w="3300"/>
            <w:shd w:fill="F2F2F2" w:val="clear"/>
            <w:tcMar>
              <w:top w:type="dxa" w:w="80"/>
              <w:left w:type="dxa" w:w="100"/>
              <w:bottom w:type="dxa" w:w="80"/>
              <w:right w:type="dxa" w:w="100"/>
            </w:tcMar>
            <w:vAlign w:val="center"/>
          </w:tcPr>
          <w:p>
            <w:r>
              <w:rPr>
                <w:rFonts w:ascii="Calibri" w:cs="Calibri" w:eastAsia="Calibri" w:hAnsi="Calibri"/>
                <w:sz w:val="20"/>
                <w:szCs w:val="20"/>
              </w:rPr>
              <w:t xml:space="preserve">20–30 h (implementación única) + 2 h/mes</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Analista FinOps / Costos</w:t>
            </w:r>
          </w:p>
        </w:tc>
        <w:tc>
          <w:tcPr>
            <w:tcW w:type="dxa" w:w="3450"/>
            <w:tcMar>
              <w:top w:type="dxa" w:w="80"/>
              <w:left w:type="dxa" w:w="100"/>
              <w:bottom w:type="dxa" w:w="80"/>
              <w:right w:type="dxa" w:w="100"/>
            </w:tcMar>
            <w:vAlign w:val="center"/>
          </w:tcPr>
          <w:p>
            <w:r>
              <w:rPr>
                <w:rFonts w:ascii="Calibri" w:cs="Calibri" w:eastAsia="Calibri" w:hAnsi="Calibri"/>
                <w:sz w:val="20"/>
                <w:szCs w:val="20"/>
              </w:rPr>
              <w:t xml:space="preserve">Dar seguimiento a Cost Alerts, anomalías y reporte mensual de consumo por etiqueta.</w:t>
            </w:r>
          </w:p>
        </w:tc>
        <w:tc>
          <w:tcPr>
            <w:tcW w:type="dxa" w:w="3300"/>
            <w:tcMar>
              <w:top w:type="dxa" w:w="80"/>
              <w:left w:type="dxa" w:w="100"/>
              <w:bottom w:type="dxa" w:w="80"/>
              <w:right w:type="dxa" w:w="100"/>
            </w:tcMar>
            <w:vAlign w:val="center"/>
          </w:tcPr>
          <w:p>
            <w:r>
              <w:rPr>
                <w:rFonts w:ascii="Calibri" w:cs="Calibri" w:eastAsia="Calibri" w:hAnsi="Calibri"/>
                <w:sz w:val="20"/>
                <w:szCs w:val="20"/>
              </w:rPr>
              <w:t xml:space="preserve">4 h/mes</w:t>
            </w:r>
          </w:p>
        </w:tc>
      </w:tr>
      <w:tr>
        <w:tc>
          <w:tcPr>
            <w:tcW w:type="dxa" w:w="2600"/>
            <w:shd w:fill="F2F2F2" w:val="clear"/>
            <w:tcMar>
              <w:top w:type="dxa" w:w="80"/>
              <w:left w:type="dxa" w:w="100"/>
              <w:bottom w:type="dxa" w:w="80"/>
              <w:right w:type="dxa" w:w="100"/>
            </w:tcMar>
            <w:vAlign w:val="center"/>
          </w:tcPr>
          <w:p>
            <w:r>
              <w:rPr>
                <w:rFonts w:ascii="Calibri" w:cs="Calibri" w:eastAsia="Calibri" w:hAnsi="Calibri"/>
                <w:sz w:val="20"/>
                <w:szCs w:val="20"/>
              </w:rPr>
              <w:t xml:space="preserve">Propietarios de datos por área</w:t>
            </w:r>
          </w:p>
        </w:tc>
        <w:tc>
          <w:tcPr>
            <w:tcW w:type="dxa" w:w="3450"/>
            <w:shd w:fill="F2F2F2" w:val="clear"/>
            <w:tcMar>
              <w:top w:type="dxa" w:w="80"/>
              <w:left w:type="dxa" w:w="100"/>
              <w:bottom w:type="dxa" w:w="80"/>
              <w:right w:type="dxa" w:w="100"/>
            </w:tcMar>
            <w:vAlign w:val="center"/>
          </w:tcPr>
          <w:p>
            <w:r>
              <w:rPr>
                <w:rFonts w:ascii="Calibri" w:cs="Calibri" w:eastAsia="Calibri" w:hAnsi="Calibri"/>
                <w:sz w:val="20"/>
                <w:szCs w:val="20"/>
              </w:rPr>
              <w:t xml:space="preserve">Revisar y autorizar (o rechazar) la depuración de blobs bajo su CentroCosto/Proyecto.</w:t>
            </w:r>
          </w:p>
        </w:tc>
        <w:tc>
          <w:tcPr>
            <w:tcW w:type="dxa" w:w="3300"/>
            <w:shd w:fill="F2F2F2" w:val="clear"/>
            <w:tcMar>
              <w:top w:type="dxa" w:w="80"/>
              <w:left w:type="dxa" w:w="100"/>
              <w:bottom w:type="dxa" w:w="80"/>
              <w:right w:type="dxa" w:w="100"/>
            </w:tcMar>
            <w:vAlign w:val="center"/>
          </w:tcPr>
          <w:p>
            <w:r>
              <w:rPr>
                <w:rFonts w:ascii="Calibri" w:cs="Calibri" w:eastAsia="Calibri" w:hAnsi="Calibri"/>
                <w:sz w:val="20"/>
                <w:szCs w:val="20"/>
              </w:rPr>
              <w:t xml:space="preserve">1–2 h/mes por área</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Equipo de aplicaciones (dueño del pico de marzo)</w:t>
            </w:r>
          </w:p>
        </w:tc>
        <w:tc>
          <w:tcPr>
            <w:tcW w:type="dxa" w:w="3450"/>
            <w:tcMar>
              <w:top w:type="dxa" w:w="80"/>
              <w:left w:type="dxa" w:w="100"/>
              <w:bottom w:type="dxa" w:w="80"/>
              <w:right w:type="dxa" w:w="100"/>
            </w:tcMar>
            <w:vAlign w:val="center"/>
          </w:tcPr>
          <w:p>
            <w:r>
              <w:rPr>
                <w:rFonts w:ascii="Calibri" w:cs="Calibri" w:eastAsia="Calibri" w:hAnsi="Calibri"/>
                <w:sz w:val="20"/>
                <w:szCs w:val="20"/>
              </w:rPr>
              <w:t xml:space="preserve">Analizar y corregir el proceso responsable del pico de Write Operations.</w:t>
            </w:r>
          </w:p>
        </w:tc>
        <w:tc>
          <w:tcPr>
            <w:tcW w:type="dxa" w:w="3300"/>
            <w:tcMar>
              <w:top w:type="dxa" w:w="80"/>
              <w:left w:type="dxa" w:w="100"/>
              <w:bottom w:type="dxa" w:w="80"/>
              <w:right w:type="dxa" w:w="100"/>
            </w:tcMar>
            <w:vAlign w:val="center"/>
          </w:tcPr>
          <w:p>
            <w:r>
              <w:rPr>
                <w:rFonts w:ascii="Calibri" w:cs="Calibri" w:eastAsia="Calibri" w:hAnsi="Calibri"/>
                <w:sz w:val="20"/>
                <w:szCs w:val="20"/>
              </w:rPr>
              <w:t xml:space="preserve">Puntual (según hallazgo)</w:t>
            </w:r>
          </w:p>
        </w:tc>
      </w:tr>
      <w:tr>
        <w:tc>
          <w:tcPr>
            <w:tcW w:type="dxa" w:w="2600"/>
            <w:shd w:fill="F2F2F2" w:val="clear"/>
            <w:tcMar>
              <w:top w:type="dxa" w:w="80"/>
              <w:left w:type="dxa" w:w="100"/>
              <w:bottom w:type="dxa" w:w="80"/>
              <w:right w:type="dxa" w:w="100"/>
            </w:tcMar>
            <w:vAlign w:val="center"/>
          </w:tcPr>
          <w:p>
            <w:r>
              <w:rPr>
                <w:rFonts w:ascii="Calibri" w:cs="Calibri" w:eastAsia="Calibri" w:hAnsi="Calibri"/>
                <w:sz w:val="20"/>
                <w:szCs w:val="20"/>
              </w:rPr>
              <w:t xml:space="preserve">Seguridad / Cumplimiento</w:t>
            </w:r>
          </w:p>
        </w:tc>
        <w:tc>
          <w:tcPr>
            <w:tcW w:type="dxa" w:w="3450"/>
            <w:shd w:fill="F2F2F2" w:val="clear"/>
            <w:tcMar>
              <w:top w:type="dxa" w:w="80"/>
              <w:left w:type="dxa" w:w="100"/>
              <w:bottom w:type="dxa" w:w="80"/>
              <w:right w:type="dxa" w:w="100"/>
            </w:tcMar>
            <w:vAlign w:val="center"/>
          </w:tcPr>
          <w:p>
            <w:r>
              <w:rPr>
                <w:rFonts w:ascii="Calibri" w:cs="Calibri" w:eastAsia="Calibri" w:hAnsi="Calibri"/>
                <w:sz w:val="20"/>
                <w:szCs w:val="20"/>
              </w:rPr>
              <w:t xml:space="preserve">Validar el esquema de RBAC, locks y retención de backup contra políticas internas.</w:t>
            </w:r>
          </w:p>
        </w:tc>
        <w:tc>
          <w:tcPr>
            <w:tcW w:type="dxa" w:w="3300"/>
            <w:shd w:fill="F2F2F2" w:val="clear"/>
            <w:tcMar>
              <w:top w:type="dxa" w:w="80"/>
              <w:left w:type="dxa" w:w="100"/>
              <w:bottom w:type="dxa" w:w="80"/>
              <w:right w:type="dxa" w:w="100"/>
            </w:tcMar>
            <w:vAlign w:val="center"/>
          </w:tcPr>
          <w:p>
            <w:r>
              <w:rPr>
                <w:rFonts w:ascii="Calibri" w:cs="Calibri" w:eastAsia="Calibri" w:hAnsi="Calibri"/>
                <w:sz w:val="20"/>
                <w:szCs w:val="20"/>
              </w:rPr>
              <w:t xml:space="preserve">2 h (revisión única)</w:t>
            </w:r>
          </w:p>
        </w:tc>
      </w:tr>
    </w:tbl>
    <w:p>
      <w:pPr>
        <w:spacing w:after="160"/>
      </w:pPr>
    </w:p>
    <w:p>
      <w:pPr>
        <w:pStyle w:val="Heading1"/>
        <w:pBdr>
          <w:bottom w:val="single" w:color="2E74B5" w:sz="6" w:space="4"/>
        </w:pBdr>
        <w:spacing w:after="160" w:before="360"/>
      </w:pPr>
      <w:r>
        <w:rPr>
          <w:rFonts w:ascii="Calibri" w:cs="Calibri" w:eastAsia="Calibri" w:hAnsi="Calibri"/>
          <w:b/>
          <w:bCs/>
          <w:color w:val="1F3864"/>
          <w:sz w:val="30"/>
          <w:szCs w:val="30"/>
        </w:rPr>
        <w:t xml:space="preserve">8. Recomendaciones de Optimización (Detalle de Implementación)</w:t>
      </w:r>
    </w:p>
    <w:p>
      <w:pPr>
        <w:pStyle w:val="Heading2"/>
        <w:spacing w:after="120" w:before="260"/>
      </w:pPr>
      <w:r>
        <w:rPr>
          <w:rFonts w:ascii="Calibri" w:cs="Calibri" w:eastAsia="Calibri" w:hAnsi="Calibri"/>
          <w:b/>
          <w:bCs/>
          <w:color w:val="2E74B5"/>
          <w:sz w:val="24"/>
          <w:szCs w:val="24"/>
        </w:rPr>
        <w:t xml:space="preserve">8.1 Migración de datos fríos a Cool/Archive Tier</w:t>
      </w:r>
    </w:p>
    <w:p>
      <w:pPr>
        <w:spacing w:after="140" w:line="276"/>
      </w:pPr>
      <w:r>
        <w:rPr>
          <w:rFonts w:ascii="Calibri" w:cs="Calibri" w:eastAsia="Calibri" w:hAnsi="Calibri"/>
          <w:sz w:val="21"/>
          <w:szCs w:val="21"/>
        </w:rPr>
        <w:t xml:space="preserve">Objetivo: reducir el costo por GB almacenado moviendo automáticamente los blobs sin acceso reciente fuera del tier Hot, sin afectar su disponibilidad para lectura eventual.</w:t>
      </w:r>
    </w:p>
    <w:p>
      <w:pPr>
        <w:pStyle w:val="Heading3"/>
        <w:spacing w:after="90" w:before="180"/>
      </w:pPr>
      <w:r>
        <w:rPr>
          <w:rFonts w:ascii="Calibri" w:cs="Calibri" w:eastAsia="Calibri" w:hAnsi="Calibri"/>
          <w:b/>
          <w:bCs/>
          <w:color w:val="595959"/>
          <w:sz w:val="22"/>
          <w:szCs w:val="22"/>
        </w:rPr>
        <w:t xml:space="preserve">Pasos</w:t>
      </w:r>
    </w:p>
    <w:p>
      <w:pPr>
        <w:pStyle w:val="ListParagraph"/>
        <w:numPr>
          <w:ilvl w:val="0"/>
          <w:numId w:val="3"/>
        </w:numPr>
        <w:spacing w:after="80" w:line="264"/>
      </w:pPr>
      <w:r>
        <w:rPr>
          <w:rFonts w:ascii="Calibri" w:cs="Calibri" w:eastAsia="Calibri" w:hAnsi="Calibri"/>
          <w:sz w:val="21"/>
          <w:szCs w:val="21"/>
        </w:rPr>
        <w:t xml:space="preserve">Confirmar que la(s) cuenta(s) de Storage son GPv2 (requisito para Lifecycle Management).</w:t>
      </w:r>
    </w:p>
    <w:p>
      <w:pPr>
        <w:pStyle w:val="ListParagraph"/>
        <w:numPr>
          <w:ilvl w:val="0"/>
          <w:numId w:val="3"/>
        </w:numPr>
        <w:spacing w:after="80" w:line="264"/>
      </w:pPr>
      <w:r>
        <w:rPr>
          <w:rFonts w:ascii="Calibri" w:cs="Calibri" w:eastAsia="Calibri" w:hAnsi="Calibri"/>
          <w:sz w:val="21"/>
          <w:szCs w:val="21"/>
        </w:rPr>
        <w:t xml:space="preserve">Habilitar el seguimiento de "último acceso" (last access time tracking) sobre la cuenta, para poder usar la condición daysAfterLastAccessTimeGreaterThan.</w:t>
      </w:r>
    </w:p>
    <w:p>
      <w:pPr>
        <w:pStyle w:val="ListParagraph"/>
        <w:numPr>
          <w:ilvl w:val="0"/>
          <w:numId w:val="3"/>
        </w:numPr>
        <w:spacing w:after="80" w:line="264"/>
      </w:pPr>
      <w:r>
        <w:rPr>
          <w:rFonts w:ascii="Calibri" w:cs="Calibri" w:eastAsia="Calibri" w:hAnsi="Calibri"/>
          <w:sz w:val="21"/>
          <w:szCs w:val="21"/>
        </w:rPr>
        <w:t xml:space="preserve">Definir la regla: blobs sin acceso &gt; 30 días → Cool; &gt; 90 días → Archive (ver política completa en sección 8.2).</w:t>
      </w:r>
    </w:p>
    <w:p>
      <w:pPr>
        <w:pStyle w:val="ListParagraph"/>
        <w:numPr>
          <w:ilvl w:val="0"/>
          <w:numId w:val="3"/>
        </w:numPr>
        <w:spacing w:after="80" w:line="264"/>
      </w:pPr>
      <w:r>
        <w:rPr>
          <w:rFonts w:ascii="Calibri" w:cs="Calibri" w:eastAsia="Calibri" w:hAnsi="Calibri"/>
          <w:sz w:val="21"/>
          <w:szCs w:val="21"/>
        </w:rPr>
        <w:t xml:space="preserve">Activar enableAutoTierToHotFromCool para que, si un blob en Cool vuelve a consultarse, regrese automáticamente a Hot (evita degradar el rendimiento de datos que vuelven a ser relevantes).</w:t>
      </w:r>
    </w:p>
    <w:p>
      <w:pPr>
        <w:pStyle w:val="ListParagraph"/>
        <w:numPr>
          <w:ilvl w:val="0"/>
          <w:numId w:val="3"/>
        </w:numPr>
        <w:spacing w:after="80" w:line="264"/>
      </w:pPr>
      <w:r>
        <w:rPr>
          <w:rFonts w:ascii="Calibri" w:cs="Calibri" w:eastAsia="Calibri" w:hAnsi="Calibri"/>
          <w:sz w:val="21"/>
          <w:szCs w:val="21"/>
        </w:rPr>
        <w:t xml:space="preserve">Comunicar a las áreas dueñas de datos que los archivos en Archive requieren rehidratación (horas) antes de poder leerse; excluir del alcance cualquier conjunto de datos que necesite disponibilidad inmediata.</w:t>
      </w:r>
    </w:p>
    <w:p>
      <w:pPr>
        <w:pStyle w:val="Heading3"/>
        <w:spacing w:after="90" w:before="180"/>
      </w:pPr>
      <w:r>
        <w:rPr>
          <w:rFonts w:ascii="Calibri" w:cs="Calibri" w:eastAsia="Calibri" w:hAnsi="Calibri"/>
          <w:b/>
          <w:bCs/>
          <w:color w:val="595959"/>
          <w:sz w:val="22"/>
          <w:szCs w:val="22"/>
        </w:rPr>
        <w:t xml:space="preserve">Consideración de costo</w:t>
      </w:r>
    </w:p>
    <w:p>
      <w:pPr>
        <w:spacing w:after="140" w:line="276"/>
      </w:pPr>
      <w:r>
        <w:rPr>
          <w:rFonts w:ascii="Calibri" w:cs="Calibri" w:eastAsia="Calibri" w:hAnsi="Calibri"/>
          <w:sz w:val="21"/>
          <w:szCs w:val="21"/>
        </w:rPr>
        <w:t xml:space="preserve">Como referencia de orden de magnitud (validar cifras exactas en la Calculadora de Precios de Azure, sección 12): el tier Cool típicamente cuesta significativamente menos por GB almacenado que Hot, y Archive representa el costo de almacenamiento más bajo de los tres, a cambio de mayor costo/latencia de lectura y una penalización por eliminación temprana (early deletion fee) si el blob se mueve de vuelta antes del periodo mínimo (30 días en Cool, 180 días en Archive).</w:t>
      </w:r>
    </w:p>
    <w:p>
      <w:pPr>
        <w:pStyle w:val="Heading2"/>
        <w:spacing w:after="120" w:before="260"/>
      </w:pPr>
      <w:r>
        <w:rPr>
          <w:rFonts w:ascii="Calibri" w:cs="Calibri" w:eastAsia="Calibri" w:hAnsi="Calibri"/>
          <w:b/>
          <w:bCs/>
          <w:color w:val="2E74B5"/>
          <w:sz w:val="24"/>
          <w:szCs w:val="24"/>
        </w:rPr>
        <w:t xml:space="preserve">8.2 Configurar Azure Lifecycle Management Policy</w:t>
      </w:r>
    </w:p>
    <w:p>
      <w:pPr>
        <w:spacing w:after="140" w:line="276"/>
      </w:pPr>
      <w:r>
        <w:rPr>
          <w:rFonts w:ascii="Calibri" w:cs="Calibri" w:eastAsia="Calibri" w:hAnsi="Calibri"/>
          <w:sz w:val="21"/>
          <w:szCs w:val="21"/>
        </w:rPr>
        <w:t xml:space="preserve">Ruta en portal: Storage Account → Data management → Lifecycle Management → Add a rule. También puede aplicarse vía Azure CLI o plantilla Bicep/ARM para quedar versionada como infraestructura como código.</w:t>
      </w:r>
    </w:p>
    <w:p>
      <w:pPr>
        <w:pStyle w:val="Heading3"/>
        <w:spacing w:after="90" w:before="180"/>
      </w:pPr>
      <w:r>
        <w:rPr>
          <w:rFonts w:ascii="Calibri" w:cs="Calibri" w:eastAsia="Calibri" w:hAnsi="Calibri"/>
          <w:b/>
          <w:bCs/>
          <w:color w:val="595959"/>
          <w:sz w:val="22"/>
          <w:szCs w:val="22"/>
        </w:rPr>
        <w:t xml:space="preserve">Política recomendada (JSON)</w:t>
      </w:r>
    </w:p>
    <w:p>
      <w:pPr>
        <w:pBdr>
          <w:top w:val="single" w:color="BFBFBF" w:sz="4" w:space="4"/>
          <w:bottom w:val="single" w:color="BFBFBF" w:sz="4" w:space="4"/>
          <w:left w:val="single" w:color="BFBFBF" w:sz="4" w:space="4"/>
          <w:right w:val="single" w:color="BFBFBF" w:sz="4" w:space="4"/>
        </w:pBdr>
        <w:shd w:fill="F5F5F5" w:val="clear"/>
        <w:spacing w:after="160"/>
      </w:pPr>
      <w:r>
        <w:rPr>
          <w:rFonts w:ascii="Consolas" w:cs="Consolas" w:eastAsia="Consolas" w:hAnsi="Consolas"/>
          <w:color w:val="1F1F1F"/>
          <w:sz w:val="18"/>
          <w:szCs w:val="18"/>
        </w:rPr>
        <w:t xml:space="preserve">{</w:t>
      </w:r>
      <w:r>
        <w:rPr>
          <w:rFonts w:ascii="Consolas" w:cs="Consolas" w:eastAsia="Consolas" w:hAnsi="Consolas"/>
          <w:color w:val="1F1F1F"/>
          <w:sz w:val="18"/>
          <w:szCs w:val="18"/>
        </w:rPr>
        <w:br/>
        <w:t xml:space="preserve">  "rules":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"enabled": true,</w:t>
      </w:r>
      <w:r>
        <w:rPr>
          <w:rFonts w:ascii="Consolas" w:cs="Consolas" w:eastAsia="Consolas" w:hAnsi="Consolas"/>
          <w:color w:val="1F1F1F"/>
          <w:sz w:val="18"/>
          <w:szCs w:val="18"/>
        </w:rPr>
        <w:br/>
        <w:t xml:space="preserve">      "name": "grupo-romo-tiering-30-90",</w:t>
      </w:r>
      <w:r>
        <w:rPr>
          <w:rFonts w:ascii="Consolas" w:cs="Consolas" w:eastAsia="Consolas" w:hAnsi="Consolas"/>
          <w:color w:val="1F1F1F"/>
          <w:sz w:val="18"/>
          <w:szCs w:val="18"/>
        </w:rPr>
        <w:br/>
        <w:t xml:space="preserve">      "type": "Lifecycle",</w:t>
      </w:r>
      <w:r>
        <w:rPr>
          <w:rFonts w:ascii="Consolas" w:cs="Consolas" w:eastAsia="Consolas" w:hAnsi="Consolas"/>
          <w:color w:val="1F1F1F"/>
          <w:sz w:val="18"/>
          <w:szCs w:val="18"/>
        </w:rPr>
        <w:br/>
        <w:t xml:space="preserve">      "definition": {</w:t>
      </w:r>
      <w:r>
        <w:rPr>
          <w:rFonts w:ascii="Consolas" w:cs="Consolas" w:eastAsia="Consolas" w:hAnsi="Consolas"/>
          <w:color w:val="1F1F1F"/>
          <w:sz w:val="18"/>
          <w:szCs w:val="18"/>
        </w:rPr>
        <w:br/>
        <w:t xml:space="preserve">        "filters": {</w:t>
      </w:r>
      <w:r>
        <w:rPr>
          <w:rFonts w:ascii="Consolas" w:cs="Consolas" w:eastAsia="Consolas" w:hAnsi="Consolas"/>
          <w:color w:val="1F1F1F"/>
          <w:sz w:val="18"/>
          <w:szCs w:val="18"/>
        </w:rPr>
        <w:br/>
        <w:t xml:space="preserve">          "blobTypes": ["blockBlob"]</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"actions": {</w:t>
      </w:r>
      <w:r>
        <w:rPr>
          <w:rFonts w:ascii="Consolas" w:cs="Consolas" w:eastAsia="Consolas" w:hAnsi="Consolas"/>
          <w:color w:val="1F1F1F"/>
          <w:sz w:val="18"/>
          <w:szCs w:val="18"/>
        </w:rPr>
        <w:br/>
        <w:t xml:space="preserve">          "baseBlob": {</w:t>
      </w:r>
      <w:r>
        <w:rPr>
          <w:rFonts w:ascii="Consolas" w:cs="Consolas" w:eastAsia="Consolas" w:hAnsi="Consolas"/>
          <w:color w:val="1F1F1F"/>
          <w:sz w:val="18"/>
          <w:szCs w:val="18"/>
        </w:rPr>
        <w:br/>
        <w:t xml:space="preserve">            "tierToCool": {</w:t>
      </w:r>
      <w:r>
        <w:rPr>
          <w:rFonts w:ascii="Consolas" w:cs="Consolas" w:eastAsia="Consolas" w:hAnsi="Consolas"/>
          <w:color w:val="1F1F1F"/>
          <w:sz w:val="18"/>
          <w:szCs w:val="18"/>
        </w:rPr>
        <w:br/>
        <w:t xml:space="preserve">              "daysAfterLastAccessTimeGreaterThan": 30</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"tierToArchive": {</w:t>
      </w:r>
      <w:r>
        <w:rPr>
          <w:rFonts w:ascii="Consolas" w:cs="Consolas" w:eastAsia="Consolas" w:hAnsi="Consolas"/>
          <w:color w:val="1F1F1F"/>
          <w:sz w:val="18"/>
          <w:szCs w:val="18"/>
        </w:rPr>
        <w:br/>
        <w:t xml:space="preserve">              "daysAfterLastAccessTimeGreaterThan": 90</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"enableAutoTierToHotFromCool": true</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w:t>
      </w:r>
    </w:p>
    <w:p>
      <w:pPr>
        <w:spacing w:after="140" w:line="276"/>
      </w:pPr>
      <w:r>
        <w:rPr>
          <w:rFonts w:ascii="Calibri" w:cs="Calibri" w:eastAsia="Calibri" w:hAnsi="Calibri"/>
          <w:sz w:val="21"/>
          <w:szCs w:val="21"/>
        </w:rPr>
        <w:t xml:space="preserve">Nota importante: esta política NO incluye ninguna acción "delete". De forma intencional se omite la eliminación automática de blobs, en línea con la premisa de no borrar información sin validación humana (ver sección 9).</w:t>
      </w:r>
    </w:p>
    <w:p>
      <w:pPr>
        <w:pStyle w:val="Heading3"/>
        <w:spacing w:after="90" w:before="180"/>
      </w:pPr>
      <w:r>
        <w:rPr>
          <w:rFonts w:ascii="Calibri" w:cs="Calibri" w:eastAsia="Calibri" w:hAnsi="Calibri"/>
          <w:b/>
          <w:bCs/>
          <w:color w:val="595959"/>
          <w:sz w:val="22"/>
          <w:szCs w:val="22"/>
        </w:rPr>
        <w:t xml:space="preserve">Aplicación vía CLI</w:t>
      </w:r>
    </w:p>
    <w:p>
      <w:pPr>
        <w:pBdr>
          <w:top w:val="single" w:color="BFBFBF" w:sz="4" w:space="4"/>
          <w:bottom w:val="single" w:color="BFBFBF" w:sz="4" w:space="4"/>
          <w:left w:val="single" w:color="BFBFBF" w:sz="4" w:space="4"/>
          <w:right w:val="single" w:color="BFBFBF" w:sz="4" w:space="4"/>
        </w:pBdr>
        <w:shd w:fill="F5F5F5" w:val="clear"/>
        <w:spacing w:after="160"/>
      </w:pPr>
      <w:r>
        <w:rPr>
          <w:rFonts w:ascii="Consolas" w:cs="Consolas" w:eastAsia="Consolas" w:hAnsi="Consolas"/>
          <w:color w:val="1F1F1F"/>
          <w:sz w:val="18"/>
          <w:szCs w:val="18"/>
        </w:rPr>
        <w:t xml:space="preserve">az storage account management-policy create \</w:t>
      </w:r>
      <w:r>
        <w:rPr>
          <w:rFonts w:ascii="Consolas" w:cs="Consolas" w:eastAsia="Consolas" w:hAnsi="Consolas"/>
          <w:color w:val="1F1F1F"/>
          <w:sz w:val="18"/>
          <w:szCs w:val="18"/>
        </w:rPr>
        <w:br/>
        <w:t xml:space="preserve">  --account-name &lt;storageAccount&gt; \</w:t>
      </w:r>
      <w:r>
        <w:rPr>
          <w:rFonts w:ascii="Consolas" w:cs="Consolas" w:eastAsia="Consolas" w:hAnsi="Consolas"/>
          <w:color w:val="1F1F1F"/>
          <w:sz w:val="18"/>
          <w:szCs w:val="18"/>
        </w:rPr>
        <w:br/>
        <w:t xml:space="preserve">  --resource-group &lt;resourceGroup&gt; \</w:t>
      </w:r>
      <w:r>
        <w:rPr>
          <w:rFonts w:ascii="Consolas" w:cs="Consolas" w:eastAsia="Consolas" w:hAnsi="Consolas"/>
          <w:color w:val="1F1F1F"/>
          <w:sz w:val="18"/>
          <w:szCs w:val="18"/>
        </w:rPr>
        <w:br/>
        <w:t xml:space="preserve">  --policy @lifecycle-policy.json</w:t>
      </w:r>
    </w:p>
    <w:p>
      <w:pPr>
        <w:spacing w:after="140" w:line="276"/>
      </w:pPr>
      <w:r>
        <w:rPr>
          <w:rFonts w:ascii="Calibri" w:cs="Calibri" w:eastAsia="Calibri" w:hAnsi="Calibri"/>
          <w:sz w:val="21"/>
          <w:szCs w:val="21"/>
        </w:rPr>
        <w:t xml:space="preserve">Nota operativa: el motor de Lifecycle Management se ejecuta aproximadamente una vez al día; después de crear o modificar la política puede tardar hasta 24 horas en iniciar y hasta 24 horas adicionales en completarse sobre todos los blobs, por lo que no se deben esperar resultados inmediatos ni aplicarla como medida de urgencia de último minuto antes de un corte de facturación.</w:t>
      </w:r>
    </w:p>
    <w:p>
      <w:pPr>
        <w:pStyle w:val="Heading2"/>
        <w:spacing w:after="120" w:before="260"/>
      </w:pPr>
      <w:r>
        <w:rPr>
          <w:rFonts w:ascii="Calibri" w:cs="Calibri" w:eastAsia="Calibri" w:hAnsi="Calibri"/>
          <w:b/>
          <w:bCs/>
          <w:color w:val="2E74B5"/>
          <w:sz w:val="24"/>
          <w:szCs w:val="24"/>
        </w:rPr>
        <w:t xml:space="preserve">8.3 Auditar y proponer depuración de datos obsoletos — sin borrado automático</w:t>
      </w:r>
    </w:p>
    <w:p>
      <w:pPr>
        <w:spacing w:after="140" w:line="276"/>
      </w:pPr>
      <w:r>
        <w:rPr>
          <w:rFonts w:ascii="Calibri" w:cs="Calibri" w:eastAsia="Calibri" w:hAnsi="Calibri"/>
          <w:sz w:val="21"/>
          <w:szCs w:val="21"/>
        </w:rPr>
        <w:t xml:space="preserve">El crecimiento de +77% en 6 meses obliga a entender qué se está almacenando. Se propone un proceso recurrente de auditoría con control humano en cada paso, nunca eliminación automática.</w:t>
      </w:r>
    </w:p>
    <w:p>
      <w:pPr>
        <w:pStyle w:val="Heading3"/>
        <w:spacing w:after="90" w:before="180"/>
      </w:pPr>
      <w:r>
        <w:rPr>
          <w:rFonts w:ascii="Calibri" w:cs="Calibri" w:eastAsia="Calibri" w:hAnsi="Calibri"/>
          <w:b/>
          <w:bCs/>
          <w:color w:val="595959"/>
          <w:sz w:val="22"/>
          <w:szCs w:val="22"/>
        </w:rPr>
        <w:t xml:space="preserve">Pasos</w:t>
      </w:r>
    </w:p>
    <w:p>
      <w:pPr>
        <w:pStyle w:val="ListParagraph"/>
        <w:numPr>
          <w:ilvl w:val="0"/>
          <w:numId w:val="3"/>
        </w:numPr>
        <w:spacing w:after="80" w:line="264"/>
      </w:pPr>
      <w:r>
        <w:rPr>
          <w:rFonts w:ascii="Calibri" w:cs="Calibri" w:eastAsia="Calibri" w:hAnsi="Calibri"/>
          <w:sz w:val="21"/>
          <w:szCs w:val="21"/>
        </w:rPr>
        <w:t xml:space="preserve">Configurar Blob Inventory (Storage Account → Data management → Inventory) con reporte semanal en formato CSV/Parquet, incluyendo LastAccessTime, tamaño, tier y metadatos/tags.</w:t>
      </w:r>
    </w:p>
    <w:p>
      <w:pPr>
        <w:pStyle w:val="ListParagraph"/>
        <w:numPr>
          <w:ilvl w:val="0"/>
          <w:numId w:val="3"/>
        </w:numPr>
        <w:spacing w:after="80" w:line="264"/>
      </w:pPr>
      <w:r>
        <w:rPr>
          <w:rFonts w:ascii="Calibri" w:cs="Calibri" w:eastAsia="Calibri" w:hAnsi="Calibri"/>
          <w:sz w:val="21"/>
          <w:szCs w:val="21"/>
        </w:rPr>
        <w:t xml:space="preserve">Procesar el inventario (ej. con un runbook o notebook) para identificar: blobs sin acceso &gt; 180 días, posibles duplicados (por hash/tamaño/nombre) y blobs sin tag de "Propietario".</w:t>
      </w:r>
    </w:p>
    <w:p>
      <w:pPr>
        <w:pStyle w:val="ListParagraph"/>
        <w:numPr>
          <w:ilvl w:val="0"/>
          <w:numId w:val="3"/>
        </w:numPr>
        <w:spacing w:after="80" w:line="264"/>
      </w:pPr>
      <w:r>
        <w:rPr>
          <w:rFonts w:ascii="Calibri" w:cs="Calibri" w:eastAsia="Calibri" w:hAnsi="Calibri"/>
          <w:sz w:val="21"/>
          <w:szCs w:val="21"/>
        </w:rPr>
        <w:t xml:space="preserve">Generar un reporte mensual con la lista de candidatos, enviarlo al propietario del CentroCosto/Proyecto correspondiente para su revisión.</w:t>
      </w:r>
    </w:p>
    <w:p>
      <w:pPr>
        <w:pStyle w:val="ListParagraph"/>
        <w:numPr>
          <w:ilvl w:val="0"/>
          <w:numId w:val="3"/>
        </w:numPr>
        <w:spacing w:after="80" w:line="264"/>
      </w:pPr>
      <w:r>
        <w:rPr>
          <w:rFonts w:ascii="Calibri" w:cs="Calibri" w:eastAsia="Calibri" w:hAnsi="Calibri"/>
          <w:sz w:val="21"/>
          <w:szCs w:val="21"/>
        </w:rPr>
        <w:t xml:space="preserve">El propietario responde con una de tres decisiones: (a) mover a Archive, (b) conservar en su tier actual, o (c) autorizar depuración explícita con firma/aprobación registrada.</w:t>
      </w:r>
    </w:p>
    <w:p>
      <w:pPr>
        <w:pStyle w:val="ListParagraph"/>
        <w:numPr>
          <w:ilvl w:val="0"/>
          <w:numId w:val="3"/>
        </w:numPr>
        <w:spacing w:after="80" w:line="264"/>
      </w:pPr>
      <w:r>
        <w:rPr>
          <w:rFonts w:ascii="Calibri" w:cs="Calibri" w:eastAsia="Calibri" w:hAnsi="Calibri"/>
          <w:sz w:val="21"/>
          <w:szCs w:val="21"/>
        </w:rPr>
        <w:t xml:space="preserve">Solo tras aprobación explícita y documentada se ejecuta la depuración — idealmente moviendo primero el blob a un contenedor de "cuarentena" por 30 días antes del borrado definitivo, como último respaldo ante error humano.</w:t>
      </w:r>
    </w:p>
    <w:p>
      <w:pPr>
        <w:pStyle w:val="Heading3"/>
        <w:spacing w:after="90" w:before="180"/>
      </w:pPr>
      <w:r>
        <w:rPr>
          <w:rFonts w:ascii="Calibri" w:cs="Calibri" w:eastAsia="Calibri" w:hAnsi="Calibri"/>
          <w:b/>
          <w:bCs/>
          <w:color w:val="595959"/>
          <w:sz w:val="22"/>
          <w:szCs w:val="22"/>
        </w:rPr>
        <w:t xml:space="preserve">Controles para "que nadie borre sin validar"</w:t>
      </w:r>
    </w:p>
    <w:p>
      <w:pPr>
        <w:pStyle w:val="ListParagraph"/>
        <w:numPr>
          <w:ilvl w:val="0"/>
          <w:numId w:val="2"/>
        </w:numPr>
        <w:spacing w:after="80" w:line="264"/>
      </w:pPr>
      <w:r>
        <w:rPr>
          <w:rFonts w:ascii="Calibri" w:cs="Calibri" w:eastAsia="Calibri" w:hAnsi="Calibri"/>
          <w:sz w:val="21"/>
          <w:szCs w:val="21"/>
        </w:rPr>
        <w:t xml:space="preserve">RBAC granular: revocar el rol Storage Blob Data Owner/Contributor de cuentas individuales; centralizar el borrado en una identidad de servicio o en un grupo reducido (ej. "Storage-Admins").</w:t>
      </w:r>
    </w:p>
    <w:p>
      <w:pPr>
        <w:pStyle w:val="ListParagraph"/>
        <w:numPr>
          <w:ilvl w:val="0"/>
          <w:numId w:val="2"/>
        </w:numPr>
        <w:spacing w:after="80" w:line="264"/>
      </w:pPr>
      <w:r>
        <w:rPr>
          <w:rFonts w:ascii="Calibri" w:cs="Calibri" w:eastAsia="Calibri" w:hAnsi="Calibri"/>
          <w:sz w:val="21"/>
          <w:szCs w:val="21"/>
        </w:rPr>
        <w:t xml:space="preserve">Blob soft delete habilitado (contenedores y blobs) con retención de 30–90 días: cualquier borrado queda recuperable dentro de ese periodo.</w:t>
      </w:r>
    </w:p>
    <w:p>
      <w:pPr>
        <w:pStyle w:val="ListParagraph"/>
        <w:numPr>
          <w:ilvl w:val="0"/>
          <w:numId w:val="2"/>
        </w:numPr>
        <w:spacing w:after="80" w:line="264"/>
      </w:pPr>
      <w:r>
        <w:rPr>
          <w:rFonts w:ascii="Calibri" w:cs="Calibri" w:eastAsia="Calibri" w:hAnsi="Calibri"/>
          <w:sz w:val="21"/>
          <w:szCs w:val="21"/>
        </w:rPr>
        <w:t xml:space="preserve">Blob versioning habilitado: cada sobrescritura conserva la versión previa.</w:t>
      </w:r>
    </w:p>
    <w:p>
      <w:pPr>
        <w:pStyle w:val="ListParagraph"/>
        <w:numPr>
          <w:ilvl w:val="0"/>
          <w:numId w:val="2"/>
        </w:numPr>
        <w:spacing w:after="80" w:line="264"/>
      </w:pPr>
      <w:r>
        <w:rPr>
          <w:rFonts w:ascii="Calibri" w:cs="Calibri" w:eastAsia="Calibri" w:hAnsi="Calibri"/>
          <w:sz w:val="21"/>
          <w:szCs w:val="21"/>
        </w:rPr>
        <w:t xml:space="preserve">Resource Lock tipo "CanNotDelete" sobre la cuenta de Storage y, donde aplique, sobre contenedores críticos.</w:t>
      </w:r>
    </w:p>
    <w:p>
      <w:pPr>
        <w:pStyle w:val="ListParagraph"/>
        <w:numPr>
          <w:ilvl w:val="0"/>
          <w:numId w:val="2"/>
        </w:numPr>
        <w:spacing w:after="80" w:line="264"/>
      </w:pPr>
      <w:r>
        <w:rPr>
          <w:rFonts w:ascii="Calibri" w:cs="Calibri" w:eastAsia="Calibri" w:hAnsi="Calibri"/>
          <w:sz w:val="21"/>
          <w:szCs w:val="21"/>
        </w:rPr>
        <w:t xml:space="preserve">Notificación automática (ver sección 10) cada vez que ocurra una operación de eliminación, para que el equipo tenga visibilidad inmediata aunque el dato sea recuperable.</w:t>
      </w:r>
    </w:p>
    <w:p>
      <w:pPr>
        <w:pStyle w:val="Heading2"/>
        <w:spacing w:after="120" w:before="260"/>
      </w:pPr>
      <w:r>
        <w:rPr>
          <w:rFonts w:ascii="Calibri" w:cs="Calibri" w:eastAsia="Calibri" w:hAnsi="Calibri"/>
          <w:b/>
          <w:bCs/>
          <w:color w:val="2E74B5"/>
          <w:sz w:val="24"/>
          <w:szCs w:val="24"/>
        </w:rPr>
        <w:t xml:space="preserve">8.4 Activar Cost Alerts y Budgets</w:t>
      </w:r>
    </w:p>
    <w:p>
      <w:pPr>
        <w:spacing w:after="140" w:line="276"/>
      </w:pPr>
      <w:r>
        <w:rPr>
          <w:rFonts w:ascii="Calibri" w:cs="Calibri" w:eastAsia="Calibri" w:hAnsi="Calibri"/>
          <w:sz w:val="21"/>
          <w:szCs w:val="21"/>
        </w:rPr>
        <w:t xml:space="preserve">Ruta: Azure Cost Management + Billing → Cost Management → Budgets → Add. Se recomienda un Budget mensual alineado al nuevo contrato de $1,000 USD.</w:t>
      </w:r>
    </w:p>
    <w:p>
      <w:pPr>
        <w:pStyle w:val="Heading3"/>
        <w:spacing w:after="90" w:before="180"/>
      </w:pPr>
      <w:r>
        <w:rPr>
          <w:rFonts w:ascii="Calibri" w:cs="Calibri" w:eastAsia="Calibri" w:hAnsi="Calibri"/>
          <w:b/>
          <w:bCs/>
          <w:color w:val="595959"/>
          <w:sz w:val="22"/>
          <w:szCs w:val="22"/>
        </w:rPr>
        <w:t xml:space="preserve">Configuración recomendada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Umbral</w:t>
            </w:r>
          </w:p>
        </w:tc>
        <w:tc>
          <w:tcPr>
            <w:tcW w:type="dxa" w:w="6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Acción</w:t>
            </w:r>
          </w:p>
        </w:tc>
      </w:tr>
      <w:tr>
        <w:tc>
          <w:tcPr>
            <w:tcW w:type="dxa" w:w="3200"/>
            <w:tcMar>
              <w:top w:type="dxa" w:w="80"/>
              <w:left w:type="dxa" w:w="100"/>
              <w:bottom w:type="dxa" w:w="80"/>
              <w:right w:type="dxa" w:w="100"/>
            </w:tcMar>
            <w:vAlign w:val="center"/>
          </w:tcPr>
          <w:p>
            <w:r>
              <w:rPr>
                <w:rFonts w:ascii="Calibri" w:cs="Calibri" w:eastAsia="Calibri" w:hAnsi="Calibri"/>
                <w:sz w:val="20"/>
                <w:szCs w:val="20"/>
              </w:rPr>
              <w:t xml:space="preserve">50% ($500 USD)</w:t>
            </w:r>
          </w:p>
        </w:tc>
        <w:tc>
          <w:tcPr>
            <w:tcW w:type="dxa" w:w="6150"/>
            <w:tcMar>
              <w:top w:type="dxa" w:w="80"/>
              <w:left w:type="dxa" w:w="100"/>
              <w:bottom w:type="dxa" w:w="80"/>
              <w:right w:type="dxa" w:w="100"/>
            </w:tcMar>
            <w:vAlign w:val="center"/>
          </w:tcPr>
          <w:p>
            <w:r>
              <w:rPr>
                <w:rFonts w:ascii="Calibri" w:cs="Calibri" w:eastAsia="Calibri" w:hAnsi="Calibri"/>
                <w:sz w:val="20"/>
                <w:szCs w:val="20"/>
              </w:rPr>
              <w:t xml:space="preserve">Alerta informativa al Analista FinOps (correo).</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80% ($800 USD)</w:t>
            </w:r>
          </w:p>
        </w:tc>
        <w:tc>
          <w:tcPr>
            <w:tcW w:type="dxa" w:w="6150"/>
            <w:shd w:fill="F2F2F2" w:val="clear"/>
            <w:tcMar>
              <w:top w:type="dxa" w:w="80"/>
              <w:left w:type="dxa" w:w="100"/>
              <w:bottom w:type="dxa" w:w="80"/>
              <w:right w:type="dxa" w:w="100"/>
            </w:tcMar>
            <w:vAlign w:val="center"/>
          </w:tcPr>
          <w:p>
            <w:r>
              <w:rPr>
                <w:rFonts w:ascii="Calibri" w:cs="Calibri" w:eastAsia="Calibri" w:hAnsi="Calibri"/>
                <w:sz w:val="20"/>
                <w:szCs w:val="20"/>
              </w:rPr>
              <w:t xml:space="preserve">Alerta a Analista FinOps + Arquitecto Cloud (correo/Teams) — revisar consumo del mes.</w:t>
            </w:r>
          </w:p>
        </w:tc>
      </w:tr>
      <w:tr>
        <w:tc>
          <w:tcPr>
            <w:tcW w:type="dxa" w:w="3200"/>
            <w:tcMar>
              <w:top w:type="dxa" w:w="80"/>
              <w:left w:type="dxa" w:w="100"/>
              <w:bottom w:type="dxa" w:w="80"/>
              <w:right w:type="dxa" w:w="100"/>
            </w:tcMar>
            <w:vAlign w:val="center"/>
          </w:tcPr>
          <w:p>
            <w:r>
              <w:rPr>
                <w:rFonts w:ascii="Calibri" w:cs="Calibri" w:eastAsia="Calibri" w:hAnsi="Calibri"/>
                <w:sz w:val="20"/>
                <w:szCs w:val="20"/>
              </w:rPr>
              <w:t xml:space="preserve">100% ($1,000 USD)</w:t>
            </w:r>
          </w:p>
        </w:tc>
        <w:tc>
          <w:tcPr>
            <w:tcW w:type="dxa" w:w="6150"/>
            <w:tcMar>
              <w:top w:type="dxa" w:w="80"/>
              <w:left w:type="dxa" w:w="100"/>
              <w:bottom w:type="dxa" w:w="80"/>
              <w:right w:type="dxa" w:w="100"/>
            </w:tcMar>
            <w:vAlign w:val="center"/>
          </w:tcPr>
          <w:p>
            <w:r>
              <w:rPr>
                <w:rFonts w:ascii="Calibri" w:cs="Calibri" w:eastAsia="Calibri" w:hAnsi="Calibri"/>
                <w:sz w:val="20"/>
                <w:szCs w:val="20"/>
              </w:rPr>
              <w:t xml:space="preserve">Alerta a Sponsor + Arquitecto Cloud; activar revisión inmediata de la causa.</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Cost Anomaly Alert</w:t>
            </w:r>
          </w:p>
        </w:tc>
        <w:tc>
          <w:tcPr>
            <w:tcW w:type="dxa" w:w="6150"/>
            <w:shd w:fill="F2F2F2" w:val="clear"/>
            <w:tcMar>
              <w:top w:type="dxa" w:w="80"/>
              <w:left w:type="dxa" w:w="100"/>
              <w:bottom w:type="dxa" w:w="80"/>
              <w:right w:type="dxa" w:w="100"/>
            </w:tcMar>
            <w:vAlign w:val="center"/>
          </w:tcPr>
          <w:p>
            <w:r>
              <w:rPr>
                <w:rFonts w:ascii="Calibri" w:cs="Calibri" w:eastAsia="Calibri" w:hAnsi="Calibri"/>
                <w:sz w:val="20"/>
                <w:szCs w:val="20"/>
              </w:rPr>
              <w:t xml:space="preserve">Alerta automática basada en machine learning ante desviaciones inusuales día a día (ej. un pico como el de Write Operations de marzo).</w:t>
            </w:r>
          </w:p>
        </w:tc>
      </w:tr>
    </w:tbl>
    <w:p>
      <w:pPr>
        <w:spacing w:after="160"/>
      </w:pPr>
    </w:p>
    <w:p>
      <w:pPr>
        <w:spacing w:after="140" w:line="276"/>
      </w:pPr>
      <w:r>
        <w:rPr>
          <w:rFonts w:ascii="Calibri" w:cs="Calibri" w:eastAsia="Calibri" w:hAnsi="Calibri"/>
          <w:sz w:val="21"/>
          <w:szCs w:val="21"/>
        </w:rPr>
        <w:t xml:space="preserve">Se recomienda crear un Action Group único ("AG-GrupoRomo-Storage-Costos") reutilizable para budgets, anomalías y las alertas de monitoreo de la sección 10.</w:t>
      </w:r>
    </w:p>
    <w:p>
      <w:pPr>
        <w:pStyle w:val="Heading2"/>
        <w:spacing w:after="120" w:before="260"/>
      </w:pPr>
      <w:r>
        <w:rPr>
          <w:rFonts w:ascii="Calibri" w:cs="Calibri" w:eastAsia="Calibri" w:hAnsi="Calibri"/>
          <w:b/>
          <w:bCs/>
          <w:color w:val="2E74B5"/>
          <w:sz w:val="24"/>
          <w:szCs w:val="24"/>
        </w:rPr>
        <w:t xml:space="preserve">8.5 Investigar el pico de Write Operations de marzo 2026</w:t>
      </w:r>
    </w:p>
    <w:p>
      <w:pPr>
        <w:spacing w:after="140" w:line="276"/>
      </w:pPr>
      <w:r>
        <w:rPr>
          <w:rFonts w:ascii="Calibri" w:cs="Calibri" w:eastAsia="Calibri" w:hAnsi="Calibri"/>
          <w:sz w:val="21"/>
          <w:szCs w:val="21"/>
        </w:rPr>
        <w:t xml:space="preserve">Marzo 2026 registró $5.00 USD en Write Operations frente a ~$1.00 USD en meses regulares (+400%), lo cual es un síntoma típico de un proceso mal configurado (reintentos excesivos, un job de sincronización duplicado, o una migración/carga masiva no documentada).</w:t>
      </w:r>
    </w:p>
    <w:p>
      <w:pPr>
        <w:pStyle w:val="Heading3"/>
        <w:spacing w:after="90" w:before="180"/>
      </w:pPr>
      <w:r>
        <w:rPr>
          <w:rFonts w:ascii="Calibri" w:cs="Calibri" w:eastAsia="Calibri" w:hAnsi="Calibri"/>
          <w:b/>
          <w:bCs/>
          <w:color w:val="595959"/>
          <w:sz w:val="22"/>
          <w:szCs w:val="22"/>
        </w:rPr>
        <w:t xml:space="preserve">Pasos de diagnóstico</w:t>
      </w:r>
    </w:p>
    <w:p>
      <w:pPr>
        <w:pStyle w:val="ListParagraph"/>
        <w:numPr>
          <w:ilvl w:val="0"/>
          <w:numId w:val="3"/>
        </w:numPr>
        <w:spacing w:after="80" w:line="264"/>
      </w:pPr>
      <w:r>
        <w:rPr>
          <w:rFonts w:ascii="Calibri" w:cs="Calibri" w:eastAsia="Calibri" w:hAnsi="Calibri"/>
          <w:sz w:val="21"/>
          <w:szCs w:val="21"/>
        </w:rPr>
        <w:t xml:space="preserve">Habilitar Diagnostic Settings en la cuenta de Storage enviando logs a Log Analytics (categorías StorageWrite y Transaction).</w:t>
      </w:r>
    </w:p>
    <w:p>
      <w:pPr>
        <w:pStyle w:val="ListParagraph"/>
        <w:numPr>
          <w:ilvl w:val="0"/>
          <w:numId w:val="3"/>
        </w:numPr>
        <w:spacing w:after="80" w:line="264"/>
      </w:pPr>
      <w:r>
        <w:rPr>
          <w:rFonts w:ascii="Calibri" w:cs="Calibri" w:eastAsia="Calibri" w:hAnsi="Calibri"/>
          <w:sz w:val="21"/>
          <w:szCs w:val="21"/>
        </w:rPr>
        <w:t xml:space="preserve">En Azure Monitor / Log Analytics, ejecutar una consulta KQL sobre el rango de marzo 2026, agrupando por identidad que realizó la operación (callerIpAddress, authentication, requester), tipo de operación (PutBlob, PutBlock, AppendBlock) y contenedor.</w:t>
      </w:r>
    </w:p>
    <w:p>
      <w:pPr>
        <w:pStyle w:val="ListParagraph"/>
        <w:numPr>
          <w:ilvl w:val="0"/>
          <w:numId w:val="3"/>
        </w:numPr>
        <w:spacing w:after="80" w:line="264"/>
      </w:pPr>
      <w:r>
        <w:rPr>
          <w:rFonts w:ascii="Calibri" w:cs="Calibri" w:eastAsia="Calibri" w:hAnsi="Calibri"/>
          <w:sz w:val="21"/>
          <w:szCs w:val="21"/>
        </w:rPr>
        <w:t xml:space="preserve">Cruzar los resultados con el calendario de despliegues/cargas de las aplicaciones de Grupo Romo activas en ese periodo.</w:t>
      </w:r>
    </w:p>
    <w:p>
      <w:pPr>
        <w:pStyle w:val="ListParagraph"/>
        <w:numPr>
          <w:ilvl w:val="0"/>
          <w:numId w:val="3"/>
        </w:numPr>
        <w:spacing w:after="80" w:line="264"/>
      </w:pPr>
      <w:r>
        <w:rPr>
          <w:rFonts w:ascii="Calibri" w:cs="Calibri" w:eastAsia="Calibri" w:hAnsi="Calibri"/>
          <w:sz w:val="21"/>
          <w:szCs w:val="21"/>
        </w:rPr>
        <w:t xml:space="preserve">Documentar la causa raíz y, si corresponde, entregar la recomendación técnica al equipo dueño de la aplicación (ej. ajustar tamaño de bloque, agrupar escrituras, revisar política de reintentos).</w:t>
      </w:r>
    </w:p>
    <w:p>
      <w:pPr>
        <w:pStyle w:val="ListParagraph"/>
        <w:numPr>
          <w:ilvl w:val="0"/>
          <w:numId w:val="3"/>
        </w:numPr>
        <w:spacing w:after="80" w:line="264"/>
      </w:pPr>
      <w:r>
        <w:rPr>
          <w:rFonts w:ascii="Calibri" w:cs="Calibri" w:eastAsia="Calibri" w:hAnsi="Calibri"/>
          <w:sz w:val="21"/>
          <w:szCs w:val="21"/>
        </w:rPr>
        <w:t xml:space="preserve">Configurar una alerta de Azure Monitor sobre la métrica Transactions (por tipo de API = escritura) para detectar de forma temprana un patrón similar en el futuro.</w:t>
      </w:r>
    </w:p>
    <w:p>
      <w:pPr>
        <w:pStyle w:val="Heading2"/>
        <w:spacing w:after="120" w:before="260"/>
      </w:pPr>
      <w:r>
        <w:rPr>
          <w:rFonts w:ascii="Calibri" w:cs="Calibri" w:eastAsia="Calibri" w:hAnsi="Calibri"/>
          <w:b/>
          <w:bCs/>
          <w:color w:val="2E74B5"/>
          <w:sz w:val="24"/>
          <w:szCs w:val="24"/>
        </w:rPr>
        <w:t xml:space="preserve">8.6 Aplicar Tags de gobernanza</w:t>
      </w:r>
    </w:p>
    <w:p>
      <w:pPr>
        <w:spacing w:after="140" w:line="276"/>
      </w:pPr>
      <w:r>
        <w:rPr>
          <w:rFonts w:ascii="Calibri" w:cs="Calibri" w:eastAsia="Calibri" w:hAnsi="Calibri"/>
          <w:sz w:val="21"/>
          <w:szCs w:val="21"/>
        </w:rPr>
        <w:t xml:space="preserve">Se recomienda el siguiente esquema mínimo de etiquetas, aplicado a nivel de cuenta de Storage y, cuando el escenario lo permita (blob index tags), a nivel de blob/contenedor para trazabilidad fina: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Tag</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Ejemplo de valor</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Uso</w:t>
            </w:r>
          </w:p>
        </w:tc>
      </w:tr>
      <w:tr>
        <w:tc>
          <w:tcPr>
            <w:tcW w:type="dxa" w:w="2400"/>
            <w:tcMar>
              <w:top w:type="dxa" w:w="80"/>
              <w:left w:type="dxa" w:w="100"/>
              <w:bottom w:type="dxa" w:w="80"/>
              <w:right w:type="dxa" w:w="100"/>
            </w:tcMar>
            <w:vAlign w:val="center"/>
          </w:tcPr>
          <w:p>
            <w:r>
              <w:rPr>
                <w:rFonts w:ascii="Calibri" w:cs="Calibri" w:eastAsia="Calibri" w:hAnsi="Calibri"/>
                <w:sz w:val="20"/>
                <w:szCs w:val="20"/>
              </w:rPr>
              <w:t xml:space="preserve">Proyecto</w:t>
            </w:r>
          </w:p>
        </w:tc>
        <w:tc>
          <w:tcPr>
            <w:tcW w:type="dxa" w:w="3200"/>
            <w:tcMar>
              <w:top w:type="dxa" w:w="80"/>
              <w:left w:type="dxa" w:w="100"/>
              <w:bottom w:type="dxa" w:w="80"/>
              <w:right w:type="dxa" w:w="100"/>
            </w:tcMar>
            <w:vAlign w:val="center"/>
          </w:tcPr>
          <w:p>
            <w:r>
              <w:rPr>
                <w:rFonts w:ascii="Calibri" w:cs="Calibri" w:eastAsia="Calibri" w:hAnsi="Calibri"/>
                <w:sz w:val="20"/>
                <w:szCs w:val="20"/>
              </w:rPr>
              <w:t xml:space="preserve">ERP-Romo, Portal-Clientes</w:t>
            </w:r>
          </w:p>
        </w:tc>
        <w:tc>
          <w:tcPr>
            <w:tcW w:type="dxa" w:w="3750"/>
            <w:tcMar>
              <w:top w:type="dxa" w:w="80"/>
              <w:left w:type="dxa" w:w="100"/>
              <w:bottom w:type="dxa" w:w="80"/>
              <w:right w:type="dxa" w:w="100"/>
            </w:tcMar>
            <w:vAlign w:val="center"/>
          </w:tcPr>
          <w:p>
            <w:r>
              <w:rPr>
                <w:rFonts w:ascii="Calibri" w:cs="Calibri" w:eastAsia="Calibri" w:hAnsi="Calibri"/>
                <w:sz w:val="20"/>
                <w:szCs w:val="20"/>
              </w:rPr>
              <w:t xml:space="preserve">Agrupar costos por iniciativa/proyecto.</w:t>
            </w:r>
          </w:p>
        </w:tc>
      </w:tr>
      <w:tr>
        <w:tc>
          <w:tcPr>
            <w:tcW w:type="dxa" w:w="2400"/>
            <w:shd w:fill="F2F2F2" w:val="clear"/>
            <w:tcMar>
              <w:top w:type="dxa" w:w="80"/>
              <w:left w:type="dxa" w:w="100"/>
              <w:bottom w:type="dxa" w:w="80"/>
              <w:right w:type="dxa" w:w="100"/>
            </w:tcMar>
            <w:vAlign w:val="center"/>
          </w:tcPr>
          <w:p>
            <w:r>
              <w:rPr>
                <w:rFonts w:ascii="Calibri" w:cs="Calibri" w:eastAsia="Calibri" w:hAnsi="Calibri"/>
                <w:sz w:val="20"/>
                <w:szCs w:val="20"/>
              </w:rPr>
              <w:t xml:space="preserve">Ambiente</w:t>
            </w:r>
          </w:p>
        </w:tc>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Dev / QA / Prod</w:t>
            </w:r>
          </w:p>
        </w:tc>
        <w:tc>
          <w:tcPr>
            <w:tcW w:type="dxa" w:w="3750"/>
            <w:shd w:fill="F2F2F2" w:val="clear"/>
            <w:tcMar>
              <w:top w:type="dxa" w:w="80"/>
              <w:left w:type="dxa" w:w="100"/>
              <w:bottom w:type="dxa" w:w="80"/>
              <w:right w:type="dxa" w:w="100"/>
            </w:tcMar>
            <w:vAlign w:val="center"/>
          </w:tcPr>
          <w:p>
            <w:r>
              <w:rPr>
                <w:rFonts w:ascii="Calibri" w:cs="Calibri" w:eastAsia="Calibri" w:hAnsi="Calibri"/>
                <w:sz w:val="20"/>
                <w:szCs w:val="20"/>
              </w:rPr>
              <w:t xml:space="preserve">Diferenciar consumo productivo de no productivo (candidato prioritario a Cool/Archive).</w:t>
            </w:r>
          </w:p>
        </w:tc>
      </w:tr>
      <w:tr>
        <w:tc>
          <w:tcPr>
            <w:tcW w:type="dxa" w:w="2400"/>
            <w:tcMar>
              <w:top w:type="dxa" w:w="80"/>
              <w:left w:type="dxa" w:w="100"/>
              <w:bottom w:type="dxa" w:w="80"/>
              <w:right w:type="dxa" w:w="100"/>
            </w:tcMar>
            <w:vAlign w:val="center"/>
          </w:tcPr>
          <w:p>
            <w:r>
              <w:rPr>
                <w:rFonts w:ascii="Calibri" w:cs="Calibri" w:eastAsia="Calibri" w:hAnsi="Calibri"/>
                <w:sz w:val="20"/>
                <w:szCs w:val="20"/>
              </w:rPr>
              <w:t xml:space="preserve">CentroCosto</w:t>
            </w:r>
          </w:p>
        </w:tc>
        <w:tc>
          <w:tcPr>
            <w:tcW w:type="dxa" w:w="3200"/>
            <w:tcMar>
              <w:top w:type="dxa" w:w="80"/>
              <w:left w:type="dxa" w:w="100"/>
              <w:bottom w:type="dxa" w:w="80"/>
              <w:right w:type="dxa" w:w="100"/>
            </w:tcMar>
            <w:vAlign w:val="center"/>
          </w:tcPr>
          <w:p>
            <w:r>
              <w:rPr>
                <w:rFonts w:ascii="Calibri" w:cs="Calibri" w:eastAsia="Calibri" w:hAnsi="Calibri"/>
                <w:sz w:val="20"/>
                <w:szCs w:val="20"/>
              </w:rPr>
              <w:t xml:space="preserve">CC-1002-Operaciones</w:t>
            </w:r>
          </w:p>
        </w:tc>
        <w:tc>
          <w:tcPr>
            <w:tcW w:type="dxa" w:w="3750"/>
            <w:tcMar>
              <w:top w:type="dxa" w:w="80"/>
              <w:left w:type="dxa" w:w="100"/>
              <w:bottom w:type="dxa" w:w="80"/>
              <w:right w:type="dxa" w:w="100"/>
            </w:tcMar>
            <w:vAlign w:val="center"/>
          </w:tcPr>
          <w:p>
            <w:r>
              <w:rPr>
                <w:rFonts w:ascii="Calibri" w:cs="Calibri" w:eastAsia="Calibri" w:hAnsi="Calibri"/>
                <w:sz w:val="20"/>
                <w:szCs w:val="20"/>
              </w:rPr>
              <w:t xml:space="preserve">Chargeback / showback financiero por área.</w:t>
            </w:r>
          </w:p>
        </w:tc>
      </w:tr>
      <w:tr>
        <w:tc>
          <w:tcPr>
            <w:tcW w:type="dxa" w:w="2400"/>
            <w:shd w:fill="F2F2F2" w:val="clear"/>
            <w:tcMar>
              <w:top w:type="dxa" w:w="80"/>
              <w:left w:type="dxa" w:w="100"/>
              <w:bottom w:type="dxa" w:w="80"/>
              <w:right w:type="dxa" w:w="100"/>
            </w:tcMar>
            <w:vAlign w:val="center"/>
          </w:tcPr>
          <w:p>
            <w:r>
              <w:rPr>
                <w:rFonts w:ascii="Calibri" w:cs="Calibri" w:eastAsia="Calibri" w:hAnsi="Calibri"/>
                <w:sz w:val="20"/>
                <w:szCs w:val="20"/>
              </w:rPr>
              <w:t xml:space="preserve">Propietario</w:t>
            </w:r>
          </w:p>
        </w:tc>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nombre.apellido@empresa.com</w:t>
            </w:r>
          </w:p>
        </w:tc>
        <w:tc>
          <w:tcPr>
            <w:tcW w:type="dxa" w:w="3750"/>
            <w:shd w:fill="F2F2F2" w:val="clear"/>
            <w:tcMar>
              <w:top w:type="dxa" w:w="80"/>
              <w:left w:type="dxa" w:w="100"/>
              <w:bottom w:type="dxa" w:w="80"/>
              <w:right w:type="dxa" w:w="100"/>
            </w:tcMar>
            <w:vAlign w:val="center"/>
          </w:tcPr>
          <w:p>
            <w:r>
              <w:rPr>
                <w:rFonts w:ascii="Calibri" w:cs="Calibri" w:eastAsia="Calibri" w:hAnsi="Calibri"/>
                <w:sz w:val="20"/>
                <w:szCs w:val="20"/>
              </w:rPr>
              <w:t xml:space="preserve">Responsable directo a notificar/consultar antes de mover o depurar datos.</w:t>
            </w:r>
          </w:p>
        </w:tc>
      </w:tr>
      <w:tr>
        <w:tc>
          <w:tcPr>
            <w:tcW w:type="dxa" w:w="2400"/>
            <w:tcMar>
              <w:top w:type="dxa" w:w="80"/>
              <w:left w:type="dxa" w:w="100"/>
              <w:bottom w:type="dxa" w:w="80"/>
              <w:right w:type="dxa" w:w="100"/>
            </w:tcMar>
            <w:vAlign w:val="center"/>
          </w:tcPr>
          <w:p>
            <w:r>
              <w:rPr>
                <w:rFonts w:ascii="Calibri" w:cs="Calibri" w:eastAsia="Calibri" w:hAnsi="Calibri"/>
                <w:sz w:val="20"/>
                <w:szCs w:val="20"/>
              </w:rPr>
              <w:t xml:space="preserve">Retención / Backup</w:t>
            </w:r>
          </w:p>
        </w:tc>
        <w:tc>
          <w:tcPr>
            <w:tcW w:type="dxa" w:w="3200"/>
            <w:tcMar>
              <w:top w:type="dxa" w:w="80"/>
              <w:left w:type="dxa" w:w="100"/>
              <w:bottom w:type="dxa" w:w="80"/>
              <w:right w:type="dxa" w:w="100"/>
            </w:tcMar>
            <w:vAlign w:val="center"/>
          </w:tcPr>
          <w:p>
            <w:r>
              <w:rPr>
                <w:rFonts w:ascii="Calibri" w:cs="Calibri" w:eastAsia="Calibri" w:hAnsi="Calibri"/>
                <w:sz w:val="20"/>
                <w:szCs w:val="20"/>
              </w:rPr>
              <w:t xml:space="preserve">Backup-Semanal / Sin-Backup</w:t>
            </w:r>
          </w:p>
        </w:tc>
        <w:tc>
          <w:tcPr>
            <w:tcW w:type="dxa" w:w="3750"/>
            <w:tcMar>
              <w:top w:type="dxa" w:w="80"/>
              <w:left w:type="dxa" w:w="100"/>
              <w:bottom w:type="dxa" w:w="80"/>
              <w:right w:type="dxa" w:w="100"/>
            </w:tcMar>
            <w:vAlign w:val="center"/>
          </w:tcPr>
          <w:p>
            <w:r>
              <w:rPr>
                <w:rFonts w:ascii="Calibri" w:cs="Calibri" w:eastAsia="Calibri" w:hAnsi="Calibri"/>
                <w:sz w:val="20"/>
                <w:szCs w:val="20"/>
              </w:rPr>
              <w:t xml:space="preserve">Determinar inclusión en la política de respaldo (sección 11).</w:t>
            </w:r>
          </w:p>
        </w:tc>
      </w:tr>
    </w:tbl>
    <w:p>
      <w:pPr>
        <w:spacing w:after="160"/>
      </w:pPr>
    </w:p>
    <w:p>
      <w:pPr>
        <w:spacing w:after="140" w:line="276"/>
      </w:pPr>
      <w:r>
        <w:rPr>
          <w:rFonts w:ascii="Calibri" w:cs="Calibri" w:eastAsia="Calibri" w:hAnsi="Calibri"/>
          <w:sz w:val="21"/>
          <w:szCs w:val="21"/>
        </w:rPr>
        <w:t xml:space="preserve">Estas etiquetas habilitan vistas de Cost Analysis agrupadas por tag en Azure Cost Management, y son también el mecanismo propuesto para decidir, de forma automática, qué datos se respaldan semanalmente (sección 11).</w:t>
      </w:r>
    </w:p>
    <w:p>
      <w:pPr>
        <w:pStyle w:val="Heading1"/>
        <w:pBdr>
          <w:bottom w:val="single" w:color="2E74B5" w:sz="6" w:space="4"/>
        </w:pBdr>
        <w:spacing w:after="160" w:before="360"/>
      </w:pPr>
      <w:r>
        <w:rPr>
          <w:rFonts w:ascii="Calibri" w:cs="Calibri" w:eastAsia="Calibri" w:hAnsi="Calibri"/>
          <w:b/>
          <w:bCs/>
          <w:color w:val="1F3864"/>
          <w:sz w:val="30"/>
          <w:szCs w:val="30"/>
        </w:rPr>
        <w:t xml:space="preserve">9. Política de Protección de Datos (Premisa: No Borrar Información)</w:t>
      </w:r>
    </w:p>
    <w:p>
      <w:pPr>
        <w:spacing w:after="140" w:line="276"/>
      </w:pPr>
      <w:r>
        <w:rPr>
          <w:rFonts w:ascii="Calibri" w:cs="Calibri" w:eastAsia="Calibri" w:hAnsi="Calibri"/>
          <w:sz w:val="21"/>
          <w:szCs w:val="21"/>
        </w:rPr>
        <w:t xml:space="preserve">Esta sección responde directamente a la premisa de Grupo Romo: nadie debe poder borrar datos sin validación previa, y cualquier actividad de este tipo debe notificarse.</w:t>
      </w:r>
    </w:p>
    <w:p>
      <w:pPr>
        <w:pStyle w:val="Heading3"/>
        <w:spacing w:after="90" w:before="180"/>
      </w:pPr>
      <w:r>
        <w:rPr>
          <w:rFonts w:ascii="Calibri" w:cs="Calibri" w:eastAsia="Calibri" w:hAnsi="Calibri"/>
          <w:b/>
          <w:bCs/>
          <w:color w:val="595959"/>
          <w:sz w:val="22"/>
          <w:szCs w:val="22"/>
        </w:rPr>
        <w:t xml:space="preserve">Controles preventivos</w:t>
      </w:r>
    </w:p>
    <w:p>
      <w:pPr>
        <w:pStyle w:val="ListParagraph"/>
        <w:numPr>
          <w:ilvl w:val="0"/>
          <w:numId w:val="2"/>
        </w:numPr>
        <w:spacing w:after="80" w:line="264"/>
      </w:pPr>
      <w:r>
        <w:rPr>
          <w:rFonts w:ascii="Calibri" w:cs="Calibri" w:eastAsia="Calibri" w:hAnsi="Calibri"/>
          <w:sz w:val="21"/>
          <w:szCs w:val="21"/>
        </w:rPr>
        <w:t xml:space="preserve">RBAC restringido: solo un grupo reducido ("Storage-Admins") tiene permisos de eliminación (Storage Blob Data Owner); el resto de usuarios/aplicaciones opera con roles de lectura/escritura sin borrado (Storage Blob Data Contributor puede escribir pero igual queda cubierto por soft delete/versioning como red de seguridad).</w:t>
      </w:r>
    </w:p>
    <w:p>
      <w:pPr>
        <w:pStyle w:val="ListParagraph"/>
        <w:numPr>
          <w:ilvl w:val="0"/>
          <w:numId w:val="2"/>
        </w:numPr>
        <w:spacing w:after="80" w:line="264"/>
      </w:pPr>
      <w:r>
        <w:rPr>
          <w:rFonts w:ascii="Calibri" w:cs="Calibri" w:eastAsia="Calibri" w:hAnsi="Calibri"/>
          <w:sz w:val="21"/>
          <w:szCs w:val="21"/>
        </w:rPr>
        <w:t xml:space="preserve">Blob soft delete + container soft delete habilitados (retención sugerida: 30–90 días) — cualquier borrado, aun si ocurre, es recuperable durante ese periodo mediante la operación Undelete Blob.</w:t>
      </w:r>
    </w:p>
    <w:p>
      <w:pPr>
        <w:pStyle w:val="ListParagraph"/>
        <w:numPr>
          <w:ilvl w:val="0"/>
          <w:numId w:val="2"/>
        </w:numPr>
        <w:spacing w:after="80" w:line="264"/>
      </w:pPr>
      <w:r>
        <w:rPr>
          <w:rFonts w:ascii="Calibri" w:cs="Calibri" w:eastAsia="Calibri" w:hAnsi="Calibri"/>
          <w:sz w:val="21"/>
          <w:szCs w:val="21"/>
        </w:rPr>
        <w:t xml:space="preserve">Blob versioning habilitado — protege también contra sobrescrituras accidentales, no solo borrados.</w:t>
      </w:r>
    </w:p>
    <w:p>
      <w:pPr>
        <w:pStyle w:val="ListParagraph"/>
        <w:numPr>
          <w:ilvl w:val="0"/>
          <w:numId w:val="2"/>
        </w:numPr>
        <w:spacing w:after="80" w:line="264"/>
      </w:pPr>
      <w:r>
        <w:rPr>
          <w:rFonts w:ascii="Calibri" w:cs="Calibri" w:eastAsia="Calibri" w:hAnsi="Calibri"/>
          <w:sz w:val="21"/>
          <w:szCs w:val="21"/>
        </w:rPr>
        <w:t xml:space="preserve">Resource Lock "CanNotDelete" a nivel de cuenta de Storage (evita que se elimine la cuenta completa por error).</w:t>
      </w:r>
    </w:p>
    <w:p>
      <w:pPr>
        <w:pStyle w:val="ListParagraph"/>
        <w:numPr>
          <w:ilvl w:val="0"/>
          <w:numId w:val="2"/>
        </w:numPr>
        <w:spacing w:after="80" w:line="264"/>
      </w:pPr>
      <w:r>
        <w:rPr>
          <w:rFonts w:ascii="Calibri" w:cs="Calibri" w:eastAsia="Calibri" w:hAnsi="Calibri"/>
          <w:sz w:val="21"/>
          <w:szCs w:val="21"/>
        </w:rPr>
        <w:t xml:space="preserve">Contenedor de "cuarentena" intermedio: antes de un borrado definitivo autorizado, el blob se mueve a un contenedor de cuarentena por 30 días adicionales.</w:t>
      </w:r>
    </w:p>
    <w:p>
      <w:pPr>
        <w:pStyle w:val="Heading3"/>
        <w:spacing w:after="90" w:before="180"/>
      </w:pPr>
      <w:r>
        <w:rPr>
          <w:rFonts w:ascii="Calibri" w:cs="Calibri" w:eastAsia="Calibri" w:hAnsi="Calibri"/>
          <w:b/>
          <w:bCs/>
          <w:color w:val="595959"/>
          <w:sz w:val="22"/>
          <w:szCs w:val="22"/>
        </w:rPr>
        <w:t xml:space="preserve">Control detectivo y de notificación</w:t>
      </w:r>
    </w:p>
    <w:p>
      <w:pPr>
        <w:pStyle w:val="ListParagraph"/>
        <w:numPr>
          <w:ilvl w:val="0"/>
          <w:numId w:val="2"/>
        </w:numPr>
        <w:spacing w:after="80" w:line="264"/>
      </w:pPr>
      <w:r>
        <w:rPr>
          <w:rFonts w:ascii="Calibri" w:cs="Calibri" w:eastAsia="Calibri" w:hAnsi="Calibri"/>
          <w:sz w:val="21"/>
          <w:szCs w:val="21"/>
        </w:rPr>
        <w:t xml:space="preserve">Diagnostic Settings con la categoría de log StorageDelete enviada a Log Analytics.</w:t>
      </w:r>
    </w:p>
    <w:p>
      <w:pPr>
        <w:pStyle w:val="ListParagraph"/>
        <w:numPr>
          <w:ilvl w:val="0"/>
          <w:numId w:val="2"/>
        </w:numPr>
        <w:spacing w:after="80" w:line="264"/>
      </w:pPr>
      <w:r>
        <w:rPr>
          <w:rFonts w:ascii="Calibri" w:cs="Calibri" w:eastAsia="Calibri" w:hAnsi="Calibri"/>
          <w:sz w:val="21"/>
          <w:szCs w:val="21"/>
        </w:rPr>
        <w:t xml:space="preserve">Regla de alerta en Azure Monitor (basada en la consulta de logs) que dispare una notificación (correo/Teams) cada vez que se ejecute una operación Delete Blob / Delete Container, incluyendo quién la ejecutó, cuándo y sobre qué recurso.</w:t>
      </w:r>
    </w:p>
    <w:p>
      <w:pPr>
        <w:pStyle w:val="ListParagraph"/>
        <w:numPr>
          <w:ilvl w:val="0"/>
          <w:numId w:val="2"/>
        </w:numPr>
        <w:spacing w:after="80" w:line="264"/>
      </w:pPr>
      <w:r>
        <w:rPr>
          <w:rFonts w:ascii="Calibri" w:cs="Calibri" w:eastAsia="Calibri" w:hAnsi="Calibri"/>
          <w:sz w:val="21"/>
          <w:szCs w:val="21"/>
        </w:rPr>
        <w:t xml:space="preserve">Evento de Event Grid del propio Storage Account (Microsoft.Storage.BlobDeleted) enviado a un Logic App/Function que envíe la notificación casi en tiempo real y, opcionalmente, registre el evento en una bitácora (ej. tabla en Log Analytics o Sentinel si aplica).</w:t>
      </w:r>
    </w:p>
    <w:p>
      <w:pPr>
        <w:pStyle w:val="ListParagraph"/>
        <w:numPr>
          <w:ilvl w:val="0"/>
          <w:numId w:val="2"/>
        </w:numPr>
        <w:spacing w:after="80" w:line="264"/>
      </w:pPr>
      <w:r>
        <w:rPr>
          <w:rFonts w:ascii="Calibri" w:cs="Calibri" w:eastAsia="Calibri" w:hAnsi="Calibri"/>
          <w:sz w:val="21"/>
          <w:szCs w:val="21"/>
        </w:rPr>
        <w:t xml:space="preserve">Reporte mensual consolidado de todas las eliminaciones ocurridas, cruzado contra las aprobaciones documentadas del proceso de la sección 8.3, para detectar cualquier borrado no autorizado.</w:t>
      </w:r>
    </w:p>
    <w:p>
      <w:pPr>
        <w:pStyle w:val="Heading3"/>
        <w:spacing w:after="90" w:before="180"/>
      </w:pPr>
      <w:r>
        <w:rPr>
          <w:rFonts w:ascii="Calibri" w:cs="Calibri" w:eastAsia="Calibri" w:hAnsi="Calibri"/>
          <w:b/>
          <w:bCs/>
          <w:color w:val="595959"/>
          <w:sz w:val="22"/>
          <w:szCs w:val="22"/>
        </w:rPr>
        <w:t xml:space="preserve">Flujo resumido</w:t>
      </w:r>
    </w:p>
    <w:p>
      <w:pPr>
        <w:spacing w:after="140" w:line="276"/>
      </w:pPr>
      <w:r>
        <w:rPr>
          <w:rFonts w:ascii="Calibri" w:cs="Calibri" w:eastAsia="Calibri" w:hAnsi="Calibri"/>
          <w:sz w:val="21"/>
          <w:szCs w:val="21"/>
        </w:rPr>
        <w:t xml:space="preserve">Identificación (Blob Inventory) → Propuesta de depuración → Notificación al propietario → Aprobación explícita → Movimiento a cuarentena (30 días) → Eliminación definitiva solo tras el periodo de cuarentena, con soft delete como última red de seguridad. En ningún punto de este flujo hay borrado automático sin intervención humana.</w:t>
      </w:r>
    </w:p>
    <w:p>
      <w:pPr>
        <w:pStyle w:val="Heading1"/>
        <w:pBdr>
          <w:bottom w:val="single" w:color="2E74B5" w:sz="6" w:space="4"/>
        </w:pBdr>
        <w:spacing w:after="160" w:before="360"/>
      </w:pPr>
      <w:r>
        <w:rPr>
          <w:rFonts w:ascii="Calibri" w:cs="Calibri" w:eastAsia="Calibri" w:hAnsi="Calibri"/>
          <w:b/>
          <w:bCs/>
          <w:color w:val="1F3864"/>
          <w:sz w:val="30"/>
          <w:szCs w:val="30"/>
        </w:rPr>
        <w:t xml:space="preserve">10. Monitoreo y Alertas</w:t>
      </w:r>
    </w:p>
    <w:p>
      <w:pPr>
        <w:spacing w:after="140" w:line="276"/>
      </w:pPr>
      <w:r>
        <w:rPr>
          <w:rFonts w:ascii="Calibri" w:cs="Calibri" w:eastAsia="Calibri" w:hAnsi="Calibri"/>
          <w:sz w:val="21"/>
          <w:szCs w:val="21"/>
        </w:rPr>
        <w:t xml:space="preserve">Se propone un esquema de monitoreo que informe proactivamente sobre movimientos de datos, costos y actividad inusual, apoyado en Azure Monitor, Log Analytics, Event Grid y Cost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350"/>
        <w:gridCol w:w="3000"/>
      </w:tblGrid>
      <w:tr>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Qué se monitorea</w:t>
            </w:r>
          </w:p>
        </w:tc>
        <w:tc>
          <w:tcPr>
            <w:tcW w:type="dxa" w:w="3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Mecanismo</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Notificación</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Movimientos de tier (Hot→Cool→Archive)</w:t>
            </w:r>
          </w:p>
        </w:tc>
        <w:tc>
          <w:tcPr>
            <w:tcW w:type="dxa" w:w="3350"/>
            <w:tcMar>
              <w:top w:type="dxa" w:w="80"/>
              <w:left w:type="dxa" w:w="100"/>
              <w:bottom w:type="dxa" w:w="80"/>
              <w:right w:type="dxa" w:w="100"/>
            </w:tcMar>
            <w:vAlign w:val="center"/>
          </w:tcPr>
          <w:p>
            <w:r>
              <w:rPr>
                <w:rFonts w:ascii="Calibri" w:cs="Calibri" w:eastAsia="Calibri" w:hAnsi="Calibri"/>
                <w:sz w:val="20"/>
                <w:szCs w:val="20"/>
              </w:rPr>
              <w:t xml:space="preserve">Evento Microsoft.Storage.LifecyclePolicyCompleted (Event Grid) + logs SetBlobTier en Log Analytics.</w:t>
            </w:r>
          </w:p>
        </w:tc>
        <w:tc>
          <w:tcPr>
            <w:tcW w:type="dxa" w:w="3000"/>
            <w:tcMar>
              <w:top w:type="dxa" w:w="80"/>
              <w:left w:type="dxa" w:w="100"/>
              <w:bottom w:type="dxa" w:w="80"/>
              <w:right w:type="dxa" w:w="100"/>
            </w:tcMar>
            <w:vAlign w:val="center"/>
          </w:tcPr>
          <w:p>
            <w:r>
              <w:rPr>
                <w:rFonts w:ascii="Calibri" w:cs="Calibri" w:eastAsia="Calibri" w:hAnsi="Calibri"/>
                <w:sz w:val="20"/>
                <w:szCs w:val="20"/>
              </w:rPr>
              <w:t xml:space="preserve">Resumen semanal por correo con GB movidos por regla.</w:t>
            </w:r>
          </w:p>
        </w:tc>
      </w:tr>
      <w:tr>
        <w:tc>
          <w:tcPr>
            <w:tcW w:type="dxa" w:w="3000"/>
            <w:shd w:fill="F2F2F2" w:val="clear"/>
            <w:tcMar>
              <w:top w:type="dxa" w:w="80"/>
              <w:left w:type="dxa" w:w="100"/>
              <w:bottom w:type="dxa" w:w="80"/>
              <w:right w:type="dxa" w:w="100"/>
            </w:tcMar>
            <w:vAlign w:val="center"/>
          </w:tcPr>
          <w:p>
            <w:r>
              <w:rPr>
                <w:rFonts w:ascii="Calibri" w:cs="Calibri" w:eastAsia="Calibri" w:hAnsi="Calibri"/>
                <w:sz w:val="20"/>
                <w:szCs w:val="20"/>
              </w:rPr>
              <w:t xml:space="preserve">Eliminaciones de blobs/contenedores</w:t>
            </w:r>
          </w:p>
        </w:tc>
        <w:tc>
          <w:tcPr>
            <w:tcW w:type="dxa" w:w="3350"/>
            <w:shd w:fill="F2F2F2" w:val="clear"/>
            <w:tcMar>
              <w:top w:type="dxa" w:w="80"/>
              <w:left w:type="dxa" w:w="100"/>
              <w:bottom w:type="dxa" w:w="80"/>
              <w:right w:type="dxa" w:w="100"/>
            </w:tcMar>
            <w:vAlign w:val="center"/>
          </w:tcPr>
          <w:p>
            <w:r>
              <w:rPr>
                <w:rFonts w:ascii="Calibri" w:cs="Calibri" w:eastAsia="Calibri" w:hAnsi="Calibri"/>
                <w:sz w:val="20"/>
                <w:szCs w:val="20"/>
              </w:rPr>
              <w:t xml:space="preserve">Diagnostic logs (StorageDelete) + Event Grid BlobDeleted.</w:t>
            </w:r>
          </w:p>
        </w:tc>
        <w:tc>
          <w:tcPr>
            <w:tcW w:type="dxa" w:w="3000"/>
            <w:shd w:fill="F2F2F2" w:val="clear"/>
            <w:tcMar>
              <w:top w:type="dxa" w:w="80"/>
              <w:left w:type="dxa" w:w="100"/>
              <w:bottom w:type="dxa" w:w="80"/>
              <w:right w:type="dxa" w:w="100"/>
            </w:tcMar>
            <w:vAlign w:val="center"/>
          </w:tcPr>
          <w:p>
            <w:r>
              <w:rPr>
                <w:rFonts w:ascii="Calibri" w:cs="Calibri" w:eastAsia="Calibri" w:hAnsi="Calibri"/>
                <w:sz w:val="20"/>
                <w:szCs w:val="20"/>
              </w:rPr>
              <w:t xml:space="preserve">Alerta casi en tiempo real (minutos) a Storage-Admins y Propietario del tag.</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Consumo de presupuesto ($1,000 USD)</w:t>
            </w:r>
          </w:p>
        </w:tc>
        <w:tc>
          <w:tcPr>
            <w:tcW w:type="dxa" w:w="3350"/>
            <w:tcMar>
              <w:top w:type="dxa" w:w="80"/>
              <w:left w:type="dxa" w:w="100"/>
              <w:bottom w:type="dxa" w:w="80"/>
              <w:right w:type="dxa" w:w="100"/>
            </w:tcMar>
            <w:vAlign w:val="center"/>
          </w:tcPr>
          <w:p>
            <w:r>
              <w:rPr>
                <w:rFonts w:ascii="Calibri" w:cs="Calibri" w:eastAsia="Calibri" w:hAnsi="Calibri"/>
                <w:sz w:val="20"/>
                <w:szCs w:val="20"/>
              </w:rPr>
              <w:t xml:space="preserve">Azure Budget en Cost Management.</w:t>
            </w:r>
          </w:p>
        </w:tc>
        <w:tc>
          <w:tcPr>
            <w:tcW w:type="dxa" w:w="3000"/>
            <w:tcMar>
              <w:top w:type="dxa" w:w="80"/>
              <w:left w:type="dxa" w:w="100"/>
              <w:bottom w:type="dxa" w:w="80"/>
              <w:right w:type="dxa" w:w="100"/>
            </w:tcMar>
            <w:vAlign w:val="center"/>
          </w:tcPr>
          <w:p>
            <w:r>
              <w:rPr>
                <w:rFonts w:ascii="Calibri" w:cs="Calibri" w:eastAsia="Calibri" w:hAnsi="Calibri"/>
                <w:sz w:val="20"/>
                <w:szCs w:val="20"/>
              </w:rPr>
              <w:t xml:space="preserve">Alertas a 50/80/100% (sección 8.4).</w:t>
            </w:r>
          </w:p>
        </w:tc>
      </w:tr>
      <w:tr>
        <w:tc>
          <w:tcPr>
            <w:tcW w:type="dxa" w:w="3000"/>
            <w:shd w:fill="F2F2F2" w:val="clear"/>
            <w:tcMar>
              <w:top w:type="dxa" w:w="80"/>
              <w:left w:type="dxa" w:w="100"/>
              <w:bottom w:type="dxa" w:w="80"/>
              <w:right w:type="dxa" w:w="100"/>
            </w:tcMar>
            <w:vAlign w:val="center"/>
          </w:tcPr>
          <w:p>
            <w:r>
              <w:rPr>
                <w:rFonts w:ascii="Calibri" w:cs="Calibri" w:eastAsia="Calibri" w:hAnsi="Calibri"/>
                <w:sz w:val="20"/>
                <w:szCs w:val="20"/>
              </w:rPr>
              <w:t xml:space="preserve">Anomalías de costo/uso</w:t>
            </w:r>
          </w:p>
        </w:tc>
        <w:tc>
          <w:tcPr>
            <w:tcW w:type="dxa" w:w="3350"/>
            <w:shd w:fill="F2F2F2" w:val="clear"/>
            <w:tcMar>
              <w:top w:type="dxa" w:w="80"/>
              <w:left w:type="dxa" w:w="100"/>
              <w:bottom w:type="dxa" w:w="80"/>
              <w:right w:type="dxa" w:w="100"/>
            </w:tcMar>
            <w:vAlign w:val="center"/>
          </w:tcPr>
          <w:p>
            <w:r>
              <w:rPr>
                <w:rFonts w:ascii="Calibri" w:cs="Calibri" w:eastAsia="Calibri" w:hAnsi="Calibri"/>
                <w:sz w:val="20"/>
                <w:szCs w:val="20"/>
              </w:rPr>
              <w:t xml:space="preserve">Cost Anomaly Alerts + Azure Monitor Metric Alert sobre Transactions.</w:t>
            </w:r>
          </w:p>
        </w:tc>
        <w:tc>
          <w:tcPr>
            <w:tcW w:type="dxa" w:w="3000"/>
            <w:shd w:fill="F2F2F2" w:val="clear"/>
            <w:tcMar>
              <w:top w:type="dxa" w:w="80"/>
              <w:left w:type="dxa" w:w="100"/>
              <w:bottom w:type="dxa" w:w="80"/>
              <w:right w:type="dxa" w:w="100"/>
            </w:tcMar>
            <w:vAlign w:val="center"/>
          </w:tcPr>
          <w:p>
            <w:r>
              <w:rPr>
                <w:rFonts w:ascii="Calibri" w:cs="Calibri" w:eastAsia="Calibri" w:hAnsi="Calibri"/>
                <w:sz w:val="20"/>
                <w:szCs w:val="20"/>
              </w:rPr>
              <w:t xml:space="preserve">Alerta inmediata al detectar la desviación.</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Capacidad total utilizada (TB)</w:t>
            </w:r>
          </w:p>
        </w:tc>
        <w:tc>
          <w:tcPr>
            <w:tcW w:type="dxa" w:w="3350"/>
            <w:tcMar>
              <w:top w:type="dxa" w:w="80"/>
              <w:left w:type="dxa" w:w="100"/>
              <w:bottom w:type="dxa" w:w="80"/>
              <w:right w:type="dxa" w:w="100"/>
            </w:tcMar>
            <w:vAlign w:val="center"/>
          </w:tcPr>
          <w:p>
            <w:r>
              <w:rPr>
                <w:rFonts w:ascii="Calibri" w:cs="Calibri" w:eastAsia="Calibri" w:hAnsi="Calibri"/>
                <w:sz w:val="20"/>
                <w:szCs w:val="20"/>
              </w:rPr>
              <w:t xml:space="preserve">Métrica UsedCapacity en Azure Monitor, con umbral cercano al límite del nuevo contrato (51 TB).</w:t>
            </w:r>
          </w:p>
        </w:tc>
        <w:tc>
          <w:tcPr>
            <w:tcW w:type="dxa" w:w="3000"/>
            <w:tcMar>
              <w:top w:type="dxa" w:w="80"/>
              <w:left w:type="dxa" w:w="100"/>
              <w:bottom w:type="dxa" w:w="80"/>
              <w:right w:type="dxa" w:w="100"/>
            </w:tcMar>
            <w:vAlign w:val="center"/>
          </w:tcPr>
          <w:p>
            <w:r>
              <w:rPr>
                <w:rFonts w:ascii="Calibri" w:cs="Calibri" w:eastAsia="Calibri" w:hAnsi="Calibri"/>
                <w:sz w:val="20"/>
                <w:szCs w:val="20"/>
              </w:rPr>
              <w:t xml:space="preserve">Alerta preventiva antes de generar excedentes nuevamente.</w:t>
            </w:r>
          </w:p>
        </w:tc>
      </w:tr>
      <w:tr>
        <w:tc>
          <w:tcPr>
            <w:tcW w:type="dxa" w:w="3000"/>
            <w:shd w:fill="F2F2F2" w:val="clear"/>
            <w:tcMar>
              <w:top w:type="dxa" w:w="80"/>
              <w:left w:type="dxa" w:w="100"/>
              <w:bottom w:type="dxa" w:w="80"/>
              <w:right w:type="dxa" w:w="100"/>
            </w:tcMar>
            <w:vAlign w:val="center"/>
          </w:tcPr>
          <w:p>
            <w:r>
              <w:rPr>
                <w:rFonts w:ascii="Calibri" w:cs="Calibri" w:eastAsia="Calibri" w:hAnsi="Calibri"/>
                <w:sz w:val="20"/>
                <w:szCs w:val="20"/>
              </w:rPr>
              <w:t xml:space="preserve">Estado de los backups</w:t>
            </w:r>
          </w:p>
        </w:tc>
        <w:tc>
          <w:tcPr>
            <w:tcW w:type="dxa" w:w="3350"/>
            <w:shd w:fill="F2F2F2" w:val="clear"/>
            <w:tcMar>
              <w:top w:type="dxa" w:w="80"/>
              <w:left w:type="dxa" w:w="100"/>
              <w:bottom w:type="dxa" w:w="80"/>
              <w:right w:type="dxa" w:w="100"/>
            </w:tcMar>
            <w:vAlign w:val="center"/>
          </w:tcPr>
          <w:p>
            <w:r>
              <w:rPr>
                <w:rFonts w:ascii="Calibri" w:cs="Calibri" w:eastAsia="Calibri" w:hAnsi="Calibri"/>
                <w:sz w:val="20"/>
                <w:szCs w:val="20"/>
              </w:rPr>
              <w:t xml:space="preserve">Azure Backup / Resiliency — jobs de backup fallidos o incompletos.</w:t>
            </w:r>
          </w:p>
        </w:tc>
        <w:tc>
          <w:tcPr>
            <w:tcW w:type="dxa" w:w="3000"/>
            <w:shd w:fill="F2F2F2" w:val="clear"/>
            <w:tcMar>
              <w:top w:type="dxa" w:w="80"/>
              <w:left w:type="dxa" w:w="100"/>
              <w:bottom w:type="dxa" w:w="80"/>
              <w:right w:type="dxa" w:w="100"/>
            </w:tcMar>
            <w:vAlign w:val="center"/>
          </w:tcPr>
          <w:p>
            <w:r>
              <w:rPr>
                <w:rFonts w:ascii="Calibri" w:cs="Calibri" w:eastAsia="Calibri" w:hAnsi="Calibri"/>
                <w:sz w:val="20"/>
                <w:szCs w:val="20"/>
              </w:rPr>
              <w:t xml:space="preserve">Alerta ante job fallido o SLA de respaldo incumplido.</w:t>
            </w:r>
          </w:p>
        </w:tc>
      </w:tr>
    </w:tbl>
    <w:p>
      <w:pPr>
        <w:spacing w:after="160"/>
      </w:pPr>
    </w:p>
    <w:p>
      <w:pPr>
        <w:spacing w:after="140" w:line="276"/>
      </w:pPr>
      <w:r>
        <w:rPr>
          <w:rFonts w:ascii="Calibri" w:cs="Calibri" w:eastAsia="Calibri" w:hAnsi="Calibri"/>
          <w:sz w:val="21"/>
          <w:szCs w:val="21"/>
        </w:rPr>
        <w:t xml:space="preserve">Todas las alertas se canalizan a un único Action Group para simplificar el mantenimiento (correo del equipo, y opcionalmente un webhook a Teams/Slack).</w:t>
      </w:r>
    </w:p>
    <w:p>
      <w:pPr>
        <w:pStyle w:val="Heading1"/>
        <w:pBdr>
          <w:bottom w:val="single" w:color="2E74B5" w:sz="6" w:space="4"/>
        </w:pBdr>
        <w:spacing w:after="160" w:before="360"/>
      </w:pPr>
      <w:r>
        <w:rPr>
          <w:rFonts w:ascii="Calibri" w:cs="Calibri" w:eastAsia="Calibri" w:hAnsi="Calibri"/>
          <w:b/>
          <w:bCs/>
          <w:color w:val="1F3864"/>
          <w:sz w:val="30"/>
          <w:szCs w:val="30"/>
        </w:rPr>
        <w:t xml:space="preserve">11. Estrategia de Backup</w:t>
      </w:r>
    </w:p>
    <w:p>
      <w:pPr>
        <w:spacing w:after="140" w:line="276"/>
      </w:pPr>
      <w:r>
        <w:rPr>
          <w:rFonts w:ascii="Calibri" w:cs="Calibri" w:eastAsia="Calibri" w:hAnsi="Calibri"/>
          <w:sz w:val="21"/>
          <w:szCs w:val="21"/>
        </w:rPr>
        <w:t xml:space="preserve">Se recomienda un esquema de dos capas de protección de Azure Backup para Blobs, seleccionado según la etiqueta "Retención/Backup" definida en la sección 8.6: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600"/>
      </w:tblGrid>
      <w:t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Capa</w:t>
            </w:r>
          </w:p>
        </w:tc>
        <w:tc>
          <w:tcPr>
            <w:tcW w:type="dxa" w:w="3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Qué hace</w:t>
            </w:r>
          </w:p>
        </w:tc>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Cuándo usarla</w:t>
            </w:r>
          </w:p>
        </w:tc>
      </w:tr>
      <w:tr>
        <w:tc>
          <w:tcPr>
            <w:tcW w:type="dxa" w:w="2200"/>
            <w:tcMar>
              <w:top w:type="dxa" w:w="80"/>
              <w:left w:type="dxa" w:w="100"/>
              <w:bottom w:type="dxa" w:w="80"/>
              <w:right w:type="dxa" w:w="100"/>
            </w:tcMar>
            <w:vAlign w:val="center"/>
          </w:tcPr>
          <w:p>
            <w:r>
              <w:rPr>
                <w:rFonts w:ascii="Calibri" w:cs="Calibri" w:eastAsia="Calibri" w:hAnsi="Calibri"/>
                <w:sz w:val="20"/>
                <w:szCs w:val="20"/>
              </w:rPr>
              <w:t xml:space="preserve">Operational Backup (local)</w:t>
            </w:r>
          </w:p>
        </w:tc>
        <w:tc>
          <w:tcPr>
            <w:tcW w:type="dxa" w:w="3550"/>
            <w:tcMar>
              <w:top w:type="dxa" w:w="80"/>
              <w:left w:type="dxa" w:w="100"/>
              <w:bottom w:type="dxa" w:w="80"/>
              <w:right w:type="dxa" w:w="100"/>
            </w:tcMar>
            <w:vAlign w:val="center"/>
          </w:tcPr>
          <w:p>
            <w:r>
              <w:rPr>
                <w:rFonts w:ascii="Calibri" w:cs="Calibri" w:eastAsia="Calibri" w:hAnsi="Calibri"/>
                <w:sz w:val="20"/>
                <w:szCs w:val="20"/>
              </w:rPr>
              <w:t xml:space="preserve">Restauración punto-en-el-tiempo dentro de la misma cuenta, usando versioning + soft delete + change feed. Retención de hasta 360 días.</w:t>
            </w:r>
          </w:p>
        </w:tc>
        <w:tc>
          <w:tcPr>
            <w:tcW w:type="dxa" w:w="3600"/>
            <w:tcMar>
              <w:top w:type="dxa" w:w="80"/>
              <w:left w:type="dxa" w:w="100"/>
              <w:bottom w:type="dxa" w:w="80"/>
              <w:right w:type="dxa" w:w="100"/>
            </w:tcMar>
            <w:vAlign w:val="center"/>
          </w:tcPr>
          <w:p>
            <w:r>
              <w:rPr>
                <w:rFonts w:ascii="Calibri" w:cs="Calibri" w:eastAsia="Calibri" w:hAnsi="Calibri"/>
                <w:sz w:val="20"/>
                <w:szCs w:val="20"/>
              </w:rPr>
              <w:t xml:space="preserve">Recuperación rápida ante borrados/sobrescrituras accidentales del día a día.</w:t>
            </w:r>
          </w:p>
        </w:tc>
      </w:tr>
      <w:tr>
        <w:tc>
          <w:tcPr>
            <w:tcW w:type="dxa" w:w="2200"/>
            <w:shd w:fill="F2F2F2" w:val="clear"/>
            <w:tcMar>
              <w:top w:type="dxa" w:w="80"/>
              <w:left w:type="dxa" w:w="100"/>
              <w:bottom w:type="dxa" w:w="80"/>
              <w:right w:type="dxa" w:w="100"/>
            </w:tcMar>
            <w:vAlign w:val="center"/>
          </w:tcPr>
          <w:p>
            <w:r>
              <w:rPr>
                <w:rFonts w:ascii="Calibri" w:cs="Calibri" w:eastAsia="Calibri" w:hAnsi="Calibri"/>
                <w:sz w:val="20"/>
                <w:szCs w:val="20"/>
              </w:rPr>
              <w:t xml:space="preserve">Vaulted Backup (offsite)</w:t>
            </w:r>
          </w:p>
        </w:tc>
        <w:tc>
          <w:tcPr>
            <w:tcW w:type="dxa" w:w="3550"/>
            <w:shd w:fill="F2F2F2" w:val="clear"/>
            <w:tcMar>
              <w:top w:type="dxa" w:w="80"/>
              <w:left w:type="dxa" w:w="100"/>
              <w:bottom w:type="dxa" w:w="80"/>
              <w:right w:type="dxa" w:w="100"/>
            </w:tcMar>
            <w:vAlign w:val="center"/>
          </w:tcPr>
          <w:p>
            <w:r>
              <w:rPr>
                <w:rFonts w:ascii="Calibri" w:cs="Calibri" w:eastAsia="Calibri" w:hAnsi="Calibri"/>
                <w:sz w:val="20"/>
                <w:szCs w:val="20"/>
              </w:rPr>
              <w:t xml:space="preserve">Copia periódica y programada hacia un Backup vault (fuera de la cuenta origen), con retención configurable.</w:t>
            </w:r>
          </w:p>
        </w:tc>
        <w:tc>
          <w:tcPr>
            <w:tcW w:type="dxa" w:w="3600"/>
            <w:shd w:fill="F2F2F2" w:val="clear"/>
            <w:tcMar>
              <w:top w:type="dxa" w:w="80"/>
              <w:left w:type="dxa" w:w="100"/>
              <w:bottom w:type="dxa" w:w="80"/>
              <w:right w:type="dxa" w:w="100"/>
            </w:tcMar>
            <w:vAlign w:val="center"/>
          </w:tcPr>
          <w:p>
            <w:r>
              <w:rPr>
                <w:rFonts w:ascii="Calibri" w:cs="Calibri" w:eastAsia="Calibri" w:hAnsi="Calibri"/>
                <w:sz w:val="20"/>
                <w:szCs w:val="20"/>
              </w:rPr>
              <w:t xml:space="preserve">Protección ante eliminación/compromiso de la cuenta completa o requisitos de retención a mediano plazo.</w:t>
            </w:r>
          </w:p>
        </w:tc>
      </w:tr>
    </w:tbl>
    <w:p>
      <w:pPr>
        <w:spacing w:after="160"/>
      </w:pPr>
    </w:p>
    <w:p>
      <w:pPr>
        <w:pStyle w:val="Heading3"/>
        <w:spacing w:after="90" w:before="180"/>
      </w:pPr>
      <w:r>
        <w:rPr>
          <w:rFonts w:ascii="Calibri" w:cs="Calibri" w:eastAsia="Calibri" w:hAnsi="Calibri"/>
          <w:b/>
          <w:bCs/>
          <w:color w:val="595959"/>
          <w:sz w:val="22"/>
          <w:szCs w:val="22"/>
        </w:rPr>
        <w:t xml:space="preserve">Propuesta concreta solicitada: "respaldo semanal para blobs con cierta etiqueta"</w:t>
      </w:r>
    </w:p>
    <w:p>
      <w:pPr>
        <w:spacing w:after="140" w:line="276"/>
      </w:pPr>
      <w:r>
        <w:rPr>
          <w:rFonts w:ascii="Calibri" w:cs="Calibri" w:eastAsia="Calibri" w:hAnsi="Calibri"/>
          <w:sz w:val="21"/>
          <w:szCs w:val="21"/>
        </w:rPr>
        <w:t xml:space="preserve">Sí es posible. Azure Backup para Blobs permite excluir/incluir contenedores en la política de backup, y — de forma más granular — se puede construir el respaldo selectivo por etiqueta con el siguiente enfoque:</w:t>
      </w:r>
    </w:p>
    <w:p>
      <w:pPr>
        <w:pStyle w:val="ListParagraph"/>
        <w:numPr>
          <w:ilvl w:val="0"/>
          <w:numId w:val="3"/>
        </w:numPr>
        <w:spacing w:after="80" w:line="264"/>
      </w:pPr>
      <w:r>
        <w:rPr>
          <w:rFonts w:ascii="Calibri" w:cs="Calibri" w:eastAsia="Calibri" w:hAnsi="Calibri"/>
          <w:sz w:val="21"/>
          <w:szCs w:val="21"/>
        </w:rPr>
        <w:t xml:space="preserve">Definir la etiqueta "Retención=Backup-Semanal" (a nivel de contenedor o mediante blob index tags a nivel de blob) para marcar qué datos requieren respaldo recurrente.</w:t>
      </w:r>
    </w:p>
    <w:p>
      <w:pPr>
        <w:pStyle w:val="ListParagraph"/>
        <w:numPr>
          <w:ilvl w:val="0"/>
          <w:numId w:val="3"/>
        </w:numPr>
        <w:spacing w:after="80" w:line="264"/>
      </w:pPr>
      <w:r>
        <w:rPr>
          <w:rFonts w:ascii="Calibri" w:cs="Calibri" w:eastAsia="Calibri" w:hAnsi="Calibri"/>
          <w:sz w:val="21"/>
          <w:szCs w:val="21"/>
        </w:rPr>
        <w:t xml:space="preserve">Crear un Backup vault en la misma región y asignarle el rol Storage Account Backup Contributor sobre la cuenta de Storage.</w:t>
      </w:r>
    </w:p>
    <w:p>
      <w:pPr>
        <w:pStyle w:val="ListParagraph"/>
        <w:numPr>
          <w:ilvl w:val="0"/>
          <w:numId w:val="3"/>
        </w:numPr>
        <w:spacing w:after="80" w:line="264"/>
      </w:pPr>
      <w:r>
        <w:rPr>
          <w:rFonts w:ascii="Calibri" w:cs="Calibri" w:eastAsia="Calibri" w:hAnsi="Calibri"/>
          <w:sz w:val="21"/>
          <w:szCs w:val="21"/>
        </w:rPr>
        <w:t xml:space="preserve">Crear una política de Vaulted Backup con programación semanal (BackupWeekly) y la retención deseada (ej. 6–12 meses), aplicada únicamente a los contenedores marcados con la etiqueta correspondiente (exclusión del resto vía "container selection").</w:t>
      </w:r>
    </w:p>
    <w:p>
      <w:pPr>
        <w:pStyle w:val="ListParagraph"/>
        <w:numPr>
          <w:ilvl w:val="0"/>
          <w:numId w:val="3"/>
        </w:numPr>
        <w:spacing w:after="80" w:line="264"/>
      </w:pPr>
      <w:r>
        <w:rPr>
          <w:rFonts w:ascii="Calibri" w:cs="Calibri" w:eastAsia="Calibri" w:hAnsi="Calibri"/>
          <w:sz w:val="21"/>
          <w:szCs w:val="21"/>
        </w:rPr>
        <w:t xml:space="preserve">Para granularidad a nivel de blob individual (no solo contenedor), complementar con un runbook/Azure Function programado semanalmente que use blob index tags para copiar (Copy Blob) los blobs etiquetados hacia un contenedor o cuenta de respaldo secundaria — útil si conviven en un mismo contenedor blobs con y sin necesidad de respaldo.</w:t>
      </w:r>
    </w:p>
    <w:p>
      <w:pPr>
        <w:pStyle w:val="ListParagraph"/>
        <w:numPr>
          <w:ilvl w:val="0"/>
          <w:numId w:val="3"/>
        </w:numPr>
        <w:spacing w:after="80" w:line="264"/>
      </w:pPr>
      <w:r>
        <w:rPr>
          <w:rFonts w:ascii="Calibri" w:cs="Calibri" w:eastAsia="Calibri" w:hAnsi="Calibri"/>
          <w:sz w:val="21"/>
          <w:szCs w:val="21"/>
        </w:rPr>
        <w:t xml:space="preserve">Monitorear el estado de los jobs de backup (sección 10) y validar periódicamente con una restauración de prueba ("restore drill").</w:t>
      </w:r>
    </w:p>
    <w:p>
      <w:pPr>
        <w:pStyle w:val="Heading3"/>
        <w:spacing w:after="90" w:before="180"/>
      </w:pPr>
      <w:r>
        <w:rPr>
          <w:rFonts w:ascii="Calibri" w:cs="Calibri" w:eastAsia="Calibri" w:hAnsi="Calibri"/>
          <w:b/>
          <w:bCs/>
          <w:color w:val="595959"/>
          <w:sz w:val="22"/>
          <w:szCs w:val="22"/>
        </w:rPr>
        <w:t xml:space="preserve">Ejemplo de política (Azure CLI)</w:t>
      </w:r>
    </w:p>
    <w:p>
      <w:pPr>
        <w:pBdr>
          <w:top w:val="single" w:color="BFBFBF" w:sz="4" w:space="4"/>
          <w:bottom w:val="single" w:color="BFBFBF" w:sz="4" w:space="4"/>
          <w:left w:val="single" w:color="BFBFBF" w:sz="4" w:space="4"/>
          <w:right w:val="single" w:color="BFBFBF" w:sz="4" w:space="4"/>
        </w:pBdr>
        <w:shd w:fill="F5F5F5" w:val="clear"/>
        <w:spacing w:after="160"/>
      </w:pPr>
      <w:r>
        <w:rPr>
          <w:rFonts w:ascii="Consolas" w:cs="Consolas" w:eastAsia="Consolas" w:hAnsi="Consolas"/>
          <w:color w:val="1F1F1F"/>
          <w:sz w:val="18"/>
          <w:szCs w:val="18"/>
        </w:rPr>
        <w:t xml:space="preserve">az dataprotection backup-policy create \</w:t>
      </w:r>
      <w:r>
        <w:rPr>
          <w:rFonts w:ascii="Consolas" w:cs="Consolas" w:eastAsia="Consolas" w:hAnsi="Consolas"/>
          <w:color w:val="1F1F1F"/>
          <w:sz w:val="18"/>
          <w:szCs w:val="18"/>
        </w:rPr>
        <w:br/>
        <w:t xml:space="preserve">  --resource-group &lt;rg&gt; \</w:t>
      </w:r>
      <w:r>
        <w:rPr>
          <w:rFonts w:ascii="Consolas" w:cs="Consolas" w:eastAsia="Consolas" w:hAnsi="Consolas"/>
          <w:color w:val="1F1F1F"/>
          <w:sz w:val="18"/>
          <w:szCs w:val="18"/>
        </w:rPr>
        <w:br/>
        <w:t xml:space="preserve">  --vault-name &lt;backupVault&gt; \</w:t>
      </w:r>
      <w:r>
        <w:rPr>
          <w:rFonts w:ascii="Consolas" w:cs="Consolas" w:eastAsia="Consolas" w:hAnsi="Consolas"/>
          <w:color w:val="1F1F1F"/>
          <w:sz w:val="18"/>
          <w:szCs w:val="18"/>
        </w:rPr>
        <w:br/>
        <w:t xml:space="preserve">  --name policy-blob-semanal \</w:t>
      </w:r>
      <w:r>
        <w:rPr>
          <w:rFonts w:ascii="Consolas" w:cs="Consolas" w:eastAsia="Consolas" w:hAnsi="Consolas"/>
          <w:color w:val="1F1F1F"/>
          <w:sz w:val="18"/>
          <w:szCs w:val="18"/>
        </w:rPr>
        <w:br/>
        <w:t xml:space="preserve">  --policy '{</w:t>
      </w:r>
      <w:r>
        <w:rPr>
          <w:rFonts w:ascii="Consolas" w:cs="Consolas" w:eastAsia="Consolas" w:hAnsi="Consolas"/>
          <w:color w:val="1F1F1F"/>
          <w:sz w:val="18"/>
          <w:szCs w:val="18"/>
        </w:rPr>
        <w:br/>
        <w:t xml:space="preserve">    "policyRules": [</w:t>
      </w:r>
      <w:r>
        <w:rPr>
          <w:rFonts w:ascii="Consolas" w:cs="Consolas" w:eastAsia="Consolas" w:hAnsi="Consolas"/>
          <w:color w:val="1F1F1F"/>
          <w:sz w:val="18"/>
          <w:szCs w:val="18"/>
        </w:rPr>
        <w:br/>
        <w:t xml:space="preserve">      { "name": "Default", "objectType": "AzureRetentionRule",</w:t>
      </w:r>
      <w:r>
        <w:rPr>
          <w:rFonts w:ascii="Consolas" w:cs="Consolas" w:eastAsia="Consolas" w:hAnsi="Consolas"/>
          <w:color w:val="1F1F1F"/>
          <w:sz w:val="18"/>
          <w:szCs w:val="18"/>
        </w:rPr>
        <w:br/>
        <w:t xml:space="preserve">        "isDefault": true,</w:t>
      </w:r>
      <w:r>
        <w:rPr>
          <w:rFonts w:ascii="Consolas" w:cs="Consolas" w:eastAsia="Consolas" w:hAnsi="Consolas"/>
          <w:color w:val="1F1F1F"/>
          <w:sz w:val="18"/>
          <w:szCs w:val="18"/>
        </w:rPr>
        <w:br/>
        <w:t xml:space="preserve">        "lifecycles": [{ "deleteAfter":</w:t>
      </w:r>
      <w:r>
        <w:rPr>
          <w:rFonts w:ascii="Consolas" w:cs="Consolas" w:eastAsia="Consolas" w:hAnsi="Consolas"/>
          <w:color w:val="1F1F1F"/>
          <w:sz w:val="18"/>
          <w:szCs w:val="18"/>
        </w:rPr>
        <w:br/>
        <w:t xml:space="preserve">          { "objectType": "AbsoluteDeleteOption", "duration": "P180D" },</w:t>
      </w:r>
      <w:r>
        <w:rPr>
          <w:rFonts w:ascii="Consolas" w:cs="Consolas" w:eastAsia="Consolas" w:hAnsi="Consolas"/>
          <w:color w:val="1F1F1F"/>
          <w:sz w:val="18"/>
          <w:szCs w:val="18"/>
        </w:rPr>
        <w:br/>
        <w:t xml:space="preserve">          "sourceDataStore": { "dataStoreType": "VaultStore" } }] },</w:t>
      </w:r>
      <w:r>
        <w:rPr>
          <w:rFonts w:ascii="Consolas" w:cs="Consolas" w:eastAsia="Consolas" w:hAnsi="Consolas"/>
          <w:color w:val="1F1F1F"/>
          <w:sz w:val="18"/>
          <w:szCs w:val="18"/>
        </w:rPr>
        <w:br/>
        <w:t xml:space="preserve">      { "name": "BackupWeekly", "objectType": "AzureBackupRule",</w:t>
      </w:r>
      <w:r>
        <w:rPr>
          <w:rFonts w:ascii="Consolas" w:cs="Consolas" w:eastAsia="Consolas" w:hAnsi="Consolas"/>
          <w:color w:val="1F1F1F"/>
          <w:sz w:val="18"/>
          <w:szCs w:val="18"/>
        </w:rPr>
        <w:br/>
        <w:t xml:space="preserve">        "backupParameters": { "backupType": "Discrete" },</w:t>
      </w:r>
      <w:r>
        <w:rPr>
          <w:rFonts w:ascii="Consolas" w:cs="Consolas" w:eastAsia="Consolas" w:hAnsi="Consolas"/>
          <w:color w:val="1F1F1F"/>
          <w:sz w:val="18"/>
          <w:szCs w:val="18"/>
        </w:rPr>
        <w:br/>
        <w:t xml:space="preserve">        "trigger": { "objectType": "ScheduleBasedTriggerContext",</w:t>
      </w:r>
      <w:r>
        <w:rPr>
          <w:rFonts w:ascii="Consolas" w:cs="Consolas" w:eastAsia="Consolas" w:hAnsi="Consolas"/>
          <w:color w:val="1F1F1F"/>
          <w:sz w:val="18"/>
          <w:szCs w:val="18"/>
        </w:rPr>
        <w:br/>
        <w:t xml:space="preserve">          "schedule": { "repeatingTimeIntervals":</w:t>
      </w:r>
      <w:r>
        <w:rPr>
          <w:rFonts w:ascii="Consolas" w:cs="Consolas" w:eastAsia="Consolas" w:hAnsi="Consolas"/>
          <w:color w:val="1F1F1F"/>
          <w:sz w:val="18"/>
          <w:szCs w:val="18"/>
        </w:rPr>
        <w:br/>
        <w:t xml:space="preserve">            ["R/2026-08-01T04:00:00+00:00/P1W"] } },</w:t>
      </w:r>
      <w:r>
        <w:rPr>
          <w:rFonts w:ascii="Consolas" w:cs="Consolas" w:eastAsia="Consolas" w:hAnsi="Consolas"/>
          <w:color w:val="1F1F1F"/>
          <w:sz w:val="18"/>
          <w:szCs w:val="18"/>
        </w:rPr>
        <w:br/>
        <w:t xml:space="preserve">        "dataStore": { "dataStoreType": "VaultStore" } }</w:t>
      </w:r>
      <w:r>
        <w:rPr>
          <w:rFonts w:ascii="Consolas" w:cs="Consolas" w:eastAsia="Consolas" w:hAnsi="Consolas"/>
          <w:color w:val="1F1F1F"/>
          <w:sz w:val="18"/>
          <w:szCs w:val="18"/>
        </w:rPr>
        <w:br/>
        <w:t xml:space="preserve">    ] }'</w:t>
      </w:r>
    </w:p>
    <w:p>
      <w:pPr>
        <w:spacing w:after="140" w:line="276"/>
      </w:pPr>
      <w:r>
        <w:rPr>
          <w:rFonts w:ascii="Calibri" w:cs="Calibri" w:eastAsia="Calibri" w:hAnsi="Calibri"/>
          <w:sz w:val="21"/>
          <w:szCs w:val="21"/>
        </w:rPr>
        <w:t xml:space="preserve">Nota: la retención máxima de Operational Backup es de 360 días; para plazos mayores debe usarse Vaulted Backup. El costo de Vaulted Backup incluye la tarifa de la instancia de backup y el almacenamiento consumido en el vault (facturado por GB/mes), por lo que se recomienda aplicarlo de forma selectiva (solo a datos etiquetados) y no a la totalidad de los 51 TB.</w:t>
      </w:r>
    </w:p>
    <w:p>
      <w:pPr>
        <w:pStyle w:val="Heading1"/>
        <w:pBdr>
          <w:bottom w:val="single" w:color="2E74B5" w:sz="6" w:space="4"/>
        </w:pBdr>
        <w:spacing w:after="160" w:before="360"/>
      </w:pPr>
      <w:r>
        <w:rPr>
          <w:rFonts w:ascii="Calibri" w:cs="Calibri" w:eastAsia="Calibri" w:hAnsi="Calibri"/>
          <w:b/>
          <w:bCs/>
          <w:color w:val="1F3864"/>
          <w:sz w:val="30"/>
          <w:szCs w:val="30"/>
        </w:rPr>
        <w:t xml:space="preserve">12. Estimación de Costos — Calculadora de Azure</w:t>
      </w:r>
    </w:p>
    <w:p>
      <w:pPr>
        <w:spacing w:after="140" w:line="276"/>
      </w:pPr>
      <w:r>
        <w:rPr>
          <w:rFonts w:ascii="Calibri" w:cs="Calibri" w:eastAsia="Calibri" w:hAnsi="Calibri"/>
          <w:sz w:val="21"/>
          <w:szCs w:val="21"/>
        </w:rPr>
        <w:t xml:space="preserve">Para dimensionar el ahorro potencial de las políticas de tiering, se recomienda modelar el escenario en la Calculadora de Precios oficial de Azure, usando la región y tipo de redundancia (LRS/GRS/ZRS) reales de la cuenta de Grupo Romo:</w:t>
      </w:r>
    </w:p>
    <w:p>
      <w:pPr>
        <w:spacing w:after="140" w:line="276"/>
      </w:pPr>
      <w:r>
        <w:rPr>
          <w:rFonts w:ascii="Calibri" w:cs="Calibri" w:eastAsia="Calibri" w:hAnsi="Calibri"/>
          <w:sz w:val="21"/>
          <w:szCs w:val="21"/>
        </w:rPr>
        <w:t xml:space="preserve">Enlace oficial: </w:t>
      </w:r>
      <w:hyperlink w:history="1" r:id="rId-ongojvq0lepypvo3tobm">
        <w:r>
          <w:rPr>
            <w:rFonts w:ascii="Calibri" w:cs="Calibri" w:eastAsia="Calibri" w:hAnsi="Calibri"/>
            <w:color w:val="2E74B5"/>
            <w:sz w:val="21"/>
            <w:szCs w:val="21"/>
            <w:u w:val="single"/>
          </w:rPr>
          <w:t xml:space="preserve">https://azure.microsoft.com/pricing/calculator/</w:t>
        </w:r>
      </w:hyperlink>
    </w:p>
    <w:p>
      <w:pPr>
        <w:pStyle w:val="Heading3"/>
        <w:spacing w:after="90" w:before="180"/>
      </w:pPr>
      <w:r>
        <w:rPr>
          <w:rFonts w:ascii="Calibri" w:cs="Calibri" w:eastAsia="Calibri" w:hAnsi="Calibri"/>
          <w:b/>
          <w:bCs/>
          <w:color w:val="595959"/>
          <w:sz w:val="22"/>
          <w:szCs w:val="22"/>
        </w:rPr>
        <w:t xml:space="preserve">Metodología sugerida para el ejercicio</w:t>
      </w:r>
    </w:p>
    <w:p>
      <w:pPr>
        <w:pStyle w:val="ListParagraph"/>
        <w:numPr>
          <w:ilvl w:val="0"/>
          <w:numId w:val="3"/>
        </w:numPr>
        <w:spacing w:after="80" w:line="264"/>
      </w:pPr>
      <w:r>
        <w:rPr>
          <w:rFonts w:ascii="Calibri" w:cs="Calibri" w:eastAsia="Calibri" w:hAnsi="Calibri"/>
          <w:sz w:val="21"/>
          <w:szCs w:val="21"/>
        </w:rPr>
        <w:t xml:space="preserve">Ingresar a la calculadora y agregar el producto "Storage Accounts" → "Block Blob Storage".</w:t>
      </w:r>
    </w:p>
    <w:p>
      <w:pPr>
        <w:pStyle w:val="ListParagraph"/>
        <w:numPr>
          <w:ilvl w:val="0"/>
          <w:numId w:val="3"/>
        </w:numPr>
        <w:spacing w:after="80" w:line="264"/>
      </w:pPr>
      <w:r>
        <w:rPr>
          <w:rFonts w:ascii="Calibri" w:cs="Calibri" w:eastAsia="Calibri" w:hAnsi="Calibri"/>
          <w:sz w:val="21"/>
          <w:szCs w:val="21"/>
        </w:rPr>
        <w:t xml:space="preserve">Configurar la región y redundancia idénticas a la cuenta actual de Grupo Romo.</w:t>
      </w:r>
    </w:p>
    <w:p>
      <w:pPr>
        <w:pStyle w:val="ListParagraph"/>
        <w:numPr>
          <w:ilvl w:val="0"/>
          <w:numId w:val="3"/>
        </w:numPr>
        <w:spacing w:after="80" w:line="264"/>
      </w:pPr>
      <w:r>
        <w:rPr>
          <w:rFonts w:ascii="Calibri" w:cs="Calibri" w:eastAsia="Calibri" w:hAnsi="Calibri"/>
          <w:sz w:val="21"/>
          <w:szCs w:val="21"/>
        </w:rPr>
        <w:t xml:space="preserve">Distribuir los 51 TB entre los tres tiers según el resultado esperado del Blob Inventory, por ejemplo (valores ilustrativos a ajustar con datos reales): 40% Hot / 35% Cool / 25% Archive.</w:t>
      </w:r>
    </w:p>
    <w:p>
      <w:pPr>
        <w:pStyle w:val="ListParagraph"/>
        <w:numPr>
          <w:ilvl w:val="0"/>
          <w:numId w:val="3"/>
        </w:numPr>
        <w:spacing w:after="80" w:line="264"/>
      </w:pPr>
      <w:r>
        <w:rPr>
          <w:rFonts w:ascii="Calibri" w:cs="Calibri" w:eastAsia="Calibri" w:hAnsi="Calibri"/>
          <w:sz w:val="21"/>
          <w:szCs w:val="21"/>
        </w:rPr>
        <w:t xml:space="preserve">Capturar el costo de almacenamiento resultante por tier y sumar el costo estimado de operaciones (Write/Read/List) y de early-deletion si aplica.</w:t>
      </w:r>
    </w:p>
    <w:p>
      <w:pPr>
        <w:pStyle w:val="ListParagraph"/>
        <w:numPr>
          <w:ilvl w:val="0"/>
          <w:numId w:val="3"/>
        </w:numPr>
        <w:spacing w:after="80" w:line="264"/>
      </w:pPr>
      <w:r>
        <w:rPr>
          <w:rFonts w:ascii="Calibri" w:cs="Calibri" w:eastAsia="Calibri" w:hAnsi="Calibri"/>
          <w:sz w:val="21"/>
          <w:szCs w:val="21"/>
        </w:rPr>
        <w:t xml:space="preserve">Agregar el costo de Vaulted Backup (GB/mes en el vault) solo sobre el porcentaje de datos etiquetados para respaldo semanal.</w:t>
      </w:r>
    </w:p>
    <w:p>
      <w:pPr>
        <w:pStyle w:val="ListParagraph"/>
        <w:numPr>
          <w:ilvl w:val="0"/>
          <w:numId w:val="3"/>
        </w:numPr>
        <w:spacing w:after="80" w:line="264"/>
      </w:pPr>
      <w:r>
        <w:rPr>
          <w:rFonts w:ascii="Calibri" w:cs="Calibri" w:eastAsia="Calibri" w:hAnsi="Calibri"/>
          <w:sz w:val="21"/>
          <w:szCs w:val="21"/>
        </w:rPr>
        <w:t xml:space="preserve">Comparar el total contra el costo actual de $909 USD/mes y contra el nuevo techo de $1,000 USD/mes, para confirmar margen disponible ante crecimiento futuro.</w:t>
      </w:r>
    </w:p>
    <w:p>
      <w:pPr>
        <w:pStyle w:val="Heading3"/>
        <w:spacing w:after="90" w:before="180"/>
      </w:pPr>
      <w:r>
        <w:rPr>
          <w:rFonts w:ascii="Calibri" w:cs="Calibri" w:eastAsia="Calibri" w:hAnsi="Calibri"/>
          <w:b/>
          <w:bCs/>
          <w:color w:val="595959"/>
          <w:sz w:val="22"/>
          <w:szCs w:val="22"/>
        </w:rPr>
        <w:t xml:space="preserve">Relación general entre tiers (orden de magnitud, no cifras contractuales)</w:t>
      </w:r>
    </w:p>
    <w:p>
      <w:pPr>
        <w:pStyle w:val="ListParagraph"/>
        <w:numPr>
          <w:ilvl w:val="0"/>
          <w:numId w:val="2"/>
        </w:numPr>
        <w:spacing w:after="80" w:line="264"/>
      </w:pPr>
      <w:r>
        <w:rPr>
          <w:rFonts w:ascii="Calibri" w:cs="Calibri" w:eastAsia="Calibri" w:hAnsi="Calibri"/>
          <w:sz w:val="21"/>
          <w:szCs w:val="21"/>
        </w:rPr>
        <w:t xml:space="preserve">Hot: mayor costo por GB almacenado, menor costo por operación de lectura — apto para datos de acceso frecuente.</w:t>
      </w:r>
    </w:p>
    <w:p>
      <w:pPr>
        <w:pStyle w:val="ListParagraph"/>
        <w:numPr>
          <w:ilvl w:val="0"/>
          <w:numId w:val="2"/>
        </w:numPr>
        <w:spacing w:after="80" w:line="264"/>
      </w:pPr>
      <w:r>
        <w:rPr>
          <w:rFonts w:ascii="Calibri" w:cs="Calibri" w:eastAsia="Calibri" w:hAnsi="Calibri"/>
          <w:sz w:val="21"/>
          <w:szCs w:val="21"/>
        </w:rPr>
        <w:t xml:space="preserve">Cool: costo de almacenamiento notablemente menor que Hot; costo de lectura y una penalización si el dato regresa a Hot antes de 30 días.</w:t>
      </w:r>
    </w:p>
    <w:p>
      <w:pPr>
        <w:pStyle w:val="ListParagraph"/>
        <w:numPr>
          <w:ilvl w:val="0"/>
          <w:numId w:val="2"/>
        </w:numPr>
        <w:spacing w:after="80" w:line="264"/>
      </w:pPr>
      <w:r>
        <w:rPr>
          <w:rFonts w:ascii="Calibri" w:cs="Calibri" w:eastAsia="Calibri" w:hAnsi="Calibri"/>
          <w:sz w:val="21"/>
          <w:szCs w:val="21"/>
        </w:rPr>
        <w:t xml:space="preserve">Archive: el costo de almacenamiento más bajo de los tres (una fracción del costo de Hot); requiere rehidratación (horas) antes de leer y tiene el periodo mínimo de permanencia más largo (180 días) antes de poder cambiar de tier sin penalización.</w:t>
      </w:r>
    </w:p>
    <w:p>
      <w:pPr>
        <w:spacing w:after="140" w:line="276"/>
      </w:pPr>
      <w:r>
        <w:rPr>
          <w:rFonts w:ascii="Calibri" w:cs="Calibri" w:eastAsia="Calibri" w:hAnsi="Calibri"/>
          <w:sz w:val="21"/>
          <w:szCs w:val="21"/>
        </w:rPr>
        <w:t xml:space="preserve">Estas relaciones son consistentes y estables en el modelo de Azure, pero las cifras exactas en USD dependen de la región y deben confirmarse en la calculadora antes de reportarlas como ahorro comprometido.</w:t>
      </w:r>
    </w:p>
    <w:p>
      <w:pPr>
        <w:pStyle w:val="Heading1"/>
        <w:pBdr>
          <w:bottom w:val="single" w:color="2E74B5" w:sz="6" w:space="4"/>
        </w:pBdr>
        <w:spacing w:after="160" w:before="360"/>
      </w:pPr>
      <w:r>
        <w:rPr>
          <w:rFonts w:ascii="Calibri" w:cs="Calibri" w:eastAsia="Calibri" w:hAnsi="Calibri"/>
          <w:b/>
          <w:bCs/>
          <w:color w:val="1F3864"/>
          <w:sz w:val="30"/>
          <w:szCs w:val="30"/>
        </w:rPr>
        <w:t xml:space="preserve">13. Plan de Implementación (Cronograma Propuesto)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5250"/>
        <w:gridCol w:w="3200"/>
      </w:tblGrid>
      <w:tr>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Semana</w:t>
            </w:r>
          </w:p>
        </w:tc>
        <w:tc>
          <w:tcPr>
            <w:tcW w:type="dxa" w:w="52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Actividad</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Entregable</w:t>
            </w:r>
          </w:p>
        </w:tc>
      </w:tr>
      <w:tr>
        <w:tc>
          <w:tcPr>
            <w:tcW w:type="dxa" w:w="900"/>
            <w:tcMar>
              <w:top w:type="dxa" w:w="80"/>
              <w:left w:type="dxa" w:w="100"/>
              <w:bottom w:type="dxa" w:w="80"/>
              <w:right w:type="dxa" w:w="100"/>
            </w:tcMar>
            <w:vAlign w:val="center"/>
          </w:tcPr>
          <w:p>
            <w:r>
              <w:rPr>
                <w:rFonts w:ascii="Calibri" w:cs="Calibri" w:eastAsia="Calibri" w:hAnsi="Calibri"/>
                <w:sz w:val="20"/>
                <w:szCs w:val="20"/>
              </w:rPr>
              <w:t xml:space="preserve">1</w:t>
            </w:r>
          </w:p>
        </w:tc>
        <w:tc>
          <w:tcPr>
            <w:tcW w:type="dxa" w:w="5250"/>
            <w:tcMar>
              <w:top w:type="dxa" w:w="80"/>
              <w:left w:type="dxa" w:w="100"/>
              <w:bottom w:type="dxa" w:w="80"/>
              <w:right w:type="dxa" w:w="100"/>
            </w:tcMar>
            <w:vAlign w:val="center"/>
          </w:tcPr>
          <w:p>
            <w:r>
              <w:rPr>
                <w:rFonts w:ascii="Calibri" w:cs="Calibri" w:eastAsia="Calibri" w:hAnsi="Calibri"/>
                <w:sz w:val="20"/>
                <w:szCs w:val="20"/>
              </w:rPr>
              <w:t xml:space="preserve">Kickoff, validación de accesos/RBAC, confirmación de tipo de cuenta (GPv2) y trámite del nuevo contrato de $1,000 USD.</w:t>
            </w:r>
          </w:p>
        </w:tc>
        <w:tc>
          <w:tcPr>
            <w:tcW w:type="dxa" w:w="3200"/>
            <w:tcMar>
              <w:top w:type="dxa" w:w="80"/>
              <w:left w:type="dxa" w:w="100"/>
              <w:bottom w:type="dxa" w:w="80"/>
              <w:right w:type="dxa" w:w="100"/>
            </w:tcMar>
            <w:vAlign w:val="center"/>
          </w:tcPr>
          <w:p>
            <w:r>
              <w:rPr>
                <w:rFonts w:ascii="Calibri" w:cs="Calibri" w:eastAsia="Calibri" w:hAnsi="Calibri"/>
                <w:sz w:val="20"/>
                <w:szCs w:val="20"/>
              </w:rPr>
              <w:t xml:space="preserve">Acta de inicio + solicitud de contrato enviada</w:t>
            </w:r>
          </w:p>
        </w:tc>
      </w:tr>
      <w:tr>
        <w:tc>
          <w:tcPr>
            <w:tcW w:type="dxa" w:w="900"/>
            <w:shd w:fill="F2F2F2" w:val="clear"/>
            <w:tcMar>
              <w:top w:type="dxa" w:w="80"/>
              <w:left w:type="dxa" w:w="100"/>
              <w:bottom w:type="dxa" w:w="80"/>
              <w:right w:type="dxa" w:w="100"/>
            </w:tcMar>
            <w:vAlign w:val="center"/>
          </w:tcPr>
          <w:p>
            <w:r>
              <w:rPr>
                <w:rFonts w:ascii="Calibri" w:cs="Calibri" w:eastAsia="Calibri" w:hAnsi="Calibri"/>
                <w:sz w:val="20"/>
                <w:szCs w:val="20"/>
              </w:rPr>
              <w:t xml:space="preserve">2</w:t>
            </w:r>
          </w:p>
        </w:tc>
        <w:tc>
          <w:tcPr>
            <w:tcW w:type="dxa" w:w="5250"/>
            <w:shd w:fill="F2F2F2" w:val="clear"/>
            <w:tcMar>
              <w:top w:type="dxa" w:w="80"/>
              <w:left w:type="dxa" w:w="100"/>
              <w:bottom w:type="dxa" w:w="80"/>
              <w:right w:type="dxa" w:w="100"/>
            </w:tcMar>
            <w:vAlign w:val="center"/>
          </w:tcPr>
          <w:p>
            <w:r>
              <w:rPr>
                <w:rFonts w:ascii="Calibri" w:cs="Calibri" w:eastAsia="Calibri" w:hAnsi="Calibri"/>
                <w:sz w:val="20"/>
                <w:szCs w:val="20"/>
              </w:rPr>
              <w:t xml:space="preserve">Habilitar soft delete, versioning, resource lock; configurar Diagnostic Settings y Log Analytics.</w:t>
            </w:r>
          </w:p>
        </w:tc>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Controles de protección activos</w:t>
            </w:r>
          </w:p>
        </w:tc>
      </w:tr>
      <w:tr>
        <w:tc>
          <w:tcPr>
            <w:tcW w:type="dxa" w:w="900"/>
            <w:tcMar>
              <w:top w:type="dxa" w:w="80"/>
              <w:left w:type="dxa" w:w="100"/>
              <w:bottom w:type="dxa" w:w="80"/>
              <w:right w:type="dxa" w:w="100"/>
            </w:tcMar>
            <w:vAlign w:val="center"/>
          </w:tcPr>
          <w:p>
            <w:r>
              <w:rPr>
                <w:rFonts w:ascii="Calibri" w:cs="Calibri" w:eastAsia="Calibri" w:hAnsi="Calibri"/>
                <w:sz w:val="20"/>
                <w:szCs w:val="20"/>
              </w:rPr>
              <w:t xml:space="preserve">2</w:t>
            </w:r>
          </w:p>
        </w:tc>
        <w:tc>
          <w:tcPr>
            <w:tcW w:type="dxa" w:w="5250"/>
            <w:tcMar>
              <w:top w:type="dxa" w:w="80"/>
              <w:left w:type="dxa" w:w="100"/>
              <w:bottom w:type="dxa" w:w="80"/>
              <w:right w:type="dxa" w:w="100"/>
            </w:tcMar>
            <w:vAlign w:val="center"/>
          </w:tcPr>
          <w:p>
            <w:r>
              <w:rPr>
                <w:rFonts w:ascii="Calibri" w:cs="Calibri" w:eastAsia="Calibri" w:hAnsi="Calibri"/>
                <w:sz w:val="20"/>
                <w:szCs w:val="20"/>
              </w:rPr>
              <w:t xml:space="preserve">Aplicar Lifecycle Management Policy (Cool 30 días / Archive 90 días) y habilitar last access tracking.</w:t>
            </w:r>
          </w:p>
        </w:tc>
        <w:tc>
          <w:tcPr>
            <w:tcW w:type="dxa" w:w="3200"/>
            <w:tcMar>
              <w:top w:type="dxa" w:w="80"/>
              <w:left w:type="dxa" w:w="100"/>
              <w:bottom w:type="dxa" w:w="80"/>
              <w:right w:type="dxa" w:w="100"/>
            </w:tcMar>
            <w:vAlign w:val="center"/>
          </w:tcPr>
          <w:p>
            <w:r>
              <w:rPr>
                <w:rFonts w:ascii="Calibri" w:cs="Calibri" w:eastAsia="Calibri" w:hAnsi="Calibri"/>
                <w:sz w:val="20"/>
                <w:szCs w:val="20"/>
              </w:rPr>
              <w:t xml:space="preserve">Política publicada y validada</w:t>
            </w:r>
          </w:p>
        </w:tc>
      </w:tr>
      <w:tr>
        <w:tc>
          <w:tcPr>
            <w:tcW w:type="dxa" w:w="900"/>
            <w:shd w:fill="F2F2F2" w:val="clear"/>
            <w:tcMar>
              <w:top w:type="dxa" w:w="80"/>
              <w:left w:type="dxa" w:w="100"/>
              <w:bottom w:type="dxa" w:w="80"/>
              <w:right w:type="dxa" w:w="100"/>
            </w:tcMar>
            <w:vAlign w:val="center"/>
          </w:tcPr>
          <w:p>
            <w:r>
              <w:rPr>
                <w:rFonts w:ascii="Calibri" w:cs="Calibri" w:eastAsia="Calibri" w:hAnsi="Calibri"/>
                <w:sz w:val="20"/>
                <w:szCs w:val="20"/>
              </w:rPr>
              <w:t xml:space="preserve">3</w:t>
            </w:r>
          </w:p>
        </w:tc>
        <w:tc>
          <w:tcPr>
            <w:tcW w:type="dxa" w:w="5250"/>
            <w:shd w:fill="F2F2F2" w:val="clear"/>
            <w:tcMar>
              <w:top w:type="dxa" w:w="80"/>
              <w:left w:type="dxa" w:w="100"/>
              <w:bottom w:type="dxa" w:w="80"/>
              <w:right w:type="dxa" w:w="100"/>
            </w:tcMar>
            <w:vAlign w:val="center"/>
          </w:tcPr>
          <w:p>
            <w:r>
              <w:rPr>
                <w:rFonts w:ascii="Calibri" w:cs="Calibri" w:eastAsia="Calibri" w:hAnsi="Calibri"/>
                <w:sz w:val="20"/>
                <w:szCs w:val="20"/>
              </w:rPr>
              <w:t xml:space="preserve">Configurar Budgets, Cost Alerts (50/80/100%) y Cost Anomaly Alerts; crear Action Group.</w:t>
            </w:r>
          </w:p>
        </w:tc>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Alertas de costo operando</w:t>
            </w:r>
          </w:p>
        </w:tc>
      </w:tr>
      <w:tr>
        <w:tc>
          <w:tcPr>
            <w:tcW w:type="dxa" w:w="900"/>
            <w:tcMar>
              <w:top w:type="dxa" w:w="80"/>
              <w:left w:type="dxa" w:w="100"/>
              <w:bottom w:type="dxa" w:w="80"/>
              <w:right w:type="dxa" w:w="100"/>
            </w:tcMar>
            <w:vAlign w:val="center"/>
          </w:tcPr>
          <w:p>
            <w:r>
              <w:rPr>
                <w:rFonts w:ascii="Calibri" w:cs="Calibri" w:eastAsia="Calibri" w:hAnsi="Calibri"/>
                <w:sz w:val="20"/>
                <w:szCs w:val="20"/>
              </w:rPr>
              <w:t xml:space="preserve">3</w:t>
            </w:r>
          </w:p>
        </w:tc>
        <w:tc>
          <w:tcPr>
            <w:tcW w:type="dxa" w:w="5250"/>
            <w:tcMar>
              <w:top w:type="dxa" w:w="80"/>
              <w:left w:type="dxa" w:w="100"/>
              <w:bottom w:type="dxa" w:w="80"/>
              <w:right w:type="dxa" w:w="100"/>
            </w:tcMar>
            <w:vAlign w:val="center"/>
          </w:tcPr>
          <w:p>
            <w:r>
              <w:rPr>
                <w:rFonts w:ascii="Calibri" w:cs="Calibri" w:eastAsia="Calibri" w:hAnsi="Calibri"/>
                <w:sz w:val="20"/>
                <w:szCs w:val="20"/>
              </w:rPr>
              <w:t xml:space="preserve">Investigar el pico de Write Operations de marzo 2026 vía Log Analytics/KQL.</w:t>
            </w:r>
          </w:p>
        </w:tc>
        <w:tc>
          <w:tcPr>
            <w:tcW w:type="dxa" w:w="3200"/>
            <w:tcMar>
              <w:top w:type="dxa" w:w="80"/>
              <w:left w:type="dxa" w:w="100"/>
              <w:bottom w:type="dxa" w:w="80"/>
              <w:right w:type="dxa" w:w="100"/>
            </w:tcMar>
            <w:vAlign w:val="center"/>
          </w:tcPr>
          <w:p>
            <w:r>
              <w:rPr>
                <w:rFonts w:ascii="Calibri" w:cs="Calibri" w:eastAsia="Calibri" w:hAnsi="Calibri"/>
                <w:sz w:val="20"/>
                <w:szCs w:val="20"/>
              </w:rPr>
              <w:t xml:space="preserve">Informe de causa raíz</w:t>
            </w:r>
          </w:p>
        </w:tc>
      </w:tr>
      <w:tr>
        <w:tc>
          <w:tcPr>
            <w:tcW w:type="dxa" w:w="900"/>
            <w:shd w:fill="F2F2F2" w:val="clear"/>
            <w:tcMar>
              <w:top w:type="dxa" w:w="80"/>
              <w:left w:type="dxa" w:w="100"/>
              <w:bottom w:type="dxa" w:w="80"/>
              <w:right w:type="dxa" w:w="100"/>
            </w:tcMar>
            <w:vAlign w:val="center"/>
          </w:tcPr>
          <w:p>
            <w:r>
              <w:rPr>
                <w:rFonts w:ascii="Calibri" w:cs="Calibri" w:eastAsia="Calibri" w:hAnsi="Calibri"/>
                <w:sz w:val="20"/>
                <w:szCs w:val="20"/>
              </w:rPr>
              <w:t xml:space="preserve">4</w:t>
            </w:r>
          </w:p>
        </w:tc>
        <w:tc>
          <w:tcPr>
            <w:tcW w:type="dxa" w:w="5250"/>
            <w:shd w:fill="F2F2F2" w:val="clear"/>
            <w:tcMar>
              <w:top w:type="dxa" w:w="80"/>
              <w:left w:type="dxa" w:w="100"/>
              <w:bottom w:type="dxa" w:w="80"/>
              <w:right w:type="dxa" w:w="100"/>
            </w:tcMar>
            <w:vAlign w:val="center"/>
          </w:tcPr>
          <w:p>
            <w:r>
              <w:rPr>
                <w:rFonts w:ascii="Calibri" w:cs="Calibri" w:eastAsia="Calibri" w:hAnsi="Calibri"/>
                <w:sz w:val="20"/>
                <w:szCs w:val="20"/>
              </w:rPr>
              <w:t xml:space="preserve">Definir y aplicar esquema de tags de gobernanza sobre cuentas/contenedores.</w:t>
            </w:r>
          </w:p>
        </w:tc>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Recursos etiquetados</w:t>
            </w:r>
          </w:p>
        </w:tc>
      </w:tr>
      <w:tr>
        <w:tc>
          <w:tcPr>
            <w:tcW w:type="dxa" w:w="900"/>
            <w:tcMar>
              <w:top w:type="dxa" w:w="80"/>
              <w:left w:type="dxa" w:w="100"/>
              <w:bottom w:type="dxa" w:w="80"/>
              <w:right w:type="dxa" w:w="100"/>
            </w:tcMar>
            <w:vAlign w:val="center"/>
          </w:tcPr>
          <w:p>
            <w:r>
              <w:rPr>
                <w:rFonts w:ascii="Calibri" w:cs="Calibri" w:eastAsia="Calibri" w:hAnsi="Calibri"/>
                <w:sz w:val="20"/>
                <w:szCs w:val="20"/>
              </w:rPr>
              <w:t xml:space="preserve">4-5</w:t>
            </w:r>
          </w:p>
        </w:tc>
        <w:tc>
          <w:tcPr>
            <w:tcW w:type="dxa" w:w="5250"/>
            <w:tcMar>
              <w:top w:type="dxa" w:w="80"/>
              <w:left w:type="dxa" w:w="100"/>
              <w:bottom w:type="dxa" w:w="80"/>
              <w:right w:type="dxa" w:w="100"/>
            </w:tcMar>
            <w:vAlign w:val="center"/>
          </w:tcPr>
          <w:p>
            <w:r>
              <w:rPr>
                <w:rFonts w:ascii="Calibri" w:cs="Calibri" w:eastAsia="Calibri" w:hAnsi="Calibri"/>
                <w:sz w:val="20"/>
                <w:szCs w:val="20"/>
              </w:rPr>
              <w:t xml:space="preserve">Ejecutar primer Blob Inventory, análisis de candidatos a depuración y diseño del flujo de aprobación.</w:t>
            </w:r>
          </w:p>
        </w:tc>
        <w:tc>
          <w:tcPr>
            <w:tcW w:type="dxa" w:w="3200"/>
            <w:tcMar>
              <w:top w:type="dxa" w:w="80"/>
              <w:left w:type="dxa" w:w="100"/>
              <w:bottom w:type="dxa" w:w="80"/>
              <w:right w:type="dxa" w:w="100"/>
            </w:tcMar>
            <w:vAlign w:val="center"/>
          </w:tcPr>
          <w:p>
            <w:r>
              <w:rPr>
                <w:rFonts w:ascii="Calibri" w:cs="Calibri" w:eastAsia="Calibri" w:hAnsi="Calibri"/>
                <w:sz w:val="20"/>
                <w:szCs w:val="20"/>
              </w:rPr>
              <w:t xml:space="preserve">Primer reporte de auditoría + flujo documentado</w:t>
            </w:r>
          </w:p>
        </w:tc>
      </w:tr>
      <w:tr>
        <w:tc>
          <w:tcPr>
            <w:tcW w:type="dxa" w:w="900"/>
            <w:shd w:fill="F2F2F2" w:val="clear"/>
            <w:tcMar>
              <w:top w:type="dxa" w:w="80"/>
              <w:left w:type="dxa" w:w="100"/>
              <w:bottom w:type="dxa" w:w="80"/>
              <w:right w:type="dxa" w:w="100"/>
            </w:tcMar>
            <w:vAlign w:val="center"/>
          </w:tcPr>
          <w:p>
            <w:r>
              <w:rPr>
                <w:rFonts w:ascii="Calibri" w:cs="Calibri" w:eastAsia="Calibri" w:hAnsi="Calibri"/>
                <w:sz w:val="20"/>
                <w:szCs w:val="20"/>
              </w:rPr>
              <w:t xml:space="preserve">5</w:t>
            </w:r>
          </w:p>
        </w:tc>
        <w:tc>
          <w:tcPr>
            <w:tcW w:type="dxa" w:w="5250"/>
            <w:shd w:fill="F2F2F2" w:val="clear"/>
            <w:tcMar>
              <w:top w:type="dxa" w:w="80"/>
              <w:left w:type="dxa" w:w="100"/>
              <w:bottom w:type="dxa" w:w="80"/>
              <w:right w:type="dxa" w:w="100"/>
            </w:tcMar>
            <w:vAlign w:val="center"/>
          </w:tcPr>
          <w:p>
            <w:r>
              <w:rPr>
                <w:rFonts w:ascii="Calibri" w:cs="Calibri" w:eastAsia="Calibri" w:hAnsi="Calibri"/>
                <w:sz w:val="20"/>
                <w:szCs w:val="20"/>
              </w:rPr>
              <w:t xml:space="preserve">Configurar Backup vault, política de Vaulted Backup semanal sobre datos etiquetados y monitoreo de jobs.</w:t>
            </w:r>
          </w:p>
        </w:tc>
        <w:tc>
          <w:tcPr>
            <w:tcW w:type="dxa" w:w="3200"/>
            <w:shd w:fill="F2F2F2" w:val="clear"/>
            <w:tcMar>
              <w:top w:type="dxa" w:w="80"/>
              <w:left w:type="dxa" w:w="100"/>
              <w:bottom w:type="dxa" w:w="80"/>
              <w:right w:type="dxa" w:w="100"/>
            </w:tcMar>
            <w:vAlign w:val="center"/>
          </w:tcPr>
          <w:p>
            <w:r>
              <w:rPr>
                <w:rFonts w:ascii="Calibri" w:cs="Calibri" w:eastAsia="Calibri" w:hAnsi="Calibri"/>
                <w:sz w:val="20"/>
                <w:szCs w:val="20"/>
              </w:rPr>
              <w:t xml:space="preserve">Backup semanal operando</w:t>
            </w:r>
          </w:p>
        </w:tc>
      </w:tr>
      <w:tr>
        <w:tc>
          <w:tcPr>
            <w:tcW w:type="dxa" w:w="900"/>
            <w:tcMar>
              <w:top w:type="dxa" w:w="80"/>
              <w:left w:type="dxa" w:w="100"/>
              <w:bottom w:type="dxa" w:w="80"/>
              <w:right w:type="dxa" w:w="100"/>
            </w:tcMar>
            <w:vAlign w:val="center"/>
          </w:tcPr>
          <w:p>
            <w:r>
              <w:rPr>
                <w:rFonts w:ascii="Calibri" w:cs="Calibri" w:eastAsia="Calibri" w:hAnsi="Calibri"/>
                <w:sz w:val="20"/>
                <w:szCs w:val="20"/>
              </w:rPr>
              <w:t xml:space="preserve">6</w:t>
            </w:r>
          </w:p>
        </w:tc>
        <w:tc>
          <w:tcPr>
            <w:tcW w:type="dxa" w:w="5250"/>
            <w:tcMar>
              <w:top w:type="dxa" w:w="80"/>
              <w:left w:type="dxa" w:w="100"/>
              <w:bottom w:type="dxa" w:w="80"/>
              <w:right w:type="dxa" w:w="100"/>
            </w:tcMar>
            <w:vAlign w:val="center"/>
          </w:tcPr>
          <w:p>
            <w:r>
              <w:rPr>
                <w:rFonts w:ascii="Calibri" w:cs="Calibri" w:eastAsia="Calibri" w:hAnsi="Calibri"/>
                <w:sz w:val="20"/>
                <w:szCs w:val="20"/>
              </w:rPr>
              <w:t xml:space="preserve">Modelado en Calculadora de Azure, ajuste fino de reglas, capacitación al equipo y cierre.</w:t>
            </w:r>
          </w:p>
        </w:tc>
        <w:tc>
          <w:tcPr>
            <w:tcW w:type="dxa" w:w="3200"/>
            <w:tcMar>
              <w:top w:type="dxa" w:w="80"/>
              <w:left w:type="dxa" w:w="100"/>
              <w:bottom w:type="dxa" w:w="80"/>
              <w:right w:type="dxa" w:w="100"/>
            </w:tcMar>
            <w:vAlign w:val="center"/>
          </w:tcPr>
          <w:p>
            <w:r>
              <w:rPr>
                <w:rFonts w:ascii="Calibri" w:cs="Calibri" w:eastAsia="Calibri" w:hAnsi="Calibri"/>
                <w:sz w:val="20"/>
                <w:szCs w:val="20"/>
              </w:rPr>
              <w:t xml:space="preserve">Manual de operación + cierre de proyecto</w:t>
            </w:r>
          </w:p>
        </w:tc>
      </w:tr>
    </w:tbl>
    <w:p>
      <w:pPr>
        <w:spacing w:after="160"/>
      </w:pPr>
    </w:p>
    <w:p>
      <w:pPr>
        <w:spacing w:after="140" w:line="276"/>
      </w:pPr>
      <w:r>
        <w:rPr>
          <w:rFonts w:ascii="Calibri" w:cs="Calibri" w:eastAsia="Calibri" w:hAnsi="Calibri"/>
          <w:sz w:val="21"/>
          <w:szCs w:val="21"/>
        </w:rPr>
        <w:t xml:space="preserve">Duración total estimada: 6 semanas. El proceso mensual de auditoría/depuración (sección 8.3) y el monitoreo (sección 10) continúan de forma recurrente después del cierre del proyecto.</w:t>
      </w:r>
    </w:p>
    <w:p>
      <w:pPr>
        <w:pStyle w:val="Heading1"/>
        <w:pBdr>
          <w:bottom w:val="single" w:color="2E74B5" w:sz="6" w:space="4"/>
        </w:pBdr>
        <w:spacing w:after="160" w:before="360"/>
      </w:pPr>
      <w:r>
        <w:rPr>
          <w:rFonts w:ascii="Calibri" w:cs="Calibri" w:eastAsia="Calibri" w:hAnsi="Calibri"/>
          <w:b/>
          <w:bCs/>
          <w:color w:val="1F3864"/>
          <w:sz w:val="30"/>
          <w:szCs w:val="30"/>
        </w:rPr>
        <w:t xml:space="preserve">14. Anexo Técnico</w:t>
      </w:r>
    </w:p>
    <w:p>
      <w:pPr>
        <w:pStyle w:val="Heading2"/>
        <w:spacing w:after="120" w:before="260"/>
      </w:pPr>
      <w:r>
        <w:rPr>
          <w:rFonts w:ascii="Calibri" w:cs="Calibri" w:eastAsia="Calibri" w:hAnsi="Calibri"/>
          <w:b/>
          <w:bCs/>
          <w:color w:val="2E74B5"/>
          <w:sz w:val="24"/>
          <w:szCs w:val="24"/>
        </w:rPr>
        <w:t xml:space="preserve">14.1 Resumen de comandos clave (Azure CLI)</w:t>
      </w:r>
    </w:p>
    <w:p>
      <w:pPr>
        <w:pBdr>
          <w:top w:val="single" w:color="BFBFBF" w:sz="4" w:space="4"/>
          <w:bottom w:val="single" w:color="BFBFBF" w:sz="4" w:space="4"/>
          <w:left w:val="single" w:color="BFBFBF" w:sz="4" w:space="4"/>
          <w:right w:val="single" w:color="BFBFBF" w:sz="4" w:space="4"/>
        </w:pBdr>
        <w:shd w:fill="F5F5F5" w:val="clear"/>
        <w:spacing w:after="160"/>
      </w:pPr>
      <w:r>
        <w:rPr>
          <w:rFonts w:ascii="Consolas" w:cs="Consolas" w:eastAsia="Consolas" w:hAnsi="Consolas"/>
          <w:color w:val="1F1F1F"/>
          <w:sz w:val="18"/>
          <w:szCs w:val="18"/>
        </w:rPr>
        <w:t xml:space="preserve"># Habilitar soft delete y versioning</w:t>
      </w:r>
      <w:r>
        <w:rPr>
          <w:rFonts w:ascii="Consolas" w:cs="Consolas" w:eastAsia="Consolas" w:hAnsi="Consolas"/>
          <w:color w:val="1F1F1F"/>
          <w:sz w:val="18"/>
          <w:szCs w:val="18"/>
        </w:rPr>
        <w:br/>
        <w:t xml:space="preserve">az storage account blob-service-properties update \</w:t>
      </w:r>
      <w:r>
        <w:rPr>
          <w:rFonts w:ascii="Consolas" w:cs="Consolas" w:eastAsia="Consolas" w:hAnsi="Consolas"/>
          <w:color w:val="1F1F1F"/>
          <w:sz w:val="18"/>
          <w:szCs w:val="18"/>
        </w:rPr>
        <w:br/>
        <w:t xml:space="preserve">  --account-name &lt;storageAccount&gt; --resource-group &lt;rg&gt; \</w:t>
      </w:r>
      <w:r>
        <w:rPr>
          <w:rFonts w:ascii="Consolas" w:cs="Consolas" w:eastAsia="Consolas" w:hAnsi="Consolas"/>
          <w:color w:val="1F1F1F"/>
          <w:sz w:val="18"/>
          <w:szCs w:val="18"/>
        </w:rPr>
        <w:br/>
        <w:t xml:space="preserve">  --enable-delete-retention true --delete-retention-days 30 \</w:t>
      </w:r>
      <w:r>
        <w:rPr>
          <w:rFonts w:ascii="Consolas" w:cs="Consolas" w:eastAsia="Consolas" w:hAnsi="Consolas"/>
          <w:color w:val="1F1F1F"/>
          <w:sz w:val="18"/>
          <w:szCs w:val="18"/>
        </w:rPr>
        <w:br/>
        <w:t xml:space="preserve">  --enable-versioning true \</w:t>
      </w:r>
      <w:r>
        <w:rPr>
          <w:rFonts w:ascii="Consolas" w:cs="Consolas" w:eastAsia="Consolas" w:hAnsi="Consolas"/>
          <w:color w:val="1F1F1F"/>
          <w:sz w:val="18"/>
          <w:szCs w:val="18"/>
        </w:rPr>
        <w:br/>
        <w:t xml:space="preserve">  --enable-container-delete-retention true \</w:t>
      </w:r>
      <w:r>
        <w:rPr>
          <w:rFonts w:ascii="Consolas" w:cs="Consolas" w:eastAsia="Consolas" w:hAnsi="Consolas"/>
          <w:color w:val="1F1F1F"/>
          <w:sz w:val="18"/>
          <w:szCs w:val="18"/>
        </w:rPr>
        <w:br/>
        <w:t xml:space="preserve">  --container-delete-retention-days 30</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Aplicar Resource Lock</w:t>
      </w:r>
      <w:r>
        <w:rPr>
          <w:rFonts w:ascii="Consolas" w:cs="Consolas" w:eastAsia="Consolas" w:hAnsi="Consolas"/>
          <w:color w:val="1F1F1F"/>
          <w:sz w:val="18"/>
          <w:szCs w:val="18"/>
        </w:rPr>
        <w:br/>
        <w:t xml:space="preserve">az lock create --name LockStorage --resource-group &lt;rg&gt; \</w:t>
      </w:r>
      <w:r>
        <w:rPr>
          <w:rFonts w:ascii="Consolas" w:cs="Consolas" w:eastAsia="Consolas" w:hAnsi="Consolas"/>
          <w:color w:val="1F1F1F"/>
          <w:sz w:val="18"/>
          <w:szCs w:val="18"/>
        </w:rPr>
        <w:br/>
        <w:t xml:space="preserve">  --resource-name &lt;storageAccount&gt; \</w:t>
      </w:r>
      <w:r>
        <w:rPr>
          <w:rFonts w:ascii="Consolas" w:cs="Consolas" w:eastAsia="Consolas" w:hAnsi="Consolas"/>
          <w:color w:val="1F1F1F"/>
          <w:sz w:val="18"/>
          <w:szCs w:val="18"/>
        </w:rPr>
        <w:br/>
        <w:t xml:space="preserve">  --resource-type Microsoft.Storage/storageAccounts \</w:t>
      </w:r>
      <w:r>
        <w:rPr>
          <w:rFonts w:ascii="Consolas" w:cs="Consolas" w:eastAsia="Consolas" w:hAnsi="Consolas"/>
          <w:color w:val="1F1F1F"/>
          <w:sz w:val="18"/>
          <w:szCs w:val="18"/>
        </w:rPr>
        <w:br/>
        <w:t xml:space="preserve">  --lock-type CanNotDelete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Crear presupuesto (ejemplo simplificado)</w:t>
      </w:r>
      <w:r>
        <w:rPr>
          <w:rFonts w:ascii="Consolas" w:cs="Consolas" w:eastAsia="Consolas" w:hAnsi="Consolas"/>
          <w:color w:val="1F1F1F"/>
          <w:sz w:val="18"/>
          <w:szCs w:val="18"/>
        </w:rPr>
        <w:br/>
        <w:t xml:space="preserve">az consumption budget create --budget-name presupuesto-1000usd \</w:t>
      </w:r>
      <w:r>
        <w:rPr>
          <w:rFonts w:ascii="Consolas" w:cs="Consolas" w:eastAsia="Consolas" w:hAnsi="Consolas"/>
          <w:color w:val="1F1F1F"/>
          <w:sz w:val="18"/>
          <w:szCs w:val="18"/>
        </w:rPr>
        <w:br/>
        <w:t xml:space="preserve">  --amount 1000 --category cost --time-grain monthly \</w:t>
      </w:r>
      <w:r>
        <w:rPr>
          <w:rFonts w:ascii="Consolas" w:cs="Consolas" w:eastAsia="Consolas" w:hAnsi="Consolas"/>
          <w:color w:val="1F1F1F"/>
          <w:sz w:val="18"/>
          <w:szCs w:val="18"/>
        </w:rPr>
        <w:br/>
        <w:t xml:space="preserve">  --start-date 2026-08-01 --end-date 2027-07-31</w:t>
      </w:r>
    </w:p>
    <w:p>
      <w:pPr>
        <w:pStyle w:val="Heading2"/>
        <w:spacing w:after="120" w:before="260"/>
      </w:pPr>
      <w:r>
        <w:rPr>
          <w:rFonts w:ascii="Calibri" w:cs="Calibri" w:eastAsia="Calibri" w:hAnsi="Calibri"/>
          <w:b/>
          <w:bCs/>
          <w:color w:val="2E74B5"/>
          <w:sz w:val="24"/>
          <w:szCs w:val="24"/>
        </w:rPr>
        <w:t xml:space="preserve">14.2 Glosario breve</w:t>
      </w:r>
    </w:p>
    <w:p>
      <w:pPr>
        <w:pStyle w:val="ListParagraph"/>
        <w:numPr>
          <w:ilvl w:val="0"/>
          <w:numId w:val="2"/>
        </w:numPr>
        <w:spacing w:after="80" w:line="264"/>
      </w:pPr>
      <w:r>
        <w:rPr>
          <w:rFonts w:ascii="Calibri" w:cs="Calibri" w:eastAsia="Calibri" w:hAnsi="Calibri"/>
          <w:sz w:val="21"/>
          <w:szCs w:val="21"/>
        </w:rPr>
        <w:t xml:space="preserve">Lifecycle Management: motor de reglas que mueve o gestiona blobs entre tiers automáticamente, según su antigüedad o último acceso.</w:t>
      </w:r>
    </w:p>
    <w:p>
      <w:pPr>
        <w:pStyle w:val="ListParagraph"/>
        <w:numPr>
          <w:ilvl w:val="0"/>
          <w:numId w:val="2"/>
        </w:numPr>
        <w:spacing w:after="80" w:line="264"/>
      </w:pPr>
      <w:r>
        <w:rPr>
          <w:rFonts w:ascii="Calibri" w:cs="Calibri" w:eastAsia="Calibri" w:hAnsi="Calibri"/>
          <w:sz w:val="21"/>
          <w:szCs w:val="21"/>
        </w:rPr>
        <w:t xml:space="preserve">Soft delete: retención temporal de objetos eliminados/sobrescritos, recuperables dentro de un periodo definido.</w:t>
      </w:r>
    </w:p>
    <w:p>
      <w:pPr>
        <w:pStyle w:val="ListParagraph"/>
        <w:numPr>
          <w:ilvl w:val="0"/>
          <w:numId w:val="2"/>
        </w:numPr>
        <w:spacing w:after="80" w:line="264"/>
      </w:pPr>
      <w:r>
        <w:rPr>
          <w:rFonts w:ascii="Calibri" w:cs="Calibri" w:eastAsia="Calibri" w:hAnsi="Calibri"/>
          <w:sz w:val="21"/>
          <w:szCs w:val="21"/>
        </w:rPr>
        <w:t xml:space="preserve">Versioning: conservación automática de versiones previas de un blob ante cada escritura.</w:t>
      </w:r>
    </w:p>
    <w:p>
      <w:pPr>
        <w:pStyle w:val="ListParagraph"/>
        <w:numPr>
          <w:ilvl w:val="0"/>
          <w:numId w:val="2"/>
        </w:numPr>
        <w:spacing w:after="80" w:line="264"/>
      </w:pPr>
      <w:r>
        <w:rPr>
          <w:rFonts w:ascii="Calibri" w:cs="Calibri" w:eastAsia="Calibri" w:hAnsi="Calibri"/>
          <w:sz w:val="21"/>
          <w:szCs w:val="21"/>
        </w:rPr>
        <w:t xml:space="preserve">Blob Inventory: reporte periódico y exhaustivo del contenido de una cuenta de Storage, usado para auditoría.</w:t>
      </w:r>
    </w:p>
    <w:p>
      <w:pPr>
        <w:pStyle w:val="ListParagraph"/>
        <w:numPr>
          <w:ilvl w:val="0"/>
          <w:numId w:val="2"/>
        </w:numPr>
        <w:spacing w:after="80" w:line="264"/>
      </w:pPr>
      <w:r>
        <w:rPr>
          <w:rFonts w:ascii="Calibri" w:cs="Calibri" w:eastAsia="Calibri" w:hAnsi="Calibri"/>
          <w:sz w:val="21"/>
          <w:szCs w:val="21"/>
        </w:rPr>
        <w:t xml:space="preserve">Backup vault: recurso donde se almacenan los puntos de recuperación de Vaulted Backup (distinto del Recovery Services vault).</w:t>
      </w:r>
    </w:p>
    <w:p>
      <w:pPr>
        <w:pStyle w:val="ListParagraph"/>
        <w:numPr>
          <w:ilvl w:val="0"/>
          <w:numId w:val="2"/>
        </w:numPr>
        <w:spacing w:after="80" w:line="264"/>
      </w:pPr>
      <w:r>
        <w:rPr>
          <w:rFonts w:ascii="Calibri" w:cs="Calibri" w:eastAsia="Calibri" w:hAnsi="Calibri"/>
          <w:sz w:val="21"/>
          <w:szCs w:val="21"/>
        </w:rPr>
        <w:t xml:space="preserve">Action Group: conjunto de destinatarios/canales (correo, SMS, webhook, Teams) reutilizable en cualquier alerta de Azure Monitor o Cost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ngojvq0lepypvo3tobm" Type="http://schemas.openxmlformats.org/officeDocument/2006/relationships/hyperlink" Target="https://azure.microsoft.com/pricing/calculato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2026-07-15T16:42:28.626Z</dcterms:created>
  <dcterms:modified xsi:type="dcterms:W3CDTF">2026-07-15T16:42:28.641Z</dcterms:modified>
</cp:coreProperties>
</file>

<file path=docProps/custom.xml><?xml version="1.0" encoding="utf-8"?>
<Properties xmlns="http://schemas.openxmlformats.org/officeDocument/2006/custom-properties" xmlns:vt="http://schemas.openxmlformats.org/officeDocument/2006/docPropsVTypes"/>
</file>