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78D4"/>
          <w:sz w:val="64"/>
          <w:szCs w:val="64"/>
        </w:rPr>
        <w:t xml:space="preserve">AZURE ADVISOR</w:t>
      </w:r>
    </w:p>
    <w:p>
      <w:pPr>
        <w:spacing w:after="80" w:before="0"/>
        <w:jc w:val="center"/>
      </w:pPr>
      <w:r>
        <w:rPr>
          <w:rFonts w:ascii="Arial" w:cs="Arial" w:eastAsia="Arial" w:hAnsi="Arial"/>
          <w:color w:val="003366"/>
          <w:sz w:val="36"/>
          <w:szCs w:val="36"/>
        </w:rPr>
        <w:t xml:space="preserve">Reporte Ejecutivo de Recomendaciones</w:t>
      </w:r>
    </w:p>
    <w:p>
      <w:pPr>
        <w:spacing w:after="60" w:before="0"/>
        <w:jc w:val="center"/>
      </w:pPr>
      <w:r>
        <w:rPr>
          <w:rFonts w:ascii="Arial" w:cs="Arial" w:eastAsia="Arial" w:hAnsi="Arial"/>
          <w:color w:val="595959"/>
          <w:sz w:val="22"/>
          <w:szCs w:val="22"/>
        </w:rPr>
        <w:t xml:space="preserve">Azure subscription 1  (9d81a980-2eb4-4d5b-907f-dc099e648f25)</w:t>
      </w:r>
    </w:p>
    <w:p>
      <w:pPr>
        <w:spacing w:after="600" w:before="0"/>
        <w:jc w:val="center"/>
      </w:pPr>
      <w:r>
        <w:rPr>
          <w:rFonts w:ascii="Arial" w:cs="Arial" w:eastAsia="Arial" w:hAnsi="Arial"/>
          <w:color w:val="595959"/>
          <w:sz w:val="22"/>
          <w:szCs w:val="22"/>
        </w:rPr>
        <w:t xml:space="preserve">5 de junio de 2026</w:t>
      </w:r>
    </w:p>
    <w:p>
      <w:pPr>
        <w:pBdr>
          <w:top w:val="single" w:color="0078D4" w:sz="12"/>
        </w:pBdr>
        <w:spacing w:after="200" w:before="0"/>
        <w:jc w:val="center"/>
      </w:pPr>
      <w:r>
        <w:t xml:space="preserve"/>
      </w:r>
    </w:p>
    <w:p>
      <w:pPr>
        <w:spacing w:after="60" w:before="0"/>
        <w:jc w:val="center"/>
      </w:pPr>
      <w:r>
        <w:rPr>
          <w:rFonts w:ascii="Arial" w:cs="Arial" w:eastAsia="Arial" w:hAnsi="Arial"/>
          <w:color w:val="595959"/>
          <w:sz w:val="18"/>
          <w:szCs w:val="18"/>
        </w:rPr>
        <w:t xml:space="preserve">Clasificacion: Uso Interno</w:t>
      </w:r>
    </w:p>
    <w:p>
      <w:r>
        <w:br w:type="page"/>
      </w:r>
    </w:p>
    <w:p>
      <w:pPr>
        <w:pStyle w:val="Heading1"/>
        <w:pBdr>
          <w:bottom w:val="single" w:color="0078D4" w:sz="8" w:space="4"/>
        </w:pBdr>
        <w:spacing w:after="120" w:before="360"/>
      </w:pPr>
      <w:r>
        <w:rPr>
          <w:rFonts w:ascii="Arial" w:cs="Arial" w:eastAsia="Arial" w:hAnsi="Arial"/>
          <w:b/>
          <w:bCs/>
          <w:color w:val="003366"/>
          <w:sz w:val="32"/>
          <w:szCs w:val="32"/>
        </w:rPr>
        <w:t xml:space="preserve">1. Resumen Ejecutivo</w:t>
      </w:r>
    </w:p>
    <w:p>
      <w:pPr>
        <w:spacing w:after="60" w:before="60"/>
        <w:jc w:val="left"/>
      </w:pPr>
      <w:r>
        <w:rPr>
          <w:rFonts w:ascii="Arial" w:cs="Arial" w:eastAsia="Arial" w:hAnsi="Arial"/>
          <w:b w:val="false"/>
          <w:bCs w:val="false"/>
          <w:color w:val="000000"/>
          <w:sz w:val="20"/>
          <w:szCs w:val="20"/>
        </w:rPr>
        <w:t xml:space="preserve">Azure Advisor ha identificado un total de 150 recomendaciones activas distribuidas en cuatro categorias: Seguridad, Confiabilidad, Excelencia Operativa y Costo. Este reporte presenta un analisis detallado de cada categoria, clasifica las recomendaciones por nivel de impacto e incluye una hoja de ruta priorizada para su resolucion.</w:t>
      </w:r>
    </w:p>
    <w:p>
      <w:pPr>
        <w:spacing w:after="120" w:before="60"/>
        <w:jc w:val="left"/>
      </w:pPr>
      <w:r>
        <w:rPr>
          <w:rFonts w:ascii="Arial" w:cs="Arial" w:eastAsia="Arial" w:hAnsi="Arial"/>
          <w:b w:val="false"/>
          <w:bCs w:val="false"/>
          <w:color w:val="000000"/>
          <w:sz w:val="20"/>
          <w:szCs w:val="20"/>
        </w:rPr>
        <w:t xml:space="preserve">Se estima un ahorro potencial anual de USD $15,208 mediante la adopcion de modelos de facturacion comprometidos (Savings Plan + Reserved Instances), ademas de una reduccion de exposicion a riesgos de seguridad significativa mediante acciones de rapida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234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Recomendaciones</w:t>
            </w:r>
          </w:p>
        </w:tc>
        <w:tc>
          <w:tcPr>
            <w:tcW w:type="dxa" w:w="234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 Alto</w:t>
            </w:r>
          </w:p>
        </w:tc>
        <w:tc>
          <w:tcPr>
            <w:tcW w:type="dxa" w:w="234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 Afectados</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66</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34</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 VMs + 2 Storage</w:t>
            </w:r>
          </w:p>
        </w:tc>
      </w:tr>
      <w:tr>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Confiabilidad</w:t>
            </w:r>
          </w:p>
        </w:tc>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57</w:t>
            </w:r>
          </w:p>
        </w:tc>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31</w:t>
            </w:r>
          </w:p>
        </w:tc>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recursos (VMs, discos, VNets)</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Excelencia Operativa</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VMs + 6 NICs + 1 Vault</w:t>
            </w:r>
          </w:p>
        </w:tc>
      </w:tr>
      <w:tr>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Costo</w:t>
            </w:r>
          </w:p>
        </w:tc>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20"/>
                <w:szCs w:val="20"/>
              </w:rPr>
              <w:t xml:space="preserve">3</w:t>
            </w:r>
          </w:p>
        </w:tc>
        <w:tc>
          <w:tcPr>
            <w:tcW w:type="dxa" w:w="234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VM + 6 discos + suscripcion</w:t>
            </w:r>
          </w:p>
        </w:tc>
      </w:tr>
      <w:tr>
        <w:tc>
          <w:tcPr>
            <w:tcW w:type="dxa" w:w="234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w:t>
            </w:r>
          </w:p>
        </w:tc>
        <w:tc>
          <w:tcPr>
            <w:tcW w:type="dxa" w:w="234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150</w:t>
            </w:r>
          </w:p>
        </w:tc>
        <w:tc>
          <w:tcPr>
            <w:tcW w:type="dxa" w:w="234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003366"/>
                <w:sz w:val="20"/>
                <w:szCs w:val="20"/>
              </w:rPr>
              <w:t xml:space="preserve">68</w:t>
            </w:r>
          </w:p>
        </w:tc>
        <w:tc>
          <w:tcPr>
            <w:tcW w:type="dxa" w:w="234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 recursos distintos</w:t>
            </w:r>
          </w:p>
        </w:tc>
      </w:tr>
    </w:tbl>
    <w:p>
      <w:pPr>
        <w:spacing w:after="60" w:before="60"/>
      </w:pPr>
      <w:r>
        <w:t xml:space="preserve"/>
      </w:r>
    </w:p>
    <w:p>
      <w:pPr>
        <w:spacing w:after="240" w:before="60"/>
        <w:jc w:val="left"/>
      </w:pPr>
      <w:r>
        <w:rPr>
          <w:rFonts w:ascii="Arial" w:cs="Arial" w:eastAsia="Arial" w:hAnsi="Arial"/>
          <w:b w:val="false"/>
          <w:bCs w:val="false"/>
          <w:color w:val="595959"/>
          <w:sz w:val="20"/>
          <w:szCs w:val="20"/>
        </w:rPr>
        <w:t xml:space="preserve">El analisis se basa en datos actualizados al 5 de junio de 2026. Las secciones siguientes detallan cada categoria con recomendaciones especificas, recursos afectados y acciones sugeridas.</w:t>
      </w:r>
    </w:p>
    <w:p>
      <w:pPr>
        <w:pStyle w:val="Heading1"/>
        <w:pBdr>
          <w:bottom w:val="single" w:color="0078D4" w:sz="8" w:space="4"/>
        </w:pBdr>
        <w:spacing w:after="120" w:before="360"/>
      </w:pPr>
      <w:r>
        <w:rPr>
          <w:rFonts w:ascii="Arial" w:cs="Arial" w:eastAsia="Arial" w:hAnsi="Arial"/>
          <w:b/>
          <w:bCs/>
          <w:color w:val="003366"/>
          <w:sz w:val="32"/>
          <w:szCs w:val="32"/>
        </w:rPr>
        <w:t xml:space="preserve">2. Seguridad — 66 Recomendaciones</w:t>
      </w:r>
    </w:p>
    <w:p>
      <w:pPr>
        <w:spacing w:after="60" w:before="60"/>
        <w:jc w:val="left"/>
      </w:pPr>
      <w:r>
        <w:rPr>
          <w:rFonts w:ascii="Arial" w:cs="Arial" w:eastAsia="Arial" w:hAnsi="Arial"/>
          <w:b w:val="false"/>
          <w:bCs w:val="false"/>
          <w:color w:val="000000"/>
          <w:sz w:val="20"/>
          <w:szCs w:val="20"/>
        </w:rPr>
        <w:t xml:space="preserve">La categoria de Seguridad presenta el mayor volumen de recomendaciones del tenant, con 34 de impacto Alto. La mayoria se concentra en la falta de cifrado en reposo de maquinas virtuales, configuracion inadecuada de puertos de red y ausencia de herramientas de proteccion avanzada. Estas vulnerabilidades representan la mayor superficie de ataque activa en la suscripcion.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2400"/>
        <w:gridCol w:w="1560"/>
      </w:tblGrid>
      <w:tr>
        <w:tc>
          <w:tcPr>
            <w:tcW w:type="dxa" w:w="10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6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Recomendacion</w:t>
            </w:r>
          </w:p>
        </w:tc>
        <w:tc>
          <w:tcPr>
            <w:tcW w:type="dxa" w:w="18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w:t>
            </w:r>
          </w:p>
        </w:tc>
        <w:tc>
          <w:tcPr>
            <w:tcW w:type="dxa" w:w="24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 / Accion</w:t>
            </w:r>
          </w:p>
        </w:tc>
        <w:tc>
          <w:tcPr>
            <w:tcW w:type="dxa" w:w="156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Habilitar Azure Disk Encryption o EncryptionAtHost en VMs Windows y Linux</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glm-comer, glm-huam, glm-intel, glm-lara, glm-prov, bi-glm, glm-supercep, fgt (14 instancias)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discos del sistema operativo y de datos no estan cifrados en reposo. Habilitar ADE (BitLocker/dm-crypt) o EncryptionAtHost en nivel de hypervisor para proteger datos ante acceso fisico no autorizado al hardware subyacente.</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Proteger puertos de administracion con acceso Just-In-Time (JIT)</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VMs criticas de produccion (al menos 2 sin JIT configurado)</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puertos RDP (3389) y SSH (22) permanecen abiertos de forma permanente. JIT abre acceso solo por ventanas de tiempo definidas y registra cada solicitud, reduciendo drasticamente la exposicion a ataques de fuerza bruta.</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Restringir todos los puertos en NSGs asociados a maquinas virtuales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Multiples grupos de seguridad de red con reglas excesivamente permisivas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Aplicar principio de minimo privilegio en reglas de NSG: solo los puertos necesarios para la operacion del servicio. Eliminar reglas con rangos amplios de IPs de origen o destino (*). Usar ASGs para simplificar la gestion.</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Configurar evaluacion periodica de actualizaciones del sistema</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bi-glm, glm-supercep, fgt, glm-lara y otras VMs (5+ instancias)</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VMs no tienen politica de actualizacion automatica configurada. Usar Azure Update Manager para programar evaluaciones periodicas y aplicar parches de seguridad criticos en ventanas de mantenimiento predefinidas.</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Habilitar Microsoft Defender CSPM y Defender para Storage y Resource Manager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Nivel de suscripcion (9d81a980-...)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plan CSPM de Defender no esta activo, lo que implica ausencia de puntuacion de seguridad unificada, recomendaciones contextualizadas y deteccion de amenazas avanzadas en recursos de almacenamiento y operaciones de ARM.</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Deshabilitar reenvio IP en NICs de VMs y cifrado en host</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Multiples VMs con IP forwarding activo y ~10 VMs/VMSS sin cifrado de host</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reenvio de IP habilitado puede convertir accidentalmente a una VM en un enrutador. Deshabilitar salvo en casos de uso explicito (NVA). El cifrado en host agrega una capa adicional de proteccion para datos temporales en la cache del hypervisor.</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Restringir acceso publico y claves compartidas en cuentas de almacenamiento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azurebackuprgwestus1d115, morenafs (2 cuentas de almacenamiento)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cuentas de almacenamiento permiten acceso publico desde Internet y usan claves compartidas (Shared Key). Deshabilitar ambas configuraciones y migrar a autenticacion con Azure Active Directory (Entra ID) o tokens SAS delegados.</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Agregar solucion de evaluacion de vulnerabilidades en maquinas virtuales</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Multiples VMs sin agente de evaluacion instalado</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un escaner de vulnerabilidades integrado (Qualys o Microsoft Defender Vulnerability Management), no es posible detectar CVEs ni misconfiguraciones de sistema operativo. Habilitar desde Defender for Cloud sin costo adicional en plan Estandar.</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bl>
    <w:p>
      <w:pPr>
        <w:spacing w:after="60" w:before="60"/>
      </w:pPr>
      <w:r>
        <w:t xml:space="preserve"/>
      </w:r>
    </w:p>
    <w:p>
      <w:pPr>
        <w:pStyle w:val="Heading3"/>
        <w:spacing w:after="80" w:before="200"/>
      </w:pPr>
      <w:r>
        <w:rPr>
          <w:rFonts w:ascii="Arial" w:cs="Arial" w:eastAsia="Arial" w:hAnsi="Arial"/>
          <w:b/>
          <w:bCs/>
          <w:color w:val="595959"/>
          <w:sz w:val="22"/>
          <w:szCs w:val="22"/>
        </w:rPr>
        <w:t xml:space="preserve">Mejores Practicas de Seguridad Adicionales</w:t>
      </w:r>
    </w:p>
    <w:p>
      <w:pPr>
        <w:pStyle w:val="ListParagraph"/>
        <w:numPr>
          <w:ilvl w:val="0"/>
          <w:numId w:val="2"/>
        </w:numPr>
        <w:spacing w:after="40" w:before="40"/>
      </w:pPr>
      <w:r>
        <w:rPr>
          <w:rFonts w:ascii="Arial" w:cs="Arial" w:eastAsia="Arial" w:hAnsi="Arial"/>
          <w:color w:val="000000"/>
          <w:sz w:val="20"/>
          <w:szCs w:val="20"/>
        </w:rPr>
        <w:t xml:space="preserve">Implementar Azure Policy con iniciativas CIS Benchmark o NIST SP 800-53 para garantizar cumplimiento continuo automatizado.</w:t>
      </w:r>
    </w:p>
    <w:p>
      <w:pPr>
        <w:pStyle w:val="ListParagraph"/>
        <w:numPr>
          <w:ilvl w:val="0"/>
          <w:numId w:val="2"/>
        </w:numPr>
        <w:spacing w:after="40" w:before="40"/>
      </w:pPr>
      <w:r>
        <w:rPr>
          <w:rFonts w:ascii="Arial" w:cs="Arial" w:eastAsia="Arial" w:hAnsi="Arial"/>
          <w:color w:val="000000"/>
          <w:sz w:val="20"/>
          <w:szCs w:val="20"/>
        </w:rPr>
        <w:t xml:space="preserve">Configurar alertas de cambios en el Secure Score de Defender for Cloud para detectar regresiones de postura de seguridad.</w:t>
      </w:r>
    </w:p>
    <w:p>
      <w:pPr>
        <w:pStyle w:val="ListParagraph"/>
        <w:numPr>
          <w:ilvl w:val="0"/>
          <w:numId w:val="2"/>
        </w:numPr>
        <w:spacing w:after="40" w:before="40"/>
      </w:pPr>
      <w:r>
        <w:rPr>
          <w:rFonts w:ascii="Arial" w:cs="Arial" w:eastAsia="Arial" w:hAnsi="Arial"/>
          <w:color w:val="000000"/>
          <w:sz w:val="20"/>
          <w:szCs w:val="20"/>
        </w:rPr>
        <w:t xml:space="preserve">Habilitar Microsoft Sentinel como SIEM/SOAR sobre el mismo Log Analytics Workspace para correlacion de eventos de seguridad.</w:t>
      </w:r>
    </w:p>
    <w:p>
      <w:pPr>
        <w:pStyle w:val="ListParagraph"/>
        <w:numPr>
          <w:ilvl w:val="0"/>
          <w:numId w:val="2"/>
        </w:numPr>
        <w:spacing w:after="40" w:before="40"/>
      </w:pPr>
      <w:r>
        <w:rPr>
          <w:rFonts w:ascii="Arial" w:cs="Arial" w:eastAsia="Arial" w:hAnsi="Arial"/>
          <w:color w:val="000000"/>
          <w:sz w:val="20"/>
          <w:szCs w:val="20"/>
        </w:rPr>
        <w:t xml:space="preserve">Usar Managed Identity en aplicaciones y servicios en lugar de credenciales o connection strings almacenados en codigo o configuracion.</w:t>
      </w:r>
    </w:p>
    <w:p>
      <w:pPr>
        <w:pStyle w:val="ListParagraph"/>
        <w:numPr>
          <w:ilvl w:val="0"/>
          <w:numId w:val="2"/>
        </w:numPr>
        <w:spacing w:after="40" w:before="40"/>
      </w:pPr>
      <w:r>
        <w:rPr>
          <w:rFonts w:ascii="Arial" w:cs="Arial" w:eastAsia="Arial" w:hAnsi="Arial"/>
          <w:color w:val="000000"/>
          <w:sz w:val="20"/>
          <w:szCs w:val="20"/>
        </w:rPr>
        <w:t xml:space="preserve">Activar la alerta de contacto de seguridad a nivel de suscripcion para recibir notificaciones de incidentes criticos.</w:t>
      </w:r>
    </w:p>
    <w:p>
      <w:pPr>
        <w:spacing w:after="60" w:before="60"/>
      </w:pPr>
      <w:r>
        <w:t xml:space="preserve"/>
      </w:r>
    </w:p>
    <w:p>
      <w:r>
        <w:br w:type="page"/>
      </w:r>
    </w:p>
    <w:p>
      <w:pPr>
        <w:pStyle w:val="Heading1"/>
        <w:pBdr>
          <w:bottom w:val="single" w:color="0078D4" w:sz="8" w:space="4"/>
        </w:pBdr>
        <w:spacing w:after="120" w:before="360"/>
      </w:pPr>
      <w:r>
        <w:rPr>
          <w:rFonts w:ascii="Arial" w:cs="Arial" w:eastAsia="Arial" w:hAnsi="Arial"/>
          <w:b/>
          <w:bCs/>
          <w:color w:val="003366"/>
          <w:sz w:val="32"/>
          <w:szCs w:val="32"/>
        </w:rPr>
        <w:t xml:space="preserve">3. Confiabilidad — 57 Recomendaciones</w:t>
      </w:r>
    </w:p>
    <w:p>
      <w:pPr>
        <w:spacing w:after="60" w:before="60"/>
        <w:jc w:val="left"/>
      </w:pPr>
      <w:r>
        <w:rPr>
          <w:rFonts w:ascii="Arial" w:cs="Arial" w:eastAsia="Arial" w:hAnsi="Arial"/>
          <w:b w:val="false"/>
          <w:bCs w:val="false"/>
          <w:color w:val="000000"/>
          <w:sz w:val="20"/>
          <w:szCs w:val="20"/>
        </w:rPr>
        <w:t xml:space="preserve">La categoria de Confiabilidad registra 31 recomendaciones de impacto Alto, incluyendo dos recursos con fecha de retiro programado por Microsoft. La mayoria de los hallazgos apuntan a la ausencia de distribucion zonal en maquinas virtuales, discos, IPs publicas y el VPN Gateway, lo que implica dependencia en una sola zona fisica del datacenter de Azure.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2400"/>
        <w:gridCol w:w="1560"/>
      </w:tblGrid>
      <w:tr>
        <w:tc>
          <w:tcPr>
            <w:tcW w:type="dxa" w:w="10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6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Recomendacion</w:t>
            </w:r>
          </w:p>
        </w:tc>
        <w:tc>
          <w:tcPr>
            <w:tcW w:type="dxa" w:w="18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w:t>
            </w:r>
          </w:p>
        </w:tc>
        <w:tc>
          <w:tcPr>
            <w:tcW w:type="dxa" w:w="24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 / Accion</w:t>
            </w:r>
          </w:p>
        </w:tc>
        <w:tc>
          <w:tcPr>
            <w:tcW w:type="dxa" w:w="156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Alinear discos Azure con la zona de disponibilidad de su VM</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bi-glm, fgt, glm-comer, glm-huam, glm-intel, glm-lara, glm-prov, glm-supercep (16+ instancias)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discos de datos y OS de estas VMs se encuentran en una zona de disponibilidad diferente a la de la maquina virtual. En caso de falla de zona, Azure no podra garantizar la disponibilidad del almacenamiento. Recrear los discos en la zona correcta durante una ventana de mantenimiento.</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Migrar TLS 1.0/1.1 a TLS 1.2 — Retiro inminente en Storage Accounts</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azurebackuprgwestus1d115, morenafs</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RETIRO PROGRAMADO. Microsoft eliminara el soporte de TLS 1.0 y 1.1 en Azure Storage. Configurar la version minima de TLS en 1.2 desde el portal de Azure en la seccion 'Configuracion' de cada cuenta de almacenamiento antes de la fecha limite.</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URGENTE</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Migrar VPN Gateway de SKU no zonal (VpnGw1-5) a SKU con zonas (AZ)</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redvirtualgateway (lamorena-virtualnetwork)</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RETIRO PROGRAMADO. El SKU VpnGw1-5 sin soporte de zonas de disponibilidad sera retirado. Migrar a VpnGw1AZ, VpnGw2AZ o superior para mantener la conectividad hibrida con alta disponibilidad zonal y SLA de 99.99%.</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URGENTE</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Implementar VMs SQL entre zonas de disponibilidad</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bi-glm, glm-intelisis, glm-supercep (3 SQL VMs)</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instancias de SQL Server en Azure VM no estan distribuidas en al menos dos zonas de disponibilidad. Para cumplir con objetivos de RTO/RPO empresariales, desplegar replicas de SQL con Always On Availability Groups en zonas distintas.</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Habilitar redundancia de zona (ZRS) en Storage Accounts criticos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azurebackuprgwestus1d115, morenafs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Actualmente usan LRS (replicacion local dentro de un datacenter). Migrar a ZRS replica datos de forma sincrona en tres zonas de disponibilidad, garantizando disponibilidad ante fallas fisicas de zona sin impacto en las aplicaciones.</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Configurar IPs publicas y VPN Gateway para uso de zonas de disponibilidad</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fgt_public_ip, bi-glm-ip, glm-supercep-ip, redvirtualgateway</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IPs publicas y el VPN Gateway usan SKUs sin soporte zonal. Migrar a Standard SKU zonal para IPs publicas y a Gateway con zonas para asegurar SLA de alta disponibilidad en conectividad entrante y saliente.</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Crear alerta de Azure Service Health a nivel de suscripcion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Suscripcion completa (sin alertas configuradas)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existe ninguna alerta de Service Health configurada. Azure Service Health notifica sobre interrupciones, mantenimientos programados y cambios de servicio que afectan a los recursos del tenant. Configurar alertas por email y webhook (Teams/Slack).</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Migrar VMs a Virtual Machine Scale Sets Flex</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fgt, asp, glm-comer, glm-huam, glm-intel, glm-lara, glm-prov (8 instancias)</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VMs actuales no se benefician de autoscaling ni alta disponibilidad automatica. VMSS Flex combina la flexibilidad de VMs individuales con el SLA mejorado de conjuntos de escalado, sin requerir cambios de aplicacion.</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Mediano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Configurar NAT Gateway para conectividad saliente explicita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redvirtualazure, glm-bi-sql-vnet, azurebackuprg_westus_1-vnet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subredes usan SNAT dinamico que puede agotar puertos bajo carga alta. Un NAT Gateway dedicado provee una IP publica estatica para trafico saliente, elimina el agotamiento de puertos y simplifica las reglas de firewall externas.</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Mediano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Habilitar gateway activo/activo en VPN Gateway</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redvirtualgateway</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VPN Gateway esta configurado en modo activo/pasivo, lo que implica failover de 10-15 segundos en caso de falla. El modo activo/activo permite balanceo de carga y failover sin interrupcion perceptible para los usuarios.</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Mediano plazo</w:t>
            </w:r>
          </w:p>
        </w:tc>
      </w:tr>
    </w:tbl>
    <w:p>
      <w:pPr>
        <w:spacing w:after="60" w:before="60"/>
      </w:pPr>
      <w:r>
        <w:t xml:space="preserve"/>
      </w:r>
    </w:p>
    <w:p>
      <w:pPr>
        <w:pStyle w:val="Heading3"/>
        <w:spacing w:after="80" w:before="200"/>
      </w:pPr>
      <w:r>
        <w:rPr>
          <w:rFonts w:ascii="Arial" w:cs="Arial" w:eastAsia="Arial" w:hAnsi="Arial"/>
          <w:b/>
          <w:bCs/>
          <w:color w:val="595959"/>
          <w:sz w:val="22"/>
          <w:szCs w:val="22"/>
        </w:rPr>
        <w:t xml:space="preserve">Mejores Practicas de Confiabilidad Adicionales</w:t>
      </w:r>
    </w:p>
    <w:p>
      <w:pPr>
        <w:pStyle w:val="ListParagraph"/>
        <w:numPr>
          <w:ilvl w:val="0"/>
          <w:numId w:val="2"/>
        </w:numPr>
        <w:spacing w:after="40" w:before="40"/>
      </w:pPr>
      <w:r>
        <w:rPr>
          <w:rFonts w:ascii="Arial" w:cs="Arial" w:eastAsia="Arial" w:hAnsi="Arial"/>
          <w:color w:val="000000"/>
          <w:sz w:val="20"/>
          <w:szCs w:val="20"/>
        </w:rPr>
        <w:t xml:space="preserve">Documentar y probar periodicamente el plan de recuperacion ante desastres usando Azure Site Recovery para workloads criticos.</w:t>
      </w:r>
    </w:p>
    <w:p>
      <w:pPr>
        <w:pStyle w:val="ListParagraph"/>
        <w:numPr>
          <w:ilvl w:val="0"/>
          <w:numId w:val="2"/>
        </w:numPr>
        <w:spacing w:after="40" w:before="40"/>
      </w:pPr>
      <w:r>
        <w:rPr>
          <w:rFonts w:ascii="Arial" w:cs="Arial" w:eastAsia="Arial" w:hAnsi="Arial"/>
          <w:color w:val="000000"/>
          <w:sz w:val="20"/>
          <w:szCs w:val="20"/>
        </w:rPr>
        <w:t xml:space="preserve">Implementar Azure Backup con politicas de retencion diferenciadas (diaria, semanal, mensual) y validar restauraciones mensualmente.</w:t>
      </w:r>
    </w:p>
    <w:p>
      <w:pPr>
        <w:pStyle w:val="ListParagraph"/>
        <w:numPr>
          <w:ilvl w:val="0"/>
          <w:numId w:val="2"/>
        </w:numPr>
        <w:spacing w:after="40" w:before="40"/>
      </w:pPr>
      <w:r>
        <w:rPr>
          <w:rFonts w:ascii="Arial" w:cs="Arial" w:eastAsia="Arial" w:hAnsi="Arial"/>
          <w:color w:val="000000"/>
          <w:sz w:val="20"/>
          <w:szCs w:val="20"/>
        </w:rPr>
        <w:t xml:space="preserve">Habilitar eliminacion temporal (Soft Delete) en todas las cuentas de almacenamiento y el almacen de Recovery Services para proteccion contra eliminaciones accidentales.</w:t>
      </w:r>
    </w:p>
    <w:p>
      <w:pPr>
        <w:pStyle w:val="ListParagraph"/>
        <w:numPr>
          <w:ilvl w:val="0"/>
          <w:numId w:val="2"/>
        </w:numPr>
        <w:spacing w:after="40" w:before="40"/>
      </w:pPr>
      <w:r>
        <w:rPr>
          <w:rFonts w:ascii="Arial" w:cs="Arial" w:eastAsia="Arial" w:hAnsi="Arial"/>
          <w:color w:val="000000"/>
          <w:sz w:val="20"/>
          <w:szCs w:val="20"/>
        </w:rPr>
        <w:t xml:space="preserve">Migrar cuentas de almacenamiento General Purpose v1 a v2 para acceder a niveles de acceso (Hot/Cool/Archive) y caracteristicas de alta disponibilidad avanzadas.</w:t>
      </w:r>
    </w:p>
    <w:p>
      <w:pPr>
        <w:spacing w:after="60" w:before="60"/>
      </w:pPr>
      <w:r>
        <w:t xml:space="preserve"/>
      </w:r>
    </w:p>
    <w:p>
      <w:r>
        <w:br w:type="page"/>
      </w:r>
    </w:p>
    <w:p>
      <w:pPr>
        <w:pStyle w:val="Heading1"/>
        <w:pBdr>
          <w:bottom w:val="single" w:color="0078D4" w:sz="8" w:space="4"/>
        </w:pBdr>
        <w:spacing w:after="120" w:before="360"/>
      </w:pPr>
      <w:r>
        <w:rPr>
          <w:rFonts w:ascii="Arial" w:cs="Arial" w:eastAsia="Arial" w:hAnsi="Arial"/>
          <w:b/>
          <w:bCs/>
          <w:color w:val="003366"/>
          <w:sz w:val="32"/>
          <w:szCs w:val="32"/>
        </w:rPr>
        <w:t xml:space="preserve">4. Costo — 10 Recomendaciones</w:t>
      </w:r>
    </w:p>
    <w:p>
      <w:pPr>
        <w:spacing w:after="60" w:before="60"/>
        <w:jc w:val="left"/>
      </w:pPr>
      <w:r>
        <w:rPr>
          <w:rFonts w:ascii="Arial" w:cs="Arial" w:eastAsia="Arial" w:hAnsi="Arial"/>
          <w:b w:val="false"/>
          <w:bCs w:val="false"/>
          <w:color w:val="000000"/>
          <w:sz w:val="20"/>
          <w:szCs w:val="20"/>
        </w:rPr>
        <w:t xml:space="preserve">Azure Advisor identifica un ahorro potencial anual de USD $15,208 mediante tres vectores principales: adquisicion de compromisos de uso (Savings Plan y Reserved Instances), right-sizing de recursos infrautilizados y eliminacion de recursos huerfanos. Estas optimizaciones no requieren cambios arquitectonicos y pueden implementarse con minimo riesgo operativo.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Azure Savings Plan</w:t>
            </w:r>
          </w:p>
        </w:tc>
        <w:tc>
          <w:tcPr>
            <w:tcW w:type="dxa" w:w="3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Reserved Instances</w:t>
            </w:r>
          </w:p>
        </w:tc>
        <w:tc>
          <w:tcPr>
            <w:tcW w:type="dxa" w:w="312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Right-Sizing + Limpieza</w:t>
            </w:r>
          </w:p>
        </w:tc>
      </w:tr>
      <w:tr>
        <w:tc>
          <w:tcPr>
            <w:tcW w:type="dxa" w:w="312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003366"/>
                <w:sz w:val="20"/>
                <w:szCs w:val="20"/>
              </w:rPr>
              <w:t xml:space="preserve">$7,713 USD/año</w:t>
            </w:r>
          </w:p>
        </w:tc>
        <w:tc>
          <w:tcPr>
            <w:tcW w:type="dxa" w:w="312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003366"/>
                <w:sz w:val="20"/>
                <w:szCs w:val="20"/>
              </w:rPr>
              <w:t xml:space="preserve">$7,363 USD/año</w:t>
            </w:r>
          </w:p>
        </w:tc>
        <w:tc>
          <w:tcPr>
            <w:tcW w:type="dxa" w:w="312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003366"/>
                <w:sz w:val="20"/>
                <w:szCs w:val="20"/>
              </w:rPr>
              <w:t xml:space="preserve">$132+ USD/año + reduccion CO2</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Compromiso de 1-3 años en cómputo. Descuento de hasta 65% vs. bajo demanda.</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Para VMs SQL y produccion con uso continuo 24/7. Descuento de hasta 72%.</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VM fgt infrautilizada: $132/año. 6 discos huerfanos a revisar. 711 gCO2e/año de reduccion.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2400"/>
        <w:gridCol w:w="1560"/>
      </w:tblGrid>
      <w:tr>
        <w:tc>
          <w:tcPr>
            <w:tcW w:type="dxa" w:w="10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6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Recomendacion</w:t>
            </w:r>
          </w:p>
        </w:tc>
        <w:tc>
          <w:tcPr>
            <w:tcW w:type="dxa" w:w="18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w:t>
            </w:r>
          </w:p>
        </w:tc>
        <w:tc>
          <w:tcPr>
            <w:tcW w:type="dxa" w:w="24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 / Accion</w:t>
            </w:r>
          </w:p>
        </w:tc>
        <w:tc>
          <w:tcPr>
            <w:tcW w:type="dxa" w:w="156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Adquirir Azure Savings Plan para reducir costos de computo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Suscripcion completa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tenant opera multiples VMs bajo modelo on-demand sin compromisos de uso. Un Savings Plan de 1 año puede reducir costos de computo en hasta 65% para cualquier serie de VM o region. Ahorro estimado: $7,713 USD/año.</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Contratar Reserved Instances para VMs de uso continuo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VMs SQL y de produccion (bi-glm, glm-intelisis, glm-supercep)</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VMs que corren 24/7 son candidatas optimas para Reserved Instances de 1 o 3 años. Complementa el Savings Plan para workloads predecibles. Se puede combinar con Azure Hybrid Benefit para licencias existentes de Windows/SQL Server. Ahorro: $7,363 USD/año.</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Inmediato</w:t>
            </w:r>
          </w:p>
        </w:tc>
      </w:tr>
      <w:tr>
        <w:tc>
          <w:tcPr>
            <w:tcW w:type="dxa" w:w="1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ALTA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Apagar o redimensionar la VM fgt (infrautilizada)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rg_fgt / fgt (Maquina virtual)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VM fgt presenta metricas de utilizacion de CPU y memoria por debajo del umbral optimo. Opciones: (1) cambiar a un SKU inferior, (2) programar apagado automatico fuera de horario laboral con Azure Automation, (3) evaluar si la carga de trabajo puede consolidarse. Ahorro: $132 USD/año + 711 gCO2e.</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Revisar y eliminar discos huerfanos no adjuntos a VMs</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glm-bi-sql-west_datadisk_0/1/2, glm-supercep-sql-west_datadisk_0/1/2</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detectaron 6 discos gestionados sin maquina virtual asociada. Cada disco Premium SSD genera costo continuo independientemente de su uso. Verificar con el equipo propietario si los datos son necesarios: si no, eliminar; si si, considerar snapshot para archivado a bajo costo.</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Revisar limites de facturacion en discos SSD estandar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asp_osdisk_1_adb9cfbcefad4451bb5ef9c97b50c072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disco SSD estandar puede estar en un nivel de rendimiento (burst) que genera cargos adicionales de facturacion. Evaluar si el disco requiere el nivel de rendimiento actual o si puede bajarse a un tier inferior sin impacto en la aplicacion.</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Mediano plazo</w:t>
            </w:r>
          </w:p>
        </w:tc>
      </w:tr>
    </w:tbl>
    <w:p>
      <w:pPr>
        <w:spacing w:after="60" w:before="60"/>
      </w:pPr>
      <w:r>
        <w:t xml:space="preserve"/>
      </w:r>
    </w:p>
    <w:p>
      <w:pPr>
        <w:pStyle w:val="Heading3"/>
        <w:spacing w:after="80" w:before="200"/>
      </w:pPr>
      <w:r>
        <w:rPr>
          <w:rFonts w:ascii="Arial" w:cs="Arial" w:eastAsia="Arial" w:hAnsi="Arial"/>
          <w:b/>
          <w:bCs/>
          <w:color w:val="595959"/>
          <w:sz w:val="22"/>
          <w:szCs w:val="22"/>
        </w:rPr>
        <w:t xml:space="preserve">Mejores Practicas de Optimizacion de Costos</w:t>
      </w:r>
    </w:p>
    <w:p>
      <w:pPr>
        <w:pStyle w:val="ListParagraph"/>
        <w:numPr>
          <w:ilvl w:val="0"/>
          <w:numId w:val="2"/>
        </w:numPr>
        <w:spacing w:after="40" w:before="40"/>
      </w:pPr>
      <w:r>
        <w:rPr>
          <w:rFonts w:ascii="Arial" w:cs="Arial" w:eastAsia="Arial" w:hAnsi="Arial"/>
          <w:color w:val="000000"/>
          <w:sz w:val="20"/>
          <w:szCs w:val="20"/>
        </w:rPr>
        <w:t xml:space="preserve">Implementar Azure Cost Management con presupuestos por recurso, grupo de recursos y etiqueta de equipo o proyecto.</w:t>
      </w:r>
    </w:p>
    <w:p>
      <w:pPr>
        <w:pStyle w:val="ListParagraph"/>
        <w:numPr>
          <w:ilvl w:val="0"/>
          <w:numId w:val="2"/>
        </w:numPr>
        <w:spacing w:after="40" w:before="40"/>
      </w:pPr>
      <w:r>
        <w:rPr>
          <w:rFonts w:ascii="Arial" w:cs="Arial" w:eastAsia="Arial" w:hAnsi="Arial"/>
          <w:color w:val="000000"/>
          <w:sz w:val="20"/>
          <w:szCs w:val="20"/>
        </w:rPr>
        <w:t xml:space="preserve">Configurar alertas de anomalias de costo para detectar incrementos inesperados antes del cierre de ciclo de facturacion.</w:t>
      </w:r>
    </w:p>
    <w:p>
      <w:pPr>
        <w:pStyle w:val="ListParagraph"/>
        <w:numPr>
          <w:ilvl w:val="0"/>
          <w:numId w:val="2"/>
        </w:numPr>
        <w:spacing w:after="40" w:before="40"/>
      </w:pPr>
      <w:r>
        <w:rPr>
          <w:rFonts w:ascii="Arial" w:cs="Arial" w:eastAsia="Arial" w:hAnsi="Arial"/>
          <w:color w:val="000000"/>
          <w:sz w:val="20"/>
          <w:szCs w:val="20"/>
        </w:rPr>
        <w:t xml:space="preserve">Estandarizar etiquetado (tags) en todos los recursos para imputacion de costos por area de negocio o proyecto.</w:t>
      </w:r>
    </w:p>
    <w:p>
      <w:pPr>
        <w:pStyle w:val="ListParagraph"/>
        <w:numPr>
          <w:ilvl w:val="0"/>
          <w:numId w:val="2"/>
        </w:numPr>
        <w:spacing w:after="40" w:before="40"/>
      </w:pPr>
      <w:r>
        <w:rPr>
          <w:rFonts w:ascii="Arial" w:cs="Arial" w:eastAsia="Arial" w:hAnsi="Arial"/>
          <w:color w:val="000000"/>
          <w:sz w:val="20"/>
          <w:szCs w:val="20"/>
        </w:rPr>
        <w:t xml:space="preserve">Evaluar Azure Hybrid Benefit para licencias de Windows Server y SQL Server en VMs, que puede reducir costos de computo hasta un 40% adicional.</w:t>
      </w:r>
    </w:p>
    <w:p>
      <w:pPr>
        <w:pStyle w:val="ListParagraph"/>
        <w:numPr>
          <w:ilvl w:val="0"/>
          <w:numId w:val="2"/>
        </w:numPr>
        <w:spacing w:after="40" w:before="40"/>
      </w:pPr>
      <w:r>
        <w:rPr>
          <w:rFonts w:ascii="Arial" w:cs="Arial" w:eastAsia="Arial" w:hAnsi="Arial"/>
          <w:color w:val="000000"/>
          <w:sz w:val="20"/>
          <w:szCs w:val="20"/>
        </w:rPr>
        <w:t xml:space="preserve">Implementar politicas de Storage Lifecycle para mover blobs con acceso infrecuente a niveles Cool o Archive automaticamente.</w:t>
      </w:r>
    </w:p>
    <w:p>
      <w:pPr>
        <w:spacing w:after="60" w:before="60"/>
      </w:pPr>
      <w:r>
        <w:t xml:space="preserve"/>
      </w:r>
    </w:p>
    <w:p>
      <w:r>
        <w:br w:type="page"/>
      </w:r>
    </w:p>
    <w:p>
      <w:pPr>
        <w:pStyle w:val="Heading1"/>
        <w:pBdr>
          <w:bottom w:val="single" w:color="0078D4" w:sz="8" w:space="4"/>
        </w:pBdr>
        <w:spacing w:after="120" w:before="360"/>
      </w:pPr>
      <w:r>
        <w:rPr>
          <w:rFonts w:ascii="Arial" w:cs="Arial" w:eastAsia="Arial" w:hAnsi="Arial"/>
          <w:b/>
          <w:bCs/>
          <w:color w:val="003366"/>
          <w:sz w:val="32"/>
          <w:szCs w:val="32"/>
        </w:rPr>
        <w:t xml:space="preserve">5. Excelencia Operativa — 17 Recomendaciones</w:t>
      </w:r>
    </w:p>
    <w:p>
      <w:pPr>
        <w:spacing w:after="60" w:before="60"/>
        <w:jc w:val="left"/>
      </w:pPr>
      <w:r>
        <w:rPr>
          <w:rFonts w:ascii="Arial" w:cs="Arial" w:eastAsia="Arial" w:hAnsi="Arial"/>
          <w:b w:val="false"/>
          <w:bCs w:val="false"/>
          <w:color w:val="000000"/>
          <w:sz w:val="20"/>
          <w:szCs w:val="20"/>
        </w:rPr>
        <w:t xml:space="preserve">La categoria de Excelencia Operativa presenta 17 recomendaciones, todas de impacto Mediano. Se identifican dos areas principales: la falta de observabilidad en maquinas virtuales (VM Insights no habilitado) y la ausencia de configuracion explicita de salida en interfaces de red, lo que puede generar comportamiento impredecible en escenarios de alta carga.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2400"/>
        <w:gridCol w:w="1560"/>
      </w:tblGrid>
      <w:tr>
        <w:tc>
          <w:tcPr>
            <w:tcW w:type="dxa" w:w="10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6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Recomendacion</w:t>
            </w:r>
          </w:p>
        </w:tc>
        <w:tc>
          <w:tcPr>
            <w:tcW w:type="dxa" w:w="18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Recursos</w:t>
            </w:r>
          </w:p>
        </w:tc>
        <w:tc>
          <w:tcPr>
            <w:tcW w:type="dxa" w:w="240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 / Accion</w:t>
            </w:r>
          </w:p>
        </w:tc>
        <w:tc>
          <w:tcPr>
            <w:tcW w:type="dxa" w:w="1560"/>
            <w:tcBorders>
              <w:top w:val="single" w:color="BFBFBF" w:sz="4"/>
              <w:left w:val="single" w:color="BFBFBF" w:sz="4"/>
              <w:bottom w:val="single" w:color="BFBFBF" w:sz="4"/>
              <w:right w:val="single" w:color="BFBFBF" w:sz="4"/>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Habilitar VM Insights en todas las maquinas virtuales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bi-glm, asp, glm-comer, glm-huam, glm-intel, glm-lara, glm-prov, fgt, glm-supercep</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VM Insights provee metricas de rendimiento (CPU, memoria, disco, red), mapas de dependencias entre servicios y alertas proactivas basadas en lineas base de comportamiento, sin costo adicional con un Log Analytics Workspace existente. Requiere instalar el agente Azure Monitor.</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Agregar metodo de salida explicito en interfaces de red</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asp18, glm-comer932, glm-huam48, glm-intelisis441, glm-lara666, glm-prov457</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 NICs de estas VMs no tienen un metodo de salida explicito configurado. Sin NAT Gateway ni IP publica asociada, Azure usa SNAT dinamico que puede agotar puertos en escenarios de alta concurrencia de conexiones salientes. Asociar un NAT Gateway o IP publica de salida dedicada.</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Migrar alertas de Azure Backup a Azure Monitor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respaldosmaquinasvirtuales (Almacen de Recovery Services)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almacen de backup usa el sistema de alertas clasico que sera deprecado. Azure Monitor ofrece mayor granularidad, integracion con grupos de accion (email, SMS, webhook) y politicas de alertas uniformes con el resto de la infraestructura.</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Corto plazo</w:t>
            </w:r>
          </w:p>
        </w:tc>
      </w:tr>
      <w:tr>
        <w:tc>
          <w:tcPr>
            <w:tcW w:type="dxa" w:w="1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MEDIANO</w:t>
            </w:r>
          </w:p>
        </w:tc>
        <w:tc>
          <w:tcPr>
            <w:tcW w:type="dxa" w:w="26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Ejecutar SQL Best Practices Assessment en la VM SQL Server</w:t>
            </w:r>
          </w:p>
        </w:tc>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glm-supercep (SQL virtual machine)</w:t>
            </w:r>
          </w:p>
        </w:tc>
        <w:tc>
          <w:tcPr>
            <w:tcW w:type="dxa" w:w="24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extension de evaluacion de mejores practicas para SQL Server en Azure VM no ha sido ejecutada. Esta herramienta analiza configuracion del motor SQL, indices, planes de consulta y parametros del sistema operativo, generando un informe detallado de mejoras de rendimiento y seguridad.</w:t>
            </w:r>
          </w:p>
        </w:tc>
        <w:tc>
          <w:tcPr>
            <w:tcW w:type="dxa" w:w="156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Mediano plazo</w:t>
            </w:r>
          </w:p>
        </w:tc>
      </w:tr>
    </w:tbl>
    <w:p>
      <w:pPr>
        <w:spacing w:after="60" w:before="60"/>
      </w:pPr>
      <w:r>
        <w:t xml:space="preserve"/>
      </w:r>
    </w:p>
    <w:p>
      <w:pPr>
        <w:pStyle w:val="Heading3"/>
        <w:spacing w:after="80" w:before="200"/>
      </w:pPr>
      <w:r>
        <w:rPr>
          <w:rFonts w:ascii="Arial" w:cs="Arial" w:eastAsia="Arial" w:hAnsi="Arial"/>
          <w:b/>
          <w:bCs/>
          <w:color w:val="595959"/>
          <w:sz w:val="22"/>
          <w:szCs w:val="22"/>
        </w:rPr>
        <w:t xml:space="preserve">Mejores Practicas de Excelencia Operativa</w:t>
      </w:r>
    </w:p>
    <w:p>
      <w:pPr>
        <w:pStyle w:val="ListParagraph"/>
        <w:numPr>
          <w:ilvl w:val="0"/>
          <w:numId w:val="2"/>
        </w:numPr>
        <w:spacing w:after="40" w:before="40"/>
      </w:pPr>
      <w:r>
        <w:rPr>
          <w:rFonts w:ascii="Arial" w:cs="Arial" w:eastAsia="Arial" w:hAnsi="Arial"/>
          <w:color w:val="000000"/>
          <w:sz w:val="20"/>
          <w:szCs w:val="20"/>
        </w:rPr>
        <w:t xml:space="preserve">Centralizar todos los logs de diagnostico en un unico Log Analytics Workspace con politicas de retencion diferenciadas (90 dias en caliente, archivado a bajo costo).</w:t>
      </w:r>
    </w:p>
    <w:p>
      <w:pPr>
        <w:pStyle w:val="ListParagraph"/>
        <w:numPr>
          <w:ilvl w:val="0"/>
          <w:numId w:val="2"/>
        </w:numPr>
        <w:spacing w:after="40" w:before="40"/>
      </w:pPr>
      <w:r>
        <w:rPr>
          <w:rFonts w:ascii="Arial" w:cs="Arial" w:eastAsia="Arial" w:hAnsi="Arial"/>
          <w:color w:val="000000"/>
          <w:sz w:val="20"/>
          <w:szCs w:val="20"/>
        </w:rPr>
        <w:t xml:space="preserve">Implementar alertas basadas en metricas dinamicas (Azure Monitor Baselines) para detectar anomalias de rendimiento sin necesidad de umbrales estaticos.</w:t>
      </w:r>
    </w:p>
    <w:p>
      <w:pPr>
        <w:pStyle w:val="ListParagraph"/>
        <w:numPr>
          <w:ilvl w:val="0"/>
          <w:numId w:val="2"/>
        </w:numPr>
        <w:spacing w:after="40" w:before="40"/>
      </w:pPr>
      <w:r>
        <w:rPr>
          <w:rFonts w:ascii="Arial" w:cs="Arial" w:eastAsia="Arial" w:hAnsi="Arial"/>
          <w:color w:val="000000"/>
          <w:sz w:val="20"/>
          <w:szCs w:val="20"/>
        </w:rPr>
        <w:t xml:space="preserve">Estandarizar convenciones de nomenclatura de recursos y alineacion de grupos de recursos segun el Cloud Adoption Framework de Microsoft.</w:t>
      </w:r>
    </w:p>
    <w:p>
      <w:pPr>
        <w:pStyle w:val="ListParagraph"/>
        <w:numPr>
          <w:ilvl w:val="0"/>
          <w:numId w:val="2"/>
        </w:numPr>
        <w:spacing w:after="40" w:before="40"/>
      </w:pPr>
      <w:r>
        <w:rPr>
          <w:rFonts w:ascii="Arial" w:cs="Arial" w:eastAsia="Arial" w:hAnsi="Arial"/>
          <w:color w:val="000000"/>
          <w:sz w:val="20"/>
          <w:szCs w:val="20"/>
        </w:rPr>
        <w:t xml:space="preserve">Configurar Azure Automation con runbooks para tareas repetitivas: reportes de cumplimiento, inicio/apagado programado de VMs y aplicacion de parches.</w:t>
      </w:r>
    </w:p>
    <w:p>
      <w:pPr>
        <w:pStyle w:val="ListParagraph"/>
        <w:numPr>
          <w:ilvl w:val="0"/>
          <w:numId w:val="2"/>
        </w:numPr>
        <w:spacing w:after="40" w:before="40"/>
      </w:pPr>
      <w:r>
        <w:rPr>
          <w:rFonts w:ascii="Arial" w:cs="Arial" w:eastAsia="Arial" w:hAnsi="Arial"/>
          <w:color w:val="000000"/>
          <w:sz w:val="20"/>
          <w:szCs w:val="20"/>
        </w:rPr>
        <w:t xml:space="preserve">Ejecutar Azure Advisor semanalmente y monitorear la evolucion del Advisor Score como KPI de madurez cloud en cada categoria.</w:t>
      </w:r>
    </w:p>
    <w:p>
      <w:pPr>
        <w:spacing w:after="60" w:before="60"/>
      </w:pPr>
      <w:r>
        <w:t xml:space="preserve"/>
      </w:r>
    </w:p>
    <w:p>
      <w:r>
        <w:br w:type="page"/>
      </w:r>
    </w:p>
    <w:p>
      <w:pPr>
        <w:pStyle w:val="Heading1"/>
        <w:pBdr>
          <w:bottom w:val="single" w:color="0078D4" w:sz="8" w:space="4"/>
        </w:pBdr>
        <w:spacing w:after="120" w:before="360"/>
      </w:pPr>
      <w:r>
        <w:rPr>
          <w:rFonts w:ascii="Arial" w:cs="Arial" w:eastAsia="Arial" w:hAnsi="Arial"/>
          <w:b/>
          <w:bCs/>
          <w:color w:val="003366"/>
          <w:sz w:val="32"/>
          <w:szCs w:val="32"/>
        </w:rPr>
        <w:t xml:space="preserve">6. Hoja de Ruta de Implementacion</w:t>
      </w:r>
    </w:p>
    <w:p>
      <w:pPr>
        <w:spacing w:after="60" w:before="60"/>
        <w:jc w:val="left"/>
      </w:pPr>
      <w:r>
        <w:rPr>
          <w:rFonts w:ascii="Arial" w:cs="Arial" w:eastAsia="Arial" w:hAnsi="Arial"/>
          <w:b w:val="false"/>
          <w:bCs w:val="false"/>
          <w:color w:val="000000"/>
          <w:sz w:val="20"/>
          <w:szCs w:val="20"/>
        </w:rPr>
        <w:t xml:space="preserve">Se recomienda priorizar las acciones en funcion del nivel de riesgo y el esfuerzo requerido. Las acciones de las primeras dos semanas son de alto impacto y bajo riesgo de implementacion, mientras que las de mediano y largo plazo requieren planificacion de ventanas de mantenimiento y pruebas previas.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38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Acciones Prioritarias</w:t>
            </w:r>
          </w:p>
        </w:tc>
        <w:tc>
          <w:tcPr>
            <w:tcW w:type="dxa" w:w="38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Beneficio Esperado</w:t>
            </w:r>
          </w:p>
        </w:tc>
      </w:tr>
      <w:tr>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Semana 1-2
(Inmediato)</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Habilitar Azure Disk Encryption / EncryptionAtHost en todas las VMs
- Activar JIT en puertos RDP/SSH
- Restringir NSGs al minimo necesario
- Migrar TLS 1.0/1.1 a TLS 1.2 en Storage Accounts
- Habilitar Microsoft Defender CSPM y Defender for Storage</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Reduccion critica de superficie de ataque. Cumplimiento de politicas de seguridad de datos en reposo y en transito.</w:t>
            </w:r>
          </w:p>
        </w:tc>
      </w:tr>
      <w:tr>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Mes 1
(Corto plazo)</w:t>
            </w:r>
          </w:p>
        </w:tc>
        <w:tc>
          <w:tcPr>
            <w:tcW w:type="dxa" w:w="38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Habilitar VM Insights en las 9 VMs afectadas
- Configurar evaluacion periodica de actualizaciones (Azure Update Manager)
- Adquirir Azure Savings Plan + Reserved Instances
- Alinear discos de Azure con zonas de disponibilidad de sus VMs
- Eliminar o validar discos huerfanos
- Configurar metodo de salida explicito en NICs</w:t>
            </w:r>
          </w:p>
        </w:tc>
        <w:tc>
          <w:tcPr>
            <w:tcW w:type="dxa" w:w="38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Ahorro de hasta $15,208 USD/año. Mejora de observabilidad operativa. Reduccion de riesgo de degradacion por actualizaciones pendientes.</w:t>
            </w:r>
          </w:p>
        </w:tc>
      </w:tr>
      <w:tr>
        <w:tc>
          <w:tcPr>
            <w:tcW w:type="dxa" w:w="1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Mes 2-3
(Mediano plazo)</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Migrar VPN Gateway a SKU con zonas de disponibilidad
- Implementar SQL VMs en zonas de disponibilidad
- Habilitar redundancia ZRS en Storage Accounts criticos
- Configurar NAT Gateway en VNets afectadas
- Activar gateway activo/activo en VPN Gateway
- Migrar alertas de Backup a Azure Monitor</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Alta disponibilidad y resiliencia zonal. Eliminacion de puntos unicos de falla en conectividad hibrida y almacenamiento.</w:t>
            </w:r>
          </w:p>
        </w:tc>
      </w:tr>
      <w:tr>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Mes 4+
(Largo plazo)</w:t>
            </w:r>
          </w:p>
        </w:tc>
        <w:tc>
          <w:tcPr>
            <w:tcW w:type="dxa" w:w="38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Evaluar migracion de VMs a VMSS Flex para autoscaling
- Implementar Azure Policy para cumplimiento continuo
- Activar Microsoft Sentinel (SIEM) sobre Log Analytics
- Configurar Lifecycle Policies en Storage para datos frios
- Ejecutar SQL Best Practices Assessment en glm-supercep
- Estandarizar naming conventions y resource group alignment</w:t>
            </w:r>
          </w:p>
        </w:tc>
        <w:tc>
          <w:tcPr>
            <w:tcW w:type="dxa" w:w="38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Postura de seguridad y operacion cloud-native madura. Reduccion de deuda tecnica y optimizacion de costos a largo plazo.</w:t>
            </w:r>
          </w:p>
        </w:tc>
      </w:tr>
    </w:tbl>
    <w:p>
      <w:pPr>
        <w:spacing w:after="60" w:before="60"/>
      </w:pPr>
      <w:r>
        <w:t xml:space="preserve"/>
      </w:r>
    </w:p>
    <w:p>
      <w:r>
        <w:br w:type="page"/>
      </w:r>
    </w:p>
    <w:p>
      <w:pPr>
        <w:pStyle w:val="Heading1"/>
        <w:pBdr>
          <w:bottom w:val="single" w:color="0078D4" w:sz="8" w:space="4"/>
        </w:pBdr>
        <w:spacing w:after="120" w:before="360"/>
      </w:pPr>
      <w:r>
        <w:rPr>
          <w:rFonts w:ascii="Arial" w:cs="Arial" w:eastAsia="Arial" w:hAnsi="Arial"/>
          <w:b/>
          <w:bCs/>
          <w:color w:val="003366"/>
          <w:sz w:val="32"/>
          <w:szCs w:val="32"/>
        </w:rPr>
        <w:t xml:space="preserve">7. Mejores Practicas Generales — Microsoft Well-Architected Framework</w:t>
      </w:r>
    </w:p>
    <w:p>
      <w:pPr>
        <w:spacing w:after="60" w:before="60"/>
        <w:jc w:val="left"/>
      </w:pPr>
      <w:r>
        <w:rPr>
          <w:rFonts w:ascii="Arial" w:cs="Arial" w:eastAsia="Arial" w:hAnsi="Arial"/>
          <w:b w:val="false"/>
          <w:bCs w:val="false"/>
          <w:color w:val="000000"/>
          <w:sz w:val="20"/>
          <w:szCs w:val="20"/>
        </w:rPr>
        <w:t xml:space="preserve">Las siguientes recomendaciones son complementarias al analisis de Advisor y estan alineadas con los cinco pilares del Microsoft Azure Well-Architected Framework (WAF).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FBFBF" w:sz="4"/>
              <w:left w:val="single" w:color="BFBFBF" w:sz="4"/>
              <w:bottom w:val="single" w:color="BFBFBF" w:sz="4"/>
              <w:right w:val="single" w:color="BFBFBF" w:sz="4"/>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Categoria</w:t>
            </w:r>
          </w:p>
        </w:tc>
        <w:tc>
          <w:tcPr>
            <w:tcW w:type="dxa" w:w="3780"/>
            <w:tcBorders>
              <w:top w:val="single" w:color="BFBFBF" w:sz="4"/>
              <w:left w:val="single" w:color="BFBFBF" w:sz="4"/>
              <w:bottom w:val="single" w:color="BFBFBF" w:sz="4"/>
              <w:right w:val="single" w:color="BFBFBF" w:sz="4"/>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Mejores Practicas</w:t>
            </w:r>
          </w:p>
        </w:tc>
        <w:tc>
          <w:tcPr>
            <w:tcW w:type="dxa" w:w="3780"/>
            <w:tcBorders>
              <w:top w:val="single" w:color="BFBFBF" w:sz="4"/>
              <w:left w:val="single" w:color="BFBFBF" w:sz="4"/>
              <w:bottom w:val="single" w:color="BFBFBF" w:sz="4"/>
              <w:right w:val="single" w:color="BFBFBF" w:sz="4"/>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Herramienta / Servicio Azure</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Seguridad</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Adoptar modelo Zero Trust: verificar siempre, usar acceso minimo necesario y asumir brecha de seguridad</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Microsoft Defender for Cloud, Conditional Access, Entra ID</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Seguridad</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Cifrar datos en reposo y en transito en todos los recursos; usar claves gestionadas por el cliente (CMK) para datos criticos</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 Key Vault, Azure Disk Encryption, TLS 1.2+</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Seguridad</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Centralizar identidades con Entra ID; eliminar usuarios locales en VMs y usar RBAC granular por rol de negocio</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Microsoft Entra ID, Azure RBAC, Privileged Identity Management</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Confiabilidad</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Disenar para zonas de disponibilidad en todos los recursos de produccion: VMs, discos, IPs, gateways y storage</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Availability Zones, ZRS, Zone-redundant gateways</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Confiabilidad</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Definir objetivos de RTO y RPO por servicio; implementar y probar regularmente el plan de recuperacion</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 Site Recovery, Azure Backup, Geo-redundant storage</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Eficiencia de Costos</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FinOps: presupuestos, alertas de anomalias y revision mensual del costo por proyecto/equipo</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 Cost Management, Tags, Budgets</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Eficiencia de Costos</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Combinar Savings Plans con Reserved Instances segun el perfil de uso; revisarlo anualmente al renovar compromisos</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 Savings Plans, Reserved VM Instances</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Excelencia Operativa</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Centralizar observabilidad: logs, metricas, trazas y alertas en un unico pane of glass con Azure Monitor</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 Monitor, Log Analytics, Application Insights</w:t>
            </w:r>
          </w:p>
        </w:tc>
      </w:tr>
      <w:tr>
        <w:tc>
          <w:tcPr>
            <w:tcW w:type="dxa" w:w="1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Excelencia Operativa</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Aplicar Infrastructure as Code (IaC) para todos los despliegues; eliminar cambios manuales en produccion</w:t>
            </w:r>
          </w:p>
        </w:tc>
        <w:tc>
          <w:tcPr>
            <w:tcW w:type="dxa" w:w="37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Bicep, Terraform, Azure DevOps, GitHub Actions</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bCs/>
                <w:color w:val="003366"/>
                <w:sz w:val="20"/>
                <w:szCs w:val="20"/>
              </w:rPr>
              <w:t xml:space="preserve">Eficiencia de Rendimiento</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Revisar el SKU de cada VM trimestralmente; usar Azure Compute Optimizer y las metricas de VM Insights como base</w:t>
            </w:r>
          </w:p>
        </w:tc>
        <w:tc>
          <w:tcPr>
            <w:tcW w:type="dxa" w:w="3780"/>
            <w:tcBorders>
              <w:top w:val="single" w:color="BFBFBF" w:sz="4"/>
              <w:left w:val="single" w:color="BFBFBF" w:sz="4"/>
              <w:bottom w:val="single" w:color="BFBFBF" w:sz="4"/>
              <w:right w:val="single" w:color="BFBFBF"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Azure Advisor, VM Insights, Azure Monitor Metrics</w:t>
            </w:r>
          </w:p>
        </w:tc>
      </w:tr>
    </w:tbl>
    <w:p>
      <w:pPr>
        <w:spacing w:after="60" w:before="60"/>
      </w:pPr>
      <w:r>
        <w:t xml:space="preserve"/>
      </w:r>
    </w:p>
    <w:p>
      <w:pPr>
        <w:spacing w:after="60" w:before="60"/>
      </w:pPr>
      <w:r>
        <w:t xml:space="preserve"/>
      </w:r>
    </w:p>
    <w:p>
      <w:pPr>
        <w:pStyle w:val="Heading1"/>
        <w:pBdr>
          <w:bottom w:val="single" w:color="0078D4" w:sz="8" w:space="4"/>
        </w:pBdr>
        <w:spacing w:after="120" w:before="360"/>
      </w:pPr>
      <w:r>
        <w:rPr>
          <w:rFonts w:ascii="Arial" w:cs="Arial" w:eastAsia="Arial" w:hAnsi="Arial"/>
          <w:b/>
          <w:bCs/>
          <w:color w:val="003366"/>
          <w:sz w:val="32"/>
          <w:szCs w:val="32"/>
        </w:rPr>
        <w:t xml:space="preserve">8. Conclusiones</w:t>
      </w:r>
    </w:p>
    <w:p>
      <w:pPr>
        <w:spacing w:after="60" w:before="60"/>
        <w:jc w:val="left"/>
      </w:pPr>
      <w:r>
        <w:rPr>
          <w:rFonts w:ascii="Arial" w:cs="Arial" w:eastAsia="Arial" w:hAnsi="Arial"/>
          <w:b w:val="false"/>
          <w:bCs w:val="false"/>
          <w:color w:val="000000"/>
          <w:sz w:val="20"/>
          <w:szCs w:val="20"/>
        </w:rPr>
        <w:t xml:space="preserve">El tenant de Azure subscription 1 presenta una postura cloud en proceso de madurez, con oportunidades claras y accionables en las cuatro dimensiones evaluadas por Azure Advisor.</w:t>
      </w:r>
    </w:p>
    <w:p>
      <w:pPr>
        <w:spacing w:after="60" w:before="60"/>
      </w:pPr>
      <w:r>
        <w:t xml:space="preserve"/>
      </w:r>
    </w:p>
    <w:p>
      <w:pPr>
        <w:spacing w:after="60" w:before="60"/>
        <w:jc w:val="left"/>
      </w:pPr>
      <w:r>
        <w:rPr>
          <w:rFonts w:ascii="Arial" w:cs="Arial" w:eastAsia="Arial" w:hAnsi="Arial"/>
          <w:b w:val="false"/>
          <w:bCs w:val="false"/>
          <w:color w:val="000000"/>
          <w:sz w:val="20"/>
          <w:szCs w:val="20"/>
        </w:rPr>
        <w:t xml:space="preserve">En Seguridad, la prioridad maxima es habilitar el cifrado de disco y JIT en las proximas dos semanas. Estas acciones tienen bajo costo de implementacion y eliminan las vulnerabilidades de mayor criticidad. La activacion de Defender CSPM provee visibilidad continua sobre la postura de seguridad sin requerir herramientas adicionales.</w:t>
      </w:r>
    </w:p>
    <w:p>
      <w:pPr>
        <w:spacing w:after="60" w:before="60"/>
        <w:jc w:val="left"/>
      </w:pPr>
      <w:r>
        <w:rPr>
          <w:rFonts w:ascii="Arial" w:cs="Arial" w:eastAsia="Arial" w:hAnsi="Arial"/>
          <w:b w:val="false"/>
          <w:bCs w:val="false"/>
          <w:color w:val="000000"/>
          <w:sz w:val="20"/>
          <w:szCs w:val="20"/>
        </w:rPr>
        <w:t xml:space="preserve">En Confiabilidad, la atencion inmediata a los dos items de retiro programado (TLS 1.0/1.1 y VPN Gateway SKU) evita interrupciones de servicio no planificadas. La alineacion de discos con zonas de disponibilidad es el hallazgo mas frecuente y debe abordarse en la primera ronda de cambios.</w:t>
      </w:r>
    </w:p>
    <w:p>
      <w:pPr>
        <w:spacing w:after="60" w:before="60"/>
        <w:jc w:val="left"/>
      </w:pPr>
      <w:r>
        <w:rPr>
          <w:rFonts w:ascii="Arial" w:cs="Arial" w:eastAsia="Arial" w:hAnsi="Arial"/>
          <w:b w:val="false"/>
          <w:bCs w:val="false"/>
          <w:color w:val="000000"/>
          <w:sz w:val="20"/>
          <w:szCs w:val="20"/>
        </w:rPr>
        <w:t xml:space="preserve">En Costo, la oportunidad de ahorro de $15,208 USD/año es altamente accesible: Savings Plan y Reserved Instances no requieren ningun cambio de arquitectura. La decision puede tomarse con el equipo de finanzas cloud en la proxima revision de presupuesto.</w:t>
      </w:r>
    </w:p>
    <w:p>
      <w:pPr>
        <w:spacing w:after="60" w:before="60"/>
        <w:jc w:val="left"/>
      </w:pPr>
      <w:r>
        <w:rPr>
          <w:rFonts w:ascii="Arial" w:cs="Arial" w:eastAsia="Arial" w:hAnsi="Arial"/>
          <w:b w:val="false"/>
          <w:bCs w:val="false"/>
          <w:color w:val="000000"/>
          <w:sz w:val="20"/>
          <w:szCs w:val="20"/>
        </w:rPr>
        <w:t xml:space="preserve">En Excelencia Operativa, habilitar VM Insights en las 9 VMs afectadas es una accion de impacto inmediato y bajo riesgo que mejora significativamente la capacidad de diagnostico y alertas proactivas del equipo de operaciones.</w:t>
      </w:r>
    </w:p>
    <w:p>
      <w:pPr>
        <w:spacing w:after="60" w:before="60"/>
      </w:pPr>
      <w:r>
        <w:t xml:space="preserve"/>
      </w:r>
    </w:p>
    <w:p>
      <w:pPr>
        <w:spacing w:after="60" w:before="60"/>
        <w:jc w:val="left"/>
      </w:pPr>
      <w:r>
        <w:rPr>
          <w:rFonts w:ascii="Arial" w:cs="Arial" w:eastAsia="Arial" w:hAnsi="Arial"/>
          <w:b/>
          <w:bCs/>
          <w:color w:val="000000"/>
          <w:sz w:val="20"/>
          <w:szCs w:val="20"/>
        </w:rPr>
        <w:t xml:space="preserve">Se recomienda establecer una revision mensual del Advisor Score como indicador clave de madurez cloud, con meta de reduccion del 50% de recomendaciones de impacto Alto en los proximos 60 dias.</w:t>
      </w:r>
    </w:p>
    <w:p>
      <w:pPr>
        <w:spacing w:after="60" w:before="60"/>
      </w:pPr>
      <w:r>
        <w:t xml:space="preserve"/>
      </w:r>
    </w:p>
    <w:p>
      <w:pPr>
        <w:spacing w:after="60" w:before="60"/>
      </w:pPr>
      <w:r>
        <w:t xml:space="preserve"/>
      </w:r>
    </w:p>
    <w:p>
      <w:pPr>
        <w:pBdr>
          <w:top w:val="single" w:color="0078D4" w:sz="6" w:space="4"/>
        </w:pBdr>
        <w:spacing w:after="60" w:before="120"/>
        <w:jc w:val="center"/>
      </w:pPr>
      <w:r>
        <w:rPr>
          <w:rFonts w:ascii="Arial" w:cs="Arial" w:eastAsia="Arial" w:hAnsi="Arial"/>
          <w:color w:val="595959"/>
          <w:sz w:val="18"/>
          <w:szCs w:val="18"/>
        </w:rPr>
        <w:t xml:space="preserve">--- Fin del Reporte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4"/>
      </w:pBdr>
      <w:spacing w:after="0" w:before="80"/>
      <w:jc w:val="right"/>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spacing w:after="120" w:before="0"/>
    </w:pPr>
    <w:r>
      <w:rPr>
        <w:rFonts w:ascii="Arial" w:cs="Arial" w:eastAsia="Arial" w:hAnsi="Arial"/>
        <w:color w:val="595959"/>
        <w:sz w:val="18"/>
        <w:szCs w:val="18"/>
      </w:rPr>
      <w:t xml:space="preserve">Azure Advisor — Reporte Ejecutivo  |  </w:t>
    </w:r>
    <w:r>
      <w:rPr>
        <w:rFonts w:ascii="Arial" w:cs="Arial" w:eastAsia="Arial" w:hAnsi="Arial"/>
        <w:b/>
        <w:bCs/>
        <w:color w:val="003366"/>
        <w:sz w:val="18"/>
        <w:szCs w:val="18"/>
      </w:rPr>
      <w:t xml:space="preserve">Azure subscription 1</w:t>
    </w:r>
    <w:r>
      <w:rPr>
        <w:rFonts w:ascii="Arial" w:cs="Arial" w:eastAsia="Arial" w:hAnsi="Arial"/>
        <w:color w:val="595959"/>
        <w:sz w:val="18"/>
        <w:szCs w:val="18"/>
      </w:rPr>
      <w:t xml:space="preserve">  |  5 de junio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2026-06-06T00:25:54.043Z</dcterms:created>
  <dcterms:modified xsi:type="dcterms:W3CDTF">2026-06-06T00:25:54.043Z</dcterms:modified>
</cp:coreProperties>
</file>

<file path=docProps/custom.xml><?xml version="1.0" encoding="utf-8"?>
<Properties xmlns="http://schemas.openxmlformats.org/officeDocument/2006/custom-properties" xmlns:vt="http://schemas.openxmlformats.org/officeDocument/2006/docPropsVTypes"/>
</file>