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78D4" w:sz="36" w:space="1"/>
        </w:pBdr>
        <w:spacing w:after="0" w:before="0"/>
      </w:pPr>
      <w:r>
        <w:rPr>
          <w:sz w:val="2"/>
          <w:szCs w:val="2"/>
        </w:rPr>
        <w:t xml:space="preserve"> </w:t>
      </w:r>
    </w:p>
    <w:p>
      <w:pPr>
        <w:spacing w:after="800" w:before="0"/>
      </w:pPr>
      <w:r>
        <w:t xml:space="preserve"/>
      </w:r>
    </w:p>
    <w:p>
      <w:pPr>
        <w:spacing w:after="80" w:before="200"/>
        <w:jc w:val="left"/>
      </w:pPr>
      <w:r>
        <w:rPr>
          <w:rFonts w:ascii="Arial" w:cs="Arial" w:eastAsia="Arial" w:hAnsi="Arial"/>
          <w:b/>
          <w:bCs/>
          <w:color w:val="605E5C"/>
          <w:sz w:val="22"/>
          <w:szCs w:val="22"/>
        </w:rPr>
        <w:t xml:space="preserve">PROPUESTA DE SERVICIOS</w:t>
      </w:r>
    </w:p>
    <w:p>
      <w:pPr>
        <w:spacing w:after="60" w:before="0"/>
        <w:jc w:val="left"/>
      </w:pPr>
      <w:r>
        <w:rPr>
          <w:rFonts w:ascii="Arial" w:cs="Arial" w:eastAsia="Arial" w:hAnsi="Arial"/>
          <w:b/>
          <w:bCs/>
          <w:color w:val="002050"/>
          <w:sz w:val="56"/>
          <w:szCs w:val="56"/>
        </w:rPr>
        <w:t xml:space="preserve">Plataforma de Gobernanza de APIs</w:t>
      </w:r>
    </w:p>
    <w:p>
      <w:pPr>
        <w:spacing w:after="200" w:before="0"/>
        <w:jc w:val="left"/>
      </w:pPr>
      <w:r>
        <w:rPr>
          <w:rFonts w:ascii="Arial" w:cs="Arial" w:eastAsia="Arial" w:hAnsi="Arial"/>
          <w:b w:val="false"/>
          <w:bCs w:val="false"/>
          <w:color w:val="0078D4"/>
          <w:sz w:val="40"/>
          <w:szCs w:val="40"/>
        </w:rPr>
        <w:t xml:space="preserve">sobre Microsoft Azure API Management</w:t>
      </w:r>
    </w:p>
    <w:p>
      <w:pPr>
        <w:pBdr>
          <w:bottom w:val="single" w:color="50E6FF" w:sz="8" w:space="1"/>
        </w:pBdr>
        <w:spacing w:after="0" w:before="200"/>
      </w:pPr>
      <w:r>
        <w:rPr>
          <w:sz w:val="2"/>
          <w:szCs w:val="2"/>
        </w:rPr>
        <w:t xml:space="preserv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Dirigido 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C3ntro — Área de Integración y Consultoría</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Cliente interno ancla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SMS — Mensajería</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Documento de referencia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Mapa de Necesidades — Gobernanza de APIs v1.0</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Fecha de la propuesta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06 de junio de 2026</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Versión de la propuesta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1.0</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Vigencia de la oferta</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60 días naturales</w:t>
            </w:r>
          </w:p>
        </w:tc>
      </w:tr>
      <w:tr>
        <w:tc>
          <w:tcPr>
            <w:tcW w:type="dxa" w:w="3000"/>
            <w:tcBorders>
              <w:top w:val="none" w:color="FFFFFF" w:sz="0"/>
              <w:left w:val="none" w:color="FFFFFF" w:sz="0"/>
              <w:bottom w:val="none" w:color="FFFFFF" w:sz="0"/>
              <w:right w:val="none" w:color="FFFFFF" w:sz="0"/>
            </w:tcBorders>
            <w:shd w:fill="F3F2F1" w:val="clear"/>
            <w:tcMar>
              <w:top w:type="dxa" w:w="120"/>
              <w:left w:type="dxa" w:w="160"/>
              <w:bottom w:type="dxa" w:w="120"/>
              <w:right w:type="dxa" w:w="160"/>
            </w:tcMar>
          </w:tcPr>
          <w:p>
            <w:pPr>
              <w:spacing w:after="0" w:before="0"/>
            </w:pPr>
            <w:r>
              <w:rPr>
                <w:rFonts w:ascii="Arial" w:cs="Arial" w:eastAsia="Arial" w:hAnsi="Arial"/>
                <w:b/>
                <w:bCs/>
                <w:color w:val="002050"/>
                <w:sz w:val="20"/>
                <w:szCs w:val="20"/>
              </w:rPr>
              <w:t xml:space="preserve">Clasificación</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0" w:before="0"/>
            </w:pPr>
            <w:r>
              <w:rPr>
                <w:rFonts w:ascii="Arial" w:cs="Arial" w:eastAsia="Arial" w:hAnsi="Arial"/>
                <w:color w:val="201F1E"/>
                <w:sz w:val="20"/>
                <w:szCs w:val="20"/>
              </w:rPr>
              <w:t xml:space="preserve">Confidencial — Uso evaluativo</w:t>
            </w:r>
          </w:p>
        </w:tc>
      </w:tr>
    </w:tbl>
    <w:p>
      <w:pPr>
        <w:spacing w:after="1200" w:before="0"/>
      </w:pPr>
      <w:r>
        <w:t xml:space="preserve"/>
      </w:r>
    </w:p>
    <w:p>
      <w:pPr>
        <w:spacing w:after="60" w:before="0"/>
      </w:pPr>
      <w:r>
        <w:rPr>
          <w:rFonts w:ascii="Arial" w:cs="Arial" w:eastAsia="Arial" w:hAnsi="Arial"/>
          <w:i/>
          <w:iCs/>
          <w:color w:val="605E5C"/>
          <w:sz w:val="18"/>
          <w:szCs w:val="18"/>
        </w:rPr>
        <w:t xml:space="preserve">Documento preparado como respuesta al Mapa de Necesidades emitido por</w:t>
      </w:r>
    </w:p>
    <w:p>
      <w:pPr>
        <w:spacing w:after="0" w:before="0"/>
      </w:pPr>
      <w:r>
        <w:rPr>
          <w:rFonts w:ascii="Arial" w:cs="Arial" w:eastAsia="Arial" w:hAnsi="Arial"/>
          <w:i/>
          <w:iCs/>
          <w:color w:val="605E5C"/>
          <w:sz w:val="18"/>
          <w:szCs w:val="18"/>
        </w:rPr>
        <w:t xml:space="preserve">C3ntro — Área de Integración y Consultoría Tecnológica.</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Contenido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Resumen ejecutivo</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2.</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Situación actual</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3.</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Objetivos de la solución</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4.</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Mapeo de necesidades → capacidades de Azure API Management</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5.</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Cumplimiento de restricciones no negociables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6.</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Arquitectura propuesta</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7.</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Componentes técnicos detallados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8.</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Estrategia de multi-tenancy (Workspaces)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9.</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Requerimientos técnicos del cliente</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10.</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Requerimientos humanos y equipo del proyecto</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11.</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Plan de trabajo por fases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12.</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Alcance — dentro y fuera</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13.</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Estimación de costos — Calculadora Azure</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14.</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Modelo de cobro a clientes internos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15.</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API "deber ser" — ejemplo aplicado a SMS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16.</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SLA y modelo de soporte</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17.</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Cumplimiento de criterios de evaluación ponderados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18.</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Riesgos y mitigaciones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19.</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Supuestos y dependencias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20.</w:t>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Próximos pasos</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Anexo A — Políticas APIM de referencia</w:t>
            </w:r>
          </w:p>
        </w:tc>
      </w:tr>
      <w:tr>
        <w:tc>
          <w:tcPr>
            <w:tcW w:type="dxa" w:w="60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b/>
                <w:bCs/>
                <w:color w:val="0078D4"/>
                <w:sz w:val="22"/>
                <w:szCs w:val="22"/>
              </w:rPr>
              <w:t xml:space="preserve"/>
            </w:r>
          </w:p>
        </w:tc>
        <w:tc>
          <w:tcPr>
            <w:tcW w:type="dxa" w:w="8760"/>
            <w:tcBorders>
              <w:top w:val="none" w:color="FFFFFF" w:sz="0"/>
              <w:left w:val="none" w:color="FFFFFF" w:sz="0"/>
              <w:bottom w:val="none" w:color="FFFFFF" w:sz="0"/>
              <w:right w:val="none" w:color="FFFFFF" w:sz="0"/>
            </w:tcBorders>
            <w:tcMar>
              <w:top w:type="dxa" w:w="60"/>
              <w:left w:type="dxa" w:w="40"/>
              <w:bottom w:type="dxa" w:w="60"/>
              <w:right w:type="dxa" w:w="40"/>
            </w:tcMar>
          </w:tcPr>
          <w:p>
            <w:r>
              <w:rPr>
                <w:rFonts w:ascii="Arial" w:cs="Arial" w:eastAsia="Arial" w:hAnsi="Arial"/>
                <w:color w:val="201F1E"/>
                <w:sz w:val="22"/>
                <w:szCs w:val="22"/>
              </w:rPr>
              <w:t xml:space="preserve">Anexo B — Glosario de términos</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 Resumen ejecutivo</w:t>
      </w:r>
    </w:p>
    <w:p>
      <w:pPr>
        <w:spacing w:after="120" w:before="60" w:line="300"/>
        <w:jc w:val="left"/>
      </w:pPr>
      <w:r>
        <w:rPr>
          <w:rFonts w:ascii="Arial" w:cs="Arial" w:eastAsia="Arial" w:hAnsi="Arial"/>
          <w:color w:val="201F1E"/>
          <w:sz w:val="22"/>
          <w:szCs w:val="22"/>
        </w:rPr>
        <w:t xml:space="preserve">C3ntro requiere una plataforma de gobernanza de APIs en modelo SaaS puro para soportar el arranque de su Área de Integración y Consultoría, con SMS como cliente interno ancla y Contact Center en pipeline. Esta propuesta plantea Microsoft Azure API Management (en adelante, APIM) en su nivel Premium como respuesta integral.</w:t>
      </w:r>
    </w:p>
    <w:p>
      <w:pPr>
        <w:pStyle w:val="Heading3"/>
        <w:spacing w:after="120" w:before="200"/>
      </w:pPr>
      <w:r>
        <w:rPr>
          <w:rFonts w:ascii="Arial" w:cs="Arial" w:eastAsia="Arial" w:hAnsi="Arial"/>
          <w:b/>
          <w:bCs/>
          <w:color w:val="002050"/>
          <w:sz w:val="24"/>
          <w:szCs w:val="24"/>
        </w:rPr>
        <w:t xml:space="preserve">Por qué Azure API Management</w:t>
      </w:r>
    </w:p>
    <w:p>
      <w:pPr>
        <w:pStyle w:val="ListParagraph"/>
        <w:numPr>
          <w:ilvl w:val="0"/>
          <w:numId w:val="2"/>
        </w:numPr>
        <w:spacing w:after="40" w:before="40" w:line="280"/>
      </w:pPr>
      <w:r>
        <w:rPr>
          <w:rFonts w:ascii="Arial" w:cs="Arial" w:eastAsia="Arial" w:hAnsi="Arial"/>
          <w:b/>
          <w:bCs/>
          <w:color w:val="0078D4"/>
          <w:sz w:val="22"/>
          <w:szCs w:val="22"/>
        </w:rPr>
        <w:t xml:space="preserve">SaaS puro. </w:t>
      </w:r>
      <w:r>
        <w:rPr>
          <w:rFonts w:ascii="Arial" w:cs="Arial" w:eastAsia="Arial" w:hAnsi="Arial"/>
          <w:color w:val="201F1E"/>
          <w:sz w:val="22"/>
          <w:szCs w:val="22"/>
        </w:rPr>
        <w:t xml:space="preserve">Es un servicio totalmente administrado por Microsoft — el control plane y el data plane operan en infraestructura de Azure. Ningún componente requiere instalación, configuración ni operación por parte del equipo de infraestructura de C3ntro.</w:t>
      </w:r>
    </w:p>
    <w:p>
      <w:pPr>
        <w:pStyle w:val="ListParagraph"/>
        <w:numPr>
          <w:ilvl w:val="0"/>
          <w:numId w:val="2"/>
        </w:numPr>
        <w:spacing w:after="40" w:before="40" w:line="280"/>
      </w:pPr>
      <w:r>
        <w:rPr>
          <w:rFonts w:ascii="Arial" w:cs="Arial" w:eastAsia="Arial" w:hAnsi="Arial"/>
          <w:b/>
          <w:bCs/>
          <w:color w:val="0078D4"/>
          <w:sz w:val="22"/>
          <w:szCs w:val="22"/>
        </w:rPr>
        <w:t xml:space="preserve">SLA contractual 99.99%. </w:t>
      </w:r>
      <w:r>
        <w:rPr>
          <w:rFonts w:ascii="Arial" w:cs="Arial" w:eastAsia="Arial" w:hAnsi="Arial"/>
          <w:color w:val="201F1E"/>
          <w:sz w:val="22"/>
          <w:szCs w:val="22"/>
        </w:rPr>
        <w:t xml:space="preserve">El nivel Premium ofrece SLA contractual de 99.99% cuando se despliega con redundancia de zona o multi-región, con créditos de servicio definidos ante incumplimiento.</w:t>
      </w:r>
    </w:p>
    <w:p>
      <w:pPr>
        <w:pStyle w:val="ListParagraph"/>
        <w:numPr>
          <w:ilvl w:val="0"/>
          <w:numId w:val="2"/>
        </w:numPr>
        <w:spacing w:after="40" w:before="40" w:line="280"/>
      </w:pPr>
      <w:r>
        <w:rPr>
          <w:rFonts w:ascii="Arial" w:cs="Arial" w:eastAsia="Arial" w:hAnsi="Arial"/>
          <w:b/>
          <w:bCs/>
          <w:color w:val="0078D4"/>
          <w:sz w:val="22"/>
          <w:szCs w:val="22"/>
        </w:rPr>
        <w:t xml:space="preserve">Soporte enterprise. </w:t>
      </w:r>
      <w:r>
        <w:rPr>
          <w:rFonts w:ascii="Arial" w:cs="Arial" w:eastAsia="Arial" w:hAnsi="Arial"/>
          <w:color w:val="201F1E"/>
          <w:sz w:val="22"/>
          <w:szCs w:val="22"/>
        </w:rPr>
        <w:t xml:space="preserve">Microsoft Unified Support y Azure Rapid Response permiten respuesta a incidentes P1 en menos de 1 hora 24/7/365, con ingenieros especializados (no primer nivel) y account manager dedicado.</w:t>
      </w:r>
    </w:p>
    <w:p>
      <w:pPr>
        <w:pStyle w:val="ListParagraph"/>
        <w:numPr>
          <w:ilvl w:val="0"/>
          <w:numId w:val="2"/>
        </w:numPr>
        <w:spacing w:after="40" w:before="40" w:line="280"/>
      </w:pPr>
      <w:r>
        <w:rPr>
          <w:rFonts w:ascii="Arial" w:cs="Arial" w:eastAsia="Arial" w:hAnsi="Arial"/>
          <w:b/>
          <w:bCs/>
          <w:color w:val="0078D4"/>
          <w:sz w:val="22"/>
          <w:szCs w:val="22"/>
        </w:rPr>
        <w:t xml:space="preserve">Multi-tenancy nativo. </w:t>
      </w:r>
      <w:r>
        <w:rPr>
          <w:rFonts w:ascii="Arial" w:cs="Arial" w:eastAsia="Arial" w:hAnsi="Arial"/>
          <w:color w:val="201F1E"/>
          <w:sz w:val="22"/>
          <w:szCs w:val="22"/>
        </w:rPr>
        <w:t xml:space="preserve">Mediante Workspaces — disponibles en Premium — se segmentan ambientes, políticas, suscripciones y analytics por cliente interno (SMS, Contact Center, futuros productos) dentro de una sola instancia, sin costo adicional por tenant.</w:t>
      </w:r>
    </w:p>
    <w:p>
      <w:pPr>
        <w:pStyle w:val="ListParagraph"/>
        <w:numPr>
          <w:ilvl w:val="0"/>
          <w:numId w:val="2"/>
        </w:numPr>
        <w:spacing w:after="40" w:before="40" w:line="280"/>
      </w:pPr>
      <w:r>
        <w:rPr>
          <w:rFonts w:ascii="Arial" w:cs="Arial" w:eastAsia="Arial" w:hAnsi="Arial"/>
          <w:b/>
          <w:bCs/>
          <w:color w:val="0078D4"/>
          <w:sz w:val="22"/>
          <w:szCs w:val="22"/>
        </w:rPr>
        <w:t xml:space="preserve">Cobertura técnica completa. </w:t>
      </w:r>
      <w:r>
        <w:rPr>
          <w:rFonts w:ascii="Arial" w:cs="Arial" w:eastAsia="Arial" w:hAnsi="Arial"/>
          <w:color w:val="201F1E"/>
          <w:sz w:val="22"/>
          <w:szCs w:val="22"/>
        </w:rPr>
        <w:t xml:space="preserve">Cubre los 8 requerimientos técnicos del Mapa de Necesidades (los 4 críticos y los 4 de prioridad alta/media), incluyendo versionado, OAuth 2.0/JWT, rate limiting, observabilidad, portal de desarrolladores, productos y suscripciones, circuit breaker y transformaciones de payload.</w:t>
      </w:r>
    </w:p>
    <w:p>
      <w:pPr>
        <w:pStyle w:val="ListParagraph"/>
        <w:numPr>
          <w:ilvl w:val="0"/>
          <w:numId w:val="2"/>
        </w:numPr>
        <w:spacing w:after="40" w:before="40" w:line="280"/>
      </w:pPr>
      <w:r>
        <w:rPr>
          <w:rFonts w:ascii="Arial" w:cs="Arial" w:eastAsia="Arial" w:hAnsi="Arial"/>
          <w:b/>
          <w:bCs/>
          <w:color w:val="0078D4"/>
          <w:sz w:val="22"/>
          <w:szCs w:val="22"/>
        </w:rPr>
        <w:t xml:space="preserve">Presencia en México. </w:t>
      </w:r>
      <w:r>
        <w:rPr>
          <w:rFonts w:ascii="Arial" w:cs="Arial" w:eastAsia="Arial" w:hAnsi="Arial"/>
          <w:color w:val="201F1E"/>
          <w:sz w:val="22"/>
          <w:szCs w:val="22"/>
        </w:rPr>
        <w:t xml:space="preserve">Region Mexico Central disponible para residencia de datos local, soporte en español incluido en el Account Team mexicano de Microsoft y posibilidad de contratación a través de partner local certificado con acuerdo de SLA respaldado directamente por Microsoft.</w:t>
      </w:r>
    </w:p>
    <w:p>
      <w:pPr>
        <w:spacing w:after="180" w:before="0"/>
      </w:pPr>
      <w:r>
        <w:t xml:space="preserve"/>
      </w:r>
    </w:p>
    <w:p>
      <w:pPr>
        <w:pStyle w:val="Heading3"/>
        <w:spacing w:after="120" w:before="200"/>
      </w:pPr>
      <w:r>
        <w:rPr>
          <w:rFonts w:ascii="Arial" w:cs="Arial" w:eastAsia="Arial" w:hAnsi="Arial"/>
          <w:b/>
          <w:bCs/>
          <w:color w:val="002050"/>
          <w:sz w:val="24"/>
          <w:szCs w:val="24"/>
        </w:rPr>
        <w:t xml:space="preserve">Estructura económica resumida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00"/>
        <w:gridCol w:w="2060"/>
      </w:tblGrid>
      <w:tr>
        <w:trPr>
          <w:tblHeader/>
        </w:trPr>
        <w:tc>
          <w:tcPr>
            <w:tcW w:type="dxa" w:w="4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Concepto</w:t>
            </w:r>
          </w:p>
        </w:tc>
        <w:tc>
          <w:tcPr>
            <w:tcW w:type="dxa" w:w="29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Inversión estimada (USD)</w:t>
            </w:r>
          </w:p>
        </w:tc>
        <w:tc>
          <w:tcPr>
            <w:tcW w:type="dxa" w:w="20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Modalidad</w:t>
            </w:r>
          </w:p>
        </w:tc>
      </w:tr>
      <w:tr>
        <w:tc>
          <w:tcPr>
            <w:tcW w:type="dxa" w:w="4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Servicios profesionales — implementación y onboarding SMS</w:t>
            </w:r>
          </w:p>
        </w:tc>
        <w:tc>
          <w:tcPr>
            <w:tcW w:type="dxa" w:w="2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$ 62,400</w:t>
            </w:r>
          </w:p>
        </w:tc>
        <w:tc>
          <w:tcPr>
            <w:tcW w:type="dxa" w:w="20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Pago único / hitos</w:t>
            </w:r>
          </w:p>
        </w:tc>
      </w:tr>
      <w:tr>
        <w:tc>
          <w:tcPr>
            <w:tcW w:type="dxa" w:w="4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Consumo Azure — APIM Premium + componentes asociados</w:t>
            </w:r>
          </w:p>
        </w:tc>
        <w:tc>
          <w:tcPr>
            <w:tcW w:type="dxa" w:w="2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$ 6,200 / mes</w:t>
            </w:r>
          </w:p>
        </w:tc>
        <w:tc>
          <w:tcPr>
            <w:tcW w:type="dxa" w:w="20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Recurrente (PAYG)</w:t>
            </w:r>
          </w:p>
        </w:tc>
      </w:tr>
      <w:tr>
        <w:tc>
          <w:tcPr>
            <w:tcW w:type="dxa" w:w="4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Soporte gestionado post go-live (opcional)</w:t>
            </w:r>
          </w:p>
        </w:tc>
        <w:tc>
          <w:tcPr>
            <w:tcW w:type="dxa" w:w="2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$ 4,800 / mes</w:t>
            </w:r>
          </w:p>
        </w:tc>
        <w:tc>
          <w:tcPr>
            <w:tcW w:type="dxa" w:w="20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Recurrente / suscripción</w:t>
            </w:r>
          </w:p>
        </w:tc>
      </w:tr>
      <w:tr>
        <w:tc>
          <w:tcPr>
            <w:tcW w:type="dxa" w:w="4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Unified Support (sugerido)</w:t>
            </w:r>
          </w:p>
        </w:tc>
        <w:tc>
          <w:tcPr>
            <w:tcW w:type="dxa" w:w="2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Incluido en contrato corporativo o partner</w:t>
            </w:r>
          </w:p>
        </w:tc>
        <w:tc>
          <w:tcPr>
            <w:tcW w:type="dxa" w:w="20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Anual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2"/>
              <w:left w:val="single" w:color="0078D4" w:sz="12"/>
              <w:bottom w:val="single" w:color="0078D4" w:sz="4"/>
              <w:right w:val="single" w:color="0078D4" w:sz="4"/>
            </w:tcBorders>
            <w:shd w:fill="DEECF9" w:val="clear"/>
            <w:tcMar>
              <w:top w:type="dxa" w:w="180"/>
              <w:left w:type="dxa" w:w="220"/>
              <w:bottom w:type="dxa" w:w="180"/>
              <w:right w:type="dxa" w:w="220"/>
            </w:tcMar>
          </w:tcPr>
          <w:p>
            <w:pPr>
              <w:spacing w:after="100" w:before="0" w:line="280"/>
            </w:pPr>
            <w:r>
              <w:rPr>
                <w:rFonts w:ascii="Arial" w:cs="Arial" w:eastAsia="Arial" w:hAnsi="Arial"/>
                <w:b/>
                <w:bCs/>
                <w:color w:val="002050"/>
                <w:sz w:val="22"/>
                <w:szCs w:val="22"/>
              </w:rPr>
              <w:t xml:space="preserve">Lectura rápida — qué se entrega</w:t>
            </w:r>
          </w:p>
          <w:p>
            <w:pPr>
              <w:pStyle w:val="ListParagraph"/>
              <w:numPr>
                <w:ilvl w:val="0"/>
                <w:numId w:val="2"/>
              </w:numPr>
              <w:spacing w:after="40" w:before="40" w:line="280"/>
            </w:pPr>
            <w:r>
              <w:rPr>
                <w:rFonts w:ascii="Arial" w:cs="Arial" w:eastAsia="Arial" w:hAnsi="Arial"/>
                <w:color w:val="201F1E"/>
                <w:sz w:val="22"/>
                <w:szCs w:val="22"/>
              </w:rPr>
              <w:t xml:space="preserve">Una instancia productiva de APIM Premium con redundancia de zona en México Central.</w:t>
            </w:r>
          </w:p>
          <w:p>
            <w:pPr>
              <w:pStyle w:val="ListParagraph"/>
              <w:numPr>
                <w:ilvl w:val="0"/>
                <w:numId w:val="2"/>
              </w:numPr>
              <w:spacing w:after="40" w:before="40" w:line="280"/>
            </w:pPr>
            <w:r>
              <w:rPr>
                <w:rFonts w:ascii="Arial" w:cs="Arial" w:eastAsia="Arial" w:hAnsi="Arial"/>
                <w:color w:val="201F1E"/>
                <w:sz w:val="22"/>
                <w:szCs w:val="22"/>
              </w:rPr>
              <w:t xml:space="preserve">Workspaces configurados para SMS y un workspace template listo para incorporar Contact Center.</w:t>
            </w:r>
          </w:p>
          <w:p>
            <w:pPr>
              <w:pStyle w:val="ListParagraph"/>
              <w:numPr>
                <w:ilvl w:val="0"/>
                <w:numId w:val="2"/>
              </w:numPr>
              <w:spacing w:after="40" w:before="40" w:line="280"/>
            </w:pPr>
            <w:r>
              <w:rPr>
                <w:rFonts w:ascii="Arial" w:cs="Arial" w:eastAsia="Arial" w:hAnsi="Arial"/>
                <w:color w:val="201F1E"/>
                <w:sz w:val="22"/>
                <w:szCs w:val="22"/>
              </w:rPr>
              <w:t xml:space="preserve">Onboarding completo del primer cliente (SMS): APIs migradas, políticas estándar aplicadas, suscripciones activas, portal de desarrolladores publicado.</w:t>
            </w:r>
          </w:p>
          <w:p>
            <w:pPr>
              <w:pStyle w:val="ListParagraph"/>
              <w:numPr>
                <w:ilvl w:val="0"/>
                <w:numId w:val="2"/>
              </w:numPr>
              <w:spacing w:after="40" w:before="40" w:line="280"/>
            </w:pPr>
            <w:r>
              <w:rPr>
                <w:rFonts w:ascii="Arial" w:cs="Arial" w:eastAsia="Arial" w:hAnsi="Arial"/>
                <w:color w:val="201F1E"/>
                <w:sz w:val="22"/>
                <w:szCs w:val="22"/>
              </w:rPr>
              <w:t xml:space="preserve">Pipeline CI/CD para gobernar configuración como código (IaC + APIM-as-code).</w:t>
            </w:r>
          </w:p>
          <w:p>
            <w:pPr>
              <w:pStyle w:val="ListParagraph"/>
              <w:numPr>
                <w:ilvl w:val="0"/>
                <w:numId w:val="2"/>
              </w:numPr>
              <w:spacing w:after="40" w:before="40" w:line="280"/>
            </w:pPr>
            <w:r>
              <w:rPr>
                <w:rFonts w:ascii="Arial" w:cs="Arial" w:eastAsia="Arial" w:hAnsi="Arial"/>
                <w:color w:val="201F1E"/>
                <w:sz w:val="22"/>
                <w:szCs w:val="22"/>
              </w:rPr>
              <w:t xml:space="preserve">Tablero de observabilidad y exportación de transacciones a Event Hubs para facturación interna.</w:t>
            </w:r>
          </w:p>
          <w:p>
            <w:pPr>
              <w:pStyle w:val="ListParagraph"/>
              <w:numPr>
                <w:ilvl w:val="0"/>
                <w:numId w:val="2"/>
              </w:numPr>
              <w:spacing w:after="40" w:before="40" w:line="280"/>
            </w:pPr>
            <w:r>
              <w:rPr>
                <w:rFonts w:ascii="Arial" w:cs="Arial" w:eastAsia="Arial" w:hAnsi="Arial"/>
                <w:color w:val="201F1E"/>
                <w:sz w:val="22"/>
                <w:szCs w:val="22"/>
              </w:rPr>
              <w:t xml:space="preserve">Documentación operativa, runbooks y transferencia de conocimiento al equipo de C3ntro.</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2. Situación actual</w:t>
      </w:r>
    </w:p>
    <w:p>
      <w:pPr>
        <w:spacing w:after="60" w:before="60" w:line="300"/>
        <w:jc w:val="left"/>
      </w:pPr>
      <w:r>
        <w:rPr>
          <w:rFonts w:ascii="Arial" w:cs="Arial" w:eastAsia="Arial" w:hAnsi="Arial"/>
          <w:color w:val="201F1E"/>
          <w:sz w:val="22"/>
          <w:szCs w:val="22"/>
        </w:rPr>
        <w:t xml:space="preserve">La interpretación que sigue está construida directamente sobre el Mapa de Necesidades v1.0 emitido por C3ntro. El objetivo de esta sección es dejar explícitos los hechos sobre los que se diseña la solución, de modo que cualquier desviación entre el contexto real y lo aquí descrito pueda detectarse antes del inicio del proyecto.</w:t>
      </w:r>
    </w:p>
    <w:p>
      <w:pPr>
        <w:pStyle w:val="Heading2"/>
        <w:spacing w:after="160" w:before="280"/>
      </w:pPr>
      <w:r>
        <w:rPr>
          <w:rFonts w:ascii="Arial" w:cs="Arial" w:eastAsia="Arial" w:hAnsi="Arial"/>
          <w:b/>
          <w:bCs/>
          <w:color w:val="0078D4"/>
          <w:sz w:val="28"/>
          <w:szCs w:val="28"/>
        </w:rPr>
        <w:t xml:space="preserve">2.1 Contexto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Dimensión</w:t>
            </w:r>
          </w:p>
        </w:tc>
        <w:tc>
          <w:tcPr>
            <w:tcW w:type="dxa" w:w="63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Estado actual</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Área</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Área de Integración y Consultoría — de nueva creación dentro de C3ntro.</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Modelo operativo</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Centro de servicios internos con cobro a clientes internos: fee base mensual de plataforma más horas de consultoría.</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actual</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 personas: 1 manager (dimensionamiento, seguimiento, comunicación) y 2 ingenieros de integración. Sin equipo propio de infraestructura.</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Fase del área</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Arranque. Sin plataforma de gobernanza desplegada. Primer cliente interno activo (SMS) en pipeline de onboarding.</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Restricción operativa principal</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Imposibilidad de involucrar al equipo de infraestructura corporativo de C3ntro o asumir costos de infraestructura propia para cualquier componente de la plataforma.</w:t>
            </w:r>
          </w:p>
        </w:tc>
      </w:tr>
    </w:tbl>
    <w:p>
      <w:pPr>
        <w:pStyle w:val="Heading2"/>
        <w:spacing w:after="160" w:before="280"/>
      </w:pPr>
      <w:r>
        <w:rPr>
          <w:rFonts w:ascii="Arial" w:cs="Arial" w:eastAsia="Arial" w:hAnsi="Arial"/>
          <w:b/>
          <w:bCs/>
          <w:color w:val="0078D4"/>
          <w:sz w:val="28"/>
          <w:szCs w:val="28"/>
        </w:rPr>
        <w:t xml:space="preserve">2.2 Clientes internos y su madurez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Cliente interno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Estatus</w:t>
            </w:r>
          </w:p>
        </w:tc>
        <w:tc>
          <w:tcPr>
            <w:tcW w:type="dxa" w:w="51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Necesidad principal</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 — Mensajería</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Ancla activo</w:t>
            </w:r>
          </w:p>
        </w:tc>
        <w:tc>
          <w:tcPr>
            <w:tcW w:type="dxa" w:w="5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Gobernanza formal del ciclo de vida de sus APIs, trazabilidad de transacciones para facturación, SLAs estrictos alineados con compromisos de mensajería crítica.</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Contact Center</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En pipeline</w:t>
            </w:r>
          </w:p>
        </w:tc>
        <w:tc>
          <w:tcPr>
            <w:tcW w:type="dxa" w:w="5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Integración con CRM y plataformas de orquestación de agentes, visibilidad operativa de integraciones.</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Otros productos C3ntro</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Expansión futura</w:t>
            </w:r>
          </w:p>
        </w:tc>
        <w:tc>
          <w:tcPr>
            <w:tcW w:type="dxa" w:w="5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Capacidad de la plataforma para incorporar nuevos clientes internos sin rediseño y con segmentación completa entre tenants.</w:t>
            </w:r>
          </w:p>
        </w:tc>
      </w:tr>
    </w:tbl>
    <w:p>
      <w:pPr>
        <w:pStyle w:val="Heading2"/>
        <w:spacing w:after="160" w:before="280"/>
      </w:pPr>
      <w:r>
        <w:rPr>
          <w:rFonts w:ascii="Arial" w:cs="Arial" w:eastAsia="Arial" w:hAnsi="Arial"/>
          <w:b/>
          <w:bCs/>
          <w:color w:val="0078D4"/>
          <w:sz w:val="28"/>
          <w:szCs w:val="28"/>
        </w:rPr>
        <w:t xml:space="preserve">2.3 Estado de gobernanza actual</w:t>
      </w:r>
    </w:p>
    <w:p>
      <w:pPr>
        <w:spacing w:after="60" w:before="60" w:line="300"/>
        <w:jc w:val="left"/>
      </w:pPr>
      <w:r>
        <w:rPr>
          <w:rFonts w:ascii="Arial" w:cs="Arial" w:eastAsia="Arial" w:hAnsi="Arial"/>
          <w:color w:val="201F1E"/>
          <w:sz w:val="22"/>
          <w:szCs w:val="22"/>
        </w:rPr>
        <w:t xml:space="preserve">En ausencia de una plataforma formal de gestión de APIs, los siguientes riesgos operativos están materializados o latentes:</w:t>
      </w:r>
    </w:p>
    <w:p>
      <w:pPr>
        <w:pStyle w:val="ListParagraph"/>
        <w:numPr>
          <w:ilvl w:val="0"/>
          <w:numId w:val="2"/>
        </w:numPr>
        <w:spacing w:after="40" w:before="40" w:line="280"/>
      </w:pPr>
      <w:r>
        <w:rPr>
          <w:rFonts w:ascii="Arial" w:cs="Arial" w:eastAsia="Arial" w:hAnsi="Arial"/>
          <w:color w:val="201F1E"/>
          <w:sz w:val="22"/>
          <w:szCs w:val="22"/>
        </w:rPr>
        <w:t xml:space="preserve">No existe versionado controlado de APIs. Una modificación en el contrato de un endpoint impacta directamente a consumidores activos.</w:t>
      </w:r>
    </w:p>
    <w:p>
      <w:pPr>
        <w:pStyle w:val="ListParagraph"/>
        <w:numPr>
          <w:ilvl w:val="0"/>
          <w:numId w:val="2"/>
        </w:numPr>
        <w:spacing w:after="40" w:before="40" w:line="280"/>
      </w:pPr>
      <w:r>
        <w:rPr>
          <w:rFonts w:ascii="Arial" w:cs="Arial" w:eastAsia="Arial" w:hAnsi="Arial"/>
          <w:color w:val="201F1E"/>
          <w:sz w:val="22"/>
          <w:szCs w:val="22"/>
        </w:rPr>
        <w:t xml:space="preserve">No hay visibilidad estructurada de quién consume cada API, con qué volumen y con qué patrón de error. Esto bloquea facturación basada en uso real y dificulta la diagnosis de incidentes.</w:t>
      </w:r>
    </w:p>
    <w:p>
      <w:pPr>
        <w:pStyle w:val="ListParagraph"/>
        <w:numPr>
          <w:ilvl w:val="0"/>
          <w:numId w:val="2"/>
        </w:numPr>
        <w:spacing w:after="40" w:before="40" w:line="280"/>
      </w:pPr>
      <w:r>
        <w:rPr>
          <w:rFonts w:ascii="Arial" w:cs="Arial" w:eastAsia="Arial" w:hAnsi="Arial"/>
          <w:color w:val="201F1E"/>
          <w:sz w:val="22"/>
          <w:szCs w:val="22"/>
        </w:rPr>
        <w:t xml:space="preserve">Las políticas de seguridad (autenticación, rate limiting, control de acceso) viven a nivel de cada backend, lo que genera implementaciones heterogéneas y costo marginal de cumplimiento por cada nueva integración.</w:t>
      </w:r>
    </w:p>
    <w:p>
      <w:pPr>
        <w:pStyle w:val="ListParagraph"/>
        <w:numPr>
          <w:ilvl w:val="0"/>
          <w:numId w:val="2"/>
        </w:numPr>
        <w:spacing w:after="40" w:before="40" w:line="280"/>
      </w:pPr>
      <w:r>
        <w:rPr>
          <w:rFonts w:ascii="Arial" w:cs="Arial" w:eastAsia="Arial" w:hAnsi="Arial"/>
          <w:color w:val="201F1E"/>
          <w:sz w:val="22"/>
          <w:szCs w:val="22"/>
        </w:rPr>
        <w:t xml:space="preserve">La trazabilidad de transacciones depende de los logs propios de cada backend. La auditoría formal requiere correlación manual.</w:t>
      </w:r>
    </w:p>
    <w:p>
      <w:pPr>
        <w:pStyle w:val="ListParagraph"/>
        <w:numPr>
          <w:ilvl w:val="0"/>
          <w:numId w:val="2"/>
        </w:numPr>
        <w:spacing w:after="40" w:before="40" w:line="280"/>
      </w:pPr>
      <w:r>
        <w:rPr>
          <w:rFonts w:ascii="Arial" w:cs="Arial" w:eastAsia="Arial" w:hAnsi="Arial"/>
          <w:color w:val="201F1E"/>
          <w:sz w:val="22"/>
          <w:szCs w:val="22"/>
        </w:rPr>
        <w:t xml:space="preserve">El soporte de las integraciones se confunde con el soporte del producto CPaaS subyacente, generando ruido y tiempo de resolución mayor en ambos canales.</w:t>
      </w:r>
    </w:p>
    <w:p>
      <w:pPr>
        <w:pStyle w:val="Heading2"/>
        <w:spacing w:after="160" w:before="280"/>
      </w:pPr>
      <w:r>
        <w:rPr>
          <w:rFonts w:ascii="Arial" w:cs="Arial" w:eastAsia="Arial" w:hAnsi="Arial"/>
          <w:b/>
          <w:bCs/>
          <w:color w:val="0078D4"/>
          <w:sz w:val="28"/>
          <w:szCs w:val="28"/>
        </w:rPr>
        <w:t xml:space="preserve">2.4 Restricciones clave que condicionan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3B01" w:sz="12"/>
              <w:left w:val="single" w:color="D83B01" w:sz="12"/>
              <w:bottom w:val="single" w:color="D83B01" w:sz="4"/>
              <w:right w:val="single" w:color="D83B01" w:sz="4"/>
            </w:tcBorders>
            <w:shd w:fill="FED9CC" w:val="clear"/>
            <w:tcMar>
              <w:top w:type="dxa" w:w="180"/>
              <w:left w:type="dxa" w:w="220"/>
              <w:bottom w:type="dxa" w:w="180"/>
              <w:right w:type="dxa" w:w="220"/>
            </w:tcMar>
          </w:tcPr>
          <w:p>
            <w:pPr>
              <w:spacing w:after="100" w:before="0" w:line="280"/>
            </w:pPr>
            <w:r>
              <w:rPr>
                <w:rFonts w:ascii="Arial" w:cs="Arial" w:eastAsia="Arial" w:hAnsi="Arial"/>
                <w:b/>
                <w:bCs/>
                <w:color w:val="D83B01"/>
                <w:sz w:val="22"/>
                <w:szCs w:val="22"/>
              </w:rPr>
              <w:t xml:space="preserve">Restricciones eliminatorias documentadas por C3ntro</w:t>
            </w:r>
          </w:p>
          <w:p>
            <w:pPr>
              <w:pStyle w:val="ListParagraph"/>
              <w:numPr>
                <w:ilvl w:val="0"/>
                <w:numId w:val="2"/>
              </w:numPr>
              <w:spacing w:after="40" w:before="40" w:line="280"/>
            </w:pPr>
            <w:r>
              <w:rPr>
                <w:rFonts w:ascii="Arial" w:cs="Arial" w:eastAsia="Arial" w:hAnsi="Arial"/>
                <w:color w:val="201F1E"/>
                <w:sz w:val="22"/>
                <w:szCs w:val="22"/>
              </w:rPr>
              <w:t xml:space="preserve">La plataforma debe ser SaaS puro: ni control plane ni data plane pueden requerir infraestructura de C3ntro.</w:t>
            </w:r>
          </w:p>
          <w:p>
            <w:pPr>
              <w:pStyle w:val="ListParagraph"/>
              <w:numPr>
                <w:ilvl w:val="0"/>
                <w:numId w:val="2"/>
              </w:numPr>
              <w:spacing w:after="40" w:before="40" w:line="280"/>
            </w:pPr>
            <w:r>
              <w:rPr>
                <w:rFonts w:ascii="Arial" w:cs="Arial" w:eastAsia="Arial" w:hAnsi="Arial"/>
                <w:color w:val="201F1E"/>
                <w:sz w:val="22"/>
                <w:szCs w:val="22"/>
              </w:rPr>
              <w:t xml:space="preserve">SLA contractual respaldado por el vendor, con penalizaciones formales ante incumplimiento.</w:t>
            </w:r>
          </w:p>
          <w:p>
            <w:pPr>
              <w:pStyle w:val="ListParagraph"/>
              <w:numPr>
                <w:ilvl w:val="0"/>
                <w:numId w:val="2"/>
              </w:numPr>
              <w:spacing w:after="40" w:before="40" w:line="280"/>
            </w:pPr>
            <w:r>
              <w:rPr>
                <w:rFonts w:ascii="Arial" w:cs="Arial" w:eastAsia="Arial" w:hAnsi="Arial"/>
                <w:color w:val="201F1E"/>
                <w:sz w:val="22"/>
                <w:szCs w:val="22"/>
              </w:rPr>
              <w:t xml:space="preserve">Soporte enterprise 24/7 incluido en el contrato base — no como add-on de adquisición independiente.</w:t>
            </w:r>
          </w:p>
          <w:p>
            <w:pPr>
              <w:pStyle w:val="ListParagraph"/>
              <w:numPr>
                <w:ilvl w:val="0"/>
                <w:numId w:val="2"/>
              </w:numPr>
              <w:spacing w:after="40" w:before="40" w:line="280"/>
            </w:pPr>
            <w:r>
              <w:rPr>
                <w:rFonts w:ascii="Arial" w:cs="Arial" w:eastAsia="Arial" w:hAnsi="Arial"/>
                <w:color w:val="201F1E"/>
                <w:sz w:val="22"/>
                <w:szCs w:val="22"/>
              </w:rPr>
              <w:t xml:space="preserve">Multi-tenancy nativo entre clientes internos, sin costo adicional por tenant ni configuración de infraestructura separada.</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3. Objetivos de la solución</w:t>
      </w:r>
    </w:p>
    <w:p>
      <w:pPr>
        <w:spacing w:after="60" w:before="60" w:line="300"/>
        <w:jc w:val="left"/>
      </w:pPr>
      <w:r>
        <w:rPr>
          <w:rFonts w:ascii="Arial" w:cs="Arial" w:eastAsia="Arial" w:hAnsi="Arial"/>
          <w:color w:val="201F1E"/>
          <w:sz w:val="22"/>
          <w:szCs w:val="22"/>
        </w:rPr>
        <w:t xml:space="preserve">Los objetivos se dividen en dos planos: los del negocio (qué problema resolvemos para C3ntro) y los técnicos (qué construimos concretamente).</w:t>
      </w:r>
    </w:p>
    <w:p>
      <w:pPr>
        <w:pStyle w:val="Heading2"/>
        <w:spacing w:after="160" w:before="280"/>
      </w:pPr>
      <w:r>
        <w:rPr>
          <w:rFonts w:ascii="Arial" w:cs="Arial" w:eastAsia="Arial" w:hAnsi="Arial"/>
          <w:b/>
          <w:bCs/>
          <w:color w:val="0078D4"/>
          <w:sz w:val="28"/>
          <w:szCs w:val="28"/>
        </w:rPr>
        <w:t xml:space="preserve">3.1 Objetivos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t>
            </w:r>
          </w:p>
        </w:tc>
        <w:tc>
          <w:tcPr>
            <w:tcW w:type="dxa" w:w="37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Objetivo</w:t>
            </w:r>
          </w:p>
        </w:tc>
        <w:tc>
          <w:tcPr>
            <w:tcW w:type="dxa" w:w="5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Resultado esperado</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ON-1</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Habilitar al Área de Integración y Consultoría con una plataforma productiva en menos de 16 semanas.</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 operando sobre APIM en ambiente productivo dentro del calendario comprometido.</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ON-2</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Permitir el modelo de cobro interno basado en consumo real.</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Reporte mensual exportable con consumo por cliente, producto y suscripción, listo para facturación interna.</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ON-3</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Reducir el riesgo operativo del área sin contratar equipo propio de infraestructura.</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Cero tickets dirigidos al equipo de infraestructura corporativa de C3ntro como parte de la operación de la plataforma.</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ON-4</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Crear la base para incorporar Contact Center y otros productos sin rediseño.</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Plantilla de workspace replicable y procedimiento documentado para alta de nuevos tenants en menos de 5 días hábiles.</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ON-5</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Separar formalmente el soporte de la plataforma del soporte del producto CPaaS.</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Procedimiento de escalamiento independiente y documentado; reducción del ruido cruzado entre canales.</w:t>
            </w:r>
          </w:p>
        </w:tc>
      </w:tr>
    </w:tbl>
    <w:p>
      <w:pPr>
        <w:pStyle w:val="Heading2"/>
        <w:spacing w:after="160" w:before="280"/>
      </w:pPr>
      <w:r>
        <w:rPr>
          <w:rFonts w:ascii="Arial" w:cs="Arial" w:eastAsia="Arial" w:hAnsi="Arial"/>
          <w:b/>
          <w:bCs/>
          <w:color w:val="0078D4"/>
          <w:sz w:val="28"/>
          <w:szCs w:val="28"/>
        </w:rPr>
        <w:t xml:space="preserve">3.2 Objetivos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t>
            </w:r>
          </w:p>
        </w:tc>
        <w:tc>
          <w:tcPr>
            <w:tcW w:type="dxa" w:w="37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Objetivo técnico</w:t>
            </w:r>
          </w:p>
        </w:tc>
        <w:tc>
          <w:tcPr>
            <w:tcW w:type="dxa" w:w="5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Métrica / criterio de aceptación</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OT-1</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Disponibilidad de 99.99% mensual del gateway de APIs.</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SLA contractual de Microsoft cumplido sin créditos por degradación durante 3 meses consecutivos posteriores al go-live.</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OT-2</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Versionado formal con separación entre revisiones y versiones.</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Capacidad demostrada de mantener v1 y v2 de una API activas simultáneamente, con deprecación programada de v1 sin impacto a consumidores activos.</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OT-3</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OAuth 2.0, JWT y API Keys soportados de forma nativa con integración al proveedor de identidad corporativo.</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Federación con Microsoft Entra ID (o equivalente) funcionando; validación JWT en políticas APIM operando en producción.</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OT-4</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Rate limiting configurable por suscripción, cliente y operación.</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 de rate limiting aplicada a SMS validando límites distintos por plan y por consumidor; pruebas de excedente registradas.</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OT-5</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Registro inmutable de transacciones con resultado, latencia y consumidor.</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Exportación a Event Hubs y/o Log Analytics con campos requeridos para auditoría; retención mínima de 90 días.</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OT-6</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Portal de desarrolladores con autoservicio.</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Portal publicado con documentación de APIs, solicitud de acceso, gestión de credenciales y consola de pruebas en vivo.</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OT-7</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Gestión de productos y suscripciones con condiciones diferenciadas.</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Al menos dos productos activos (ejemplo: SMS-Estándar, SMS-Premium) con planes y límites distintos.</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OT-8</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Circuit breaker y reintentos hacia backends.</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 de retry con backoff y circuit breaker validada contra backend SMS en escenarios controlados de fallo.</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OT-9</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Transformación de payload y headers.</w:t>
            </w:r>
          </w:p>
        </w:tc>
        <w:tc>
          <w:tcPr>
            <w:tcW w:type="dxa" w:w="5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Al menos una API con transformación demostrada (reescritura de URL, modificación de headers o normalización de payload).</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OT-10</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Multi-tenancy operativo desde el día 1.</w:t>
            </w:r>
          </w:p>
        </w:tc>
        <w:tc>
          <w:tcPr>
            <w:tcW w:type="dxa" w:w="5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 SMS funcional + Workspace template listo y documentado para Contact Center.</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4. Mapeo de necesidades → capacidades de Azure API Management</w:t>
      </w:r>
    </w:p>
    <w:p>
      <w:pPr>
        <w:spacing w:after="60" w:before="60" w:line="300"/>
        <w:jc w:val="left"/>
      </w:pPr>
      <w:r>
        <w:rPr>
          <w:rFonts w:ascii="Arial" w:cs="Arial" w:eastAsia="Arial" w:hAnsi="Arial"/>
          <w:color w:val="201F1E"/>
          <w:sz w:val="22"/>
          <w:szCs w:val="22"/>
        </w:rPr>
        <w:t xml:space="preserve">La siguiente tabla muestra, requerimiento por requerimiento del Mapa de Necesidades (sección 3 del documento original), cómo APIM lo cubre. La columna "Cómo se implementa" indica el mecanismo nativo del producto que se utilizará.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2000"/>
        <w:gridCol w:w="3560"/>
      </w:tblGrid>
      <w:tr>
        <w:trPr>
          <w:tblHeader/>
        </w:trPr>
        <w:tc>
          <w:tcPr>
            <w:tcW w:type="dxa" w:w="2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Requerimiento C3ntro</w:t>
            </w:r>
          </w:p>
        </w:tc>
        <w:tc>
          <w:tcPr>
            <w:tcW w:type="dxa" w:w="1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Prioridad</w:t>
            </w:r>
          </w:p>
        </w:tc>
        <w:tc>
          <w:tcPr>
            <w:tcW w:type="dxa" w:w="2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Capacidad APIM</w:t>
            </w:r>
          </w:p>
        </w:tc>
        <w:tc>
          <w:tcPr>
            <w:tcW w:type="dxa" w:w="35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Cómo se implementa</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Versionado y revisiones — separación entre cambios no disruptivos y breaking changes; deprecación controlada.</w:t>
            </w:r>
          </w:p>
        </w:tc>
        <w:tc>
          <w:tcPr>
            <w:tcW w:type="dxa" w:w="11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Versions &amp; Revisions</w:t>
            </w:r>
          </w:p>
        </w:tc>
        <w:tc>
          <w:tcPr>
            <w:tcW w:type="dxa" w:w="3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APIM permite mantener múltiples versiones (por path, header o query) y revisiones (cambios no disruptivos) coexistiendo. La deprecación se gestiona vía estado y comunicaciones del portal sin afectar consumidores activos.</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Autenticación y control de acceso — OAuth 2.0, JWT, API Keys; RBAC granular; integración con IdP corporativo.</w:t>
            </w:r>
          </w:p>
        </w:tc>
        <w:tc>
          <w:tcPr>
            <w:tcW w:type="dxa" w:w="11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Políticas de validación + Entra ID + RBAC</w:t>
            </w:r>
          </w:p>
        </w:tc>
        <w:tc>
          <w:tcPr>
            <w:tcW w:type="dxa" w:w="3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Políticas validate-jwt y validate-azure-ad-token para OAuth/JWT. Subscription keys para API Key. RBAC granular vía Azure RBAC sobre el plano de gestión y vía scopes/claims sobre el plano de datos. Federación con Entra ID corporativo o IdP externo (OIDC/SAML).</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Rate limiting — por suscripción, cliente, operación; ventanas configurables.</w:t>
            </w:r>
          </w:p>
        </w:tc>
        <w:tc>
          <w:tcPr>
            <w:tcW w:type="dxa" w:w="11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Políticas rate-limit y quota</w:t>
            </w:r>
          </w:p>
        </w:tc>
        <w:tc>
          <w:tcPr>
            <w:tcW w:type="dxa" w:w="3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rate-limit-by-key (ventanas cortas, por suscripción/IP/claim), quota-by-key (volúmenes mensuales por suscripción/producto). Ventanas y contadores configurables; respuesta 429 con headers de Retry-After.</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Analytics y trazabilidad — registro inmutable por transacción; dashboards exportables.</w:t>
            </w:r>
          </w:p>
        </w:tc>
        <w:tc>
          <w:tcPr>
            <w:tcW w:type="dxa" w:w="11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Application Insights + Log Analytics + Event Hubs</w:t>
            </w:r>
          </w:p>
        </w:tc>
        <w:tc>
          <w:tcPr>
            <w:tcW w:type="dxa" w:w="3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Diagnóstico nativo a Application Insights (telemetría detallada por request) y a Log Analytics Workspace (KQL para consultas). Política log-to-eventhub para exportar a un canal inmutable consumible por sistemas de facturación. Retención configurable por componente.</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Portal de desarrolladores — autoservicio para documentación, acceso, credenciales y pruebas en vivo.</w:t>
            </w:r>
          </w:p>
        </w:tc>
        <w:tc>
          <w:tcPr>
            <w:tcW w:type="dxa" w:w="11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Developer Portal</w:t>
            </w:r>
          </w:p>
        </w:tc>
        <w:tc>
          <w:tcPr>
            <w:tcW w:type="dxa" w:w="3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Portal personalizable (managed o self-hosted) con catálogo de APIs, registro/login federado, solicitud de suscripción a productos, gestión de claves, consola de pruebas interactiva. Branding personalizable a identidad C3ntro.</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Gestión de planes y suscripciones — productos con condiciones diferenciadas por cliente.</w:t>
            </w:r>
          </w:p>
        </w:tc>
        <w:tc>
          <w:tcPr>
            <w:tcW w:type="dxa" w:w="11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Products + Subscriptions</w:t>
            </w:r>
          </w:p>
        </w:tc>
        <w:tc>
          <w:tcPr>
            <w:tcW w:type="dxa" w:w="3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Productos agrupan APIs con políticas y planes diferenciados (Estándar/Premium/Internal). Suscripciones generan claves y permiten límites por consumidor. Aprobación manual o automática.</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Circuit breaker y reintentos — detección de backend degradado, retry con backoff.</w:t>
            </w:r>
          </w:p>
        </w:tc>
        <w:tc>
          <w:tcPr>
            <w:tcW w:type="dxa" w:w="11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circuit-breaker + retry policy</w:t>
            </w:r>
          </w:p>
        </w:tc>
        <w:tc>
          <w:tcPr>
            <w:tcW w:type="dxa" w:w="3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Configuración de circuit breaker en la definición de Backend (umbral de fallos, ventana, duración de apertura). Política retry con backoff exponencial y condiciones (códigos de estado / excepciones) configurables.</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Transformación de tráfico — headers, URL rewrite, transformaciones de payload.</w:t>
            </w:r>
          </w:p>
        </w:tc>
        <w:tc>
          <w:tcPr>
            <w:tcW w:type="dxa" w:w="11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Políticas set-header, rewrite-uri, set-body, JSON/XML transformations</w:t>
            </w:r>
          </w:p>
        </w:tc>
        <w:tc>
          <w:tcPr>
            <w:tcW w:type="dxa" w:w="3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Catálogo amplio de políticas de transformación, incluyendo conversiones JSON↔XML, manipulación de headers, reescritura de URI, set-body con plantillas Liquid, y políticas custom en C# para casos avanzados.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12"/>
              <w:left w:val="single" w:color="107C10" w:sz="12"/>
              <w:bottom w:val="single" w:color="107C10" w:sz="4"/>
              <w:right w:val="single" w:color="107C10" w:sz="4"/>
            </w:tcBorders>
            <w:shd w:fill="DFF6DD" w:val="clear"/>
            <w:tcMar>
              <w:top w:type="dxa" w:w="180"/>
              <w:left w:type="dxa" w:w="220"/>
              <w:bottom w:type="dxa" w:w="180"/>
              <w:right w:type="dxa" w:w="220"/>
            </w:tcMar>
          </w:tcPr>
          <w:p>
            <w:pPr>
              <w:spacing w:after="100" w:before="0" w:line="280"/>
            </w:pPr>
            <w:r>
              <w:rPr>
                <w:rFonts w:ascii="Arial" w:cs="Arial" w:eastAsia="Arial" w:hAnsi="Arial"/>
                <w:b/>
                <w:bCs/>
                <w:color w:val="107C10"/>
                <w:sz w:val="22"/>
                <w:szCs w:val="22"/>
              </w:rPr>
              <w:t xml:space="preserve">Cobertura total del Mapa de Necesidades</w:t>
            </w:r>
          </w:p>
          <w:p>
            <w:pPr>
              <w:spacing w:after="60" w:before="60" w:line="300"/>
              <w:jc w:val="left"/>
            </w:pPr>
            <w:r>
              <w:rPr>
                <w:rFonts w:ascii="Arial" w:cs="Arial" w:eastAsia="Arial" w:hAnsi="Arial"/>
                <w:b w:val="false"/>
                <w:bCs w:val="false"/>
                <w:color w:val="201F1E"/>
                <w:sz w:val="22"/>
                <w:szCs w:val="22"/>
              </w:rPr>
              <w:t xml:space="preserve">Los 4 requerimientos CRÍTICOS están cubiertos por capacidades nativas y maduras del producto. Los 3 ALTO y 1 MEDIO igualmente. No se identifican gaps que requieran herramienta externa adicional dentro del alcance contemplado.</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5. Cumplimiento de restricciones no negociables</w:t>
      </w:r>
    </w:p>
    <w:p>
      <w:pPr>
        <w:spacing w:after="60" w:before="60" w:line="300"/>
        <w:jc w:val="left"/>
      </w:pPr>
      <w:r>
        <w:rPr>
          <w:rFonts w:ascii="Arial" w:cs="Arial" w:eastAsia="Arial" w:hAnsi="Arial"/>
          <w:color w:val="201F1E"/>
          <w:sz w:val="22"/>
          <w:szCs w:val="22"/>
        </w:rPr>
        <w:t xml:space="preserve">El Mapa de Necesidades enumera cuatro restricciones eliminatorias. A continuación se detalla cómo la solución propuesta cumple cada una, con evidencia técnica y contractual.</w:t>
      </w:r>
    </w:p>
    <w:p>
      <w:pPr>
        <w:pStyle w:val="Heading2"/>
        <w:spacing w:after="160" w:before="280"/>
      </w:pPr>
      <w:r>
        <w:rPr>
          <w:rFonts w:ascii="Arial" w:cs="Arial" w:eastAsia="Arial" w:hAnsi="Arial"/>
          <w:b/>
          <w:bCs/>
          <w:color w:val="0078D4"/>
          <w:sz w:val="28"/>
          <w:szCs w:val="28"/>
        </w:rPr>
        <w:t xml:space="preserve">5.1 SaaS puro — sin infraestructura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12"/>
              <w:left w:val="single" w:color="107C10" w:sz="12"/>
              <w:bottom w:val="single" w:color="107C10" w:sz="4"/>
              <w:right w:val="single" w:color="107C10" w:sz="4"/>
            </w:tcBorders>
            <w:shd w:fill="DFF6DD" w:val="clear"/>
            <w:tcMar>
              <w:top w:type="dxa" w:w="180"/>
              <w:left w:type="dxa" w:w="220"/>
              <w:bottom w:type="dxa" w:w="180"/>
              <w:right w:type="dxa" w:w="220"/>
            </w:tcMar>
          </w:tcPr>
          <w:p>
            <w:pPr>
              <w:spacing w:after="100" w:before="0" w:line="280"/>
            </w:pPr>
            <w:r>
              <w:rPr>
                <w:rFonts w:ascii="Arial" w:cs="Arial" w:eastAsia="Arial" w:hAnsi="Arial"/>
                <w:b/>
                <w:bCs/>
                <w:color w:val="107C10"/>
                <w:sz w:val="22"/>
                <w:szCs w:val="22"/>
              </w:rPr>
              <w:t xml:space="preserve">Cumplimiento — sí</w:t>
            </w:r>
          </w:p>
          <w:p>
            <w:pPr>
              <w:spacing w:after="60" w:before="60" w:line="300"/>
              <w:jc w:val="left"/>
            </w:pPr>
            <w:r>
              <w:rPr>
                <w:rFonts w:ascii="Arial" w:cs="Arial" w:eastAsia="Arial" w:hAnsi="Arial"/>
                <w:b w:val="false"/>
                <w:bCs w:val="false"/>
                <w:color w:val="201F1E"/>
                <w:sz w:val="22"/>
                <w:szCs w:val="22"/>
              </w:rPr>
              <w:t xml:space="preserve">Azure API Management es un servicio PaaS/SaaS administrado por Microsoft. Tanto el plano de control (configuración, portal de gestión, métricas) como el plano de datos (gateway de procesamiento de tráfico) corren en infraestructura de Microsoft. C3ntro no opera VMs, no parchea sistemas operativos, no gestiona load balancers, no monitorea infraestructura subyacente. La criterio de validación del Mapa de Necesidades — "si el área necesita abrir un ticket con infraestructura corporativa para desplegar o mantener cualquier componente, no cumple" — se satisface plenamente.</w:t>
            </w:r>
          </w:p>
          <w:p>
            <w:pPr>
              <w:pStyle w:val="ListParagraph"/>
              <w:numPr>
                <w:ilvl w:val="0"/>
                <w:numId w:val="2"/>
              </w:numPr>
              <w:spacing w:after="40" w:before="40" w:line="280"/>
            </w:pPr>
            <w:r>
              <w:rPr>
                <w:rFonts w:ascii="Arial" w:cs="Arial" w:eastAsia="Arial" w:hAnsi="Arial"/>
                <w:b/>
                <w:bCs/>
                <w:color w:val="0078D4"/>
                <w:sz w:val="22"/>
                <w:szCs w:val="22"/>
              </w:rPr>
              <w:t xml:space="preserve">Nota. </w:t>
            </w:r>
            <w:r>
              <w:rPr>
                <w:rFonts w:ascii="Arial" w:cs="Arial" w:eastAsia="Arial" w:hAnsi="Arial"/>
                <w:color w:val="201F1E"/>
                <w:sz w:val="22"/>
                <w:szCs w:val="22"/>
              </w:rPr>
              <w:t xml:space="preserve">No hay self-hosted gateways en el diseño (existen como opción del producto, pero no se utilizan en esta propuesta).</w:t>
            </w:r>
          </w:p>
        </w:tc>
      </w:tr>
    </w:tbl>
    <w:p>
      <w:pPr>
        <w:pStyle w:val="Heading2"/>
        <w:spacing w:after="160" w:before="280"/>
      </w:pPr>
      <w:r>
        <w:rPr>
          <w:rFonts w:ascii="Arial" w:cs="Arial" w:eastAsia="Arial" w:hAnsi="Arial"/>
          <w:b/>
          <w:bCs/>
          <w:color w:val="0078D4"/>
          <w:sz w:val="28"/>
          <w:szCs w:val="28"/>
        </w:rPr>
        <w:t xml:space="preserve">5.2 SLA contractual con penalizaciones</w:t>
      </w:r>
    </w:p>
    <w:p>
      <w:pPr>
        <w:spacing w:after="60" w:before="60" w:line="300"/>
        <w:jc w:val="left"/>
      </w:pPr>
      <w:r>
        <w:rPr>
          <w:rFonts w:ascii="Arial" w:cs="Arial" w:eastAsia="Arial" w:hAnsi="Arial"/>
          <w:color w:val="201F1E"/>
          <w:sz w:val="22"/>
          <w:szCs w:val="22"/>
        </w:rPr>
        <w:t xml:space="preserve">Microsoft publica un SLA formal para APIM con créditos de servicio escalonados: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Configuración de APIM Premium</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SLA mensual</w:t>
            </w:r>
          </w:p>
        </w:tc>
        <w:tc>
          <w:tcPr>
            <w:tcW w:type="dxa" w:w="31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Crédito de servicio (si se incumple)</w:t>
            </w:r>
          </w:p>
        </w:tc>
      </w:tr>
      <w:tr>
        <w:tc>
          <w:tcPr>
            <w:tcW w:type="dxa" w:w="4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Una unidad en una sola zona (no recomendada)</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99.95%</w:t>
            </w:r>
          </w:p>
        </w:tc>
        <w:tc>
          <w:tcPr>
            <w:tcW w:type="dxa" w:w="3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 25% según degradación</w:t>
            </w:r>
          </w:p>
        </w:tc>
      </w:tr>
      <w:tr>
        <w:tc>
          <w:tcPr>
            <w:tcW w:type="dxa" w:w="4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Múltiples unidades distribuidas en zonas de disponibilidad</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99.99%</w:t>
            </w:r>
          </w:p>
        </w:tc>
        <w:tc>
          <w:tcPr>
            <w:tcW w:type="dxa" w:w="3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 25% según degradación</w:t>
            </w:r>
          </w:p>
        </w:tc>
      </w:tr>
      <w:tr>
        <w:tc>
          <w:tcPr>
            <w:tcW w:type="dxa" w:w="4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Múltiples unidades distribuidas en dos o más regiones</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99.99%</w:t>
            </w:r>
          </w:p>
        </w:tc>
        <w:tc>
          <w:tcPr>
            <w:tcW w:type="dxa" w:w="3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 25% según degradación</w:t>
            </w:r>
          </w:p>
        </w:tc>
      </w:tr>
    </w:tbl>
    <w:p>
      <w:pPr>
        <w:spacing w:after="60" w:before="120" w:line="300"/>
        <w:jc w:val="left"/>
      </w:pPr>
      <w:r>
        <w:rPr>
          <w:rFonts w:ascii="Arial" w:cs="Arial" w:eastAsia="Arial" w:hAnsi="Arial"/>
          <w:color w:val="201F1E"/>
          <w:sz w:val="22"/>
          <w:szCs w:val="22"/>
        </w:rPr>
        <w:t xml:space="preserve">La propuesta plantea Premium con redundancia de zona, por lo que el SLA contractual aplicable es 99.99%, alineado con el requerimiento de C3ntro. Esto es un compromiso de Microsoft, formalizado en los Service Level Agreements de productos online, con penalizaciones documentadas.</w:t>
      </w:r>
    </w:p>
    <w:p>
      <w:pPr>
        <w:pStyle w:val="Heading2"/>
        <w:spacing w:after="160" w:before="280"/>
      </w:pPr>
      <w:r>
        <w:rPr>
          <w:rFonts w:ascii="Arial" w:cs="Arial" w:eastAsia="Arial" w:hAnsi="Arial"/>
          <w:b/>
          <w:bCs/>
          <w:color w:val="0078D4"/>
          <w:sz w:val="28"/>
          <w:szCs w:val="28"/>
        </w:rPr>
        <w:t xml:space="preserve">5.3 Soporte enterprise incluido</w:t>
      </w:r>
    </w:p>
    <w:p>
      <w:pPr>
        <w:spacing w:after="60" w:before="60" w:line="300"/>
        <w:jc w:val="left"/>
      </w:pPr>
      <w:r>
        <w:rPr>
          <w:rFonts w:ascii="Arial" w:cs="Arial" w:eastAsia="Arial" w:hAnsi="Arial"/>
          <w:color w:val="201F1E"/>
          <w:sz w:val="22"/>
          <w:szCs w:val="22"/>
        </w:rPr>
        <w:t xml:space="preserve">El soporte enterprise no se contrata como add-on por APIM individualmente: se contrata a nivel de tenant Azure, vía uno de los siguientes vehículos (cualquiera satisface el requerimiento de "incluido en el contrato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Vehículo de soporte</w:t>
            </w:r>
          </w:p>
        </w:tc>
        <w:tc>
          <w:tcPr>
            <w:tcW w:type="dxa" w:w="3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Cobertura</w:t>
            </w:r>
          </w:p>
        </w:tc>
        <w:tc>
          <w:tcPr>
            <w:tcW w:type="dxa" w:w="25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Recomendación</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Unified Support</w:t>
            </w:r>
          </w:p>
        </w:tc>
        <w:tc>
          <w:tcPr>
            <w:tcW w:type="dxa" w:w="3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24/7/365, P1 ≤ 1 hora, ingeniero designado, Service Delivery Manager.</w:t>
            </w:r>
          </w:p>
        </w:tc>
        <w:tc>
          <w:tcPr>
            <w:tcW w:type="dxa" w:w="2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Adecuado si C3ntro corporativo ya cuenta con Unified Support; se extiende sin costo adicional al área.</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Premier Support (legado)</w:t>
            </w:r>
          </w:p>
        </w:tc>
        <w:tc>
          <w:tcPr>
            <w:tcW w:type="dxa" w:w="3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Similar a Unified, contratos vigentes.</w:t>
            </w:r>
          </w:p>
        </w:tc>
        <w:tc>
          <w:tcPr>
            <w:tcW w:type="dxa" w:w="2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 ya está vigente, se aprovecha; si no, se prefiere Unified.</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 Direct / ProDirect</w:t>
            </w:r>
          </w:p>
        </w:tc>
        <w:tc>
          <w:tcPr>
            <w:tcW w:type="dxa" w:w="3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24/7 para P1, respuesta &lt; 1 hora, sin SDM dedicado.</w:t>
            </w:r>
          </w:p>
        </w:tc>
        <w:tc>
          <w:tcPr>
            <w:tcW w:type="dxa" w:w="2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Alternativa más económica si no se cuenta con Unified.</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Partner mexicano certificado + Microsoft</w:t>
            </w:r>
          </w:p>
        </w:tc>
        <w:tc>
          <w:tcPr>
            <w:tcW w:type="dxa" w:w="3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Partner local en español, escalamiento a Microsoft con SLA respaldado.</w:t>
            </w:r>
          </w:p>
        </w:tc>
        <w:tc>
          <w:tcPr>
            <w:tcW w:type="dxa" w:w="2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Recomendado para C3ntro: combina soporte local en español con la red global de Microsoft.</w:t>
            </w:r>
          </w:p>
        </w:tc>
      </w:tr>
    </w:tbl>
    <w:p>
      <w:pPr>
        <w:pStyle w:val="Heading2"/>
        <w:spacing w:after="160" w:before="280"/>
      </w:pPr>
      <w:r>
        <w:rPr>
          <w:rFonts w:ascii="Arial" w:cs="Arial" w:eastAsia="Arial" w:hAnsi="Arial"/>
          <w:b/>
          <w:bCs/>
          <w:color w:val="0078D4"/>
          <w:sz w:val="28"/>
          <w:szCs w:val="28"/>
        </w:rPr>
        <w:t xml:space="preserve">5.4 Multi-tenancy nativo</w:t>
      </w:r>
    </w:p>
    <w:p>
      <w:pPr>
        <w:spacing w:after="60" w:before="60" w:line="300"/>
        <w:jc w:val="left"/>
      </w:pPr>
      <w:r>
        <w:rPr>
          <w:rFonts w:ascii="Arial" w:cs="Arial" w:eastAsia="Arial" w:hAnsi="Arial"/>
          <w:color w:val="201F1E"/>
          <w:sz w:val="22"/>
          <w:szCs w:val="22"/>
        </w:rPr>
        <w:t xml:space="preserve">APIM Premium incluye Workspaces — una capacidad nativa que permite segmentar dentro de una sola instancia:</w:t>
      </w:r>
    </w:p>
    <w:p>
      <w:pPr>
        <w:pStyle w:val="ListParagraph"/>
        <w:numPr>
          <w:ilvl w:val="0"/>
          <w:numId w:val="2"/>
        </w:numPr>
        <w:spacing w:after="40" w:before="40" w:line="280"/>
      </w:pPr>
      <w:r>
        <w:rPr>
          <w:rFonts w:ascii="Arial" w:cs="Arial" w:eastAsia="Arial" w:hAnsi="Arial"/>
          <w:color w:val="201F1E"/>
          <w:sz w:val="22"/>
          <w:szCs w:val="22"/>
        </w:rPr>
        <w:t xml:space="preserve">APIs, productos, suscripciones, usuarios y políticas por workspace.</w:t>
      </w:r>
    </w:p>
    <w:p>
      <w:pPr>
        <w:pStyle w:val="ListParagraph"/>
        <w:numPr>
          <w:ilvl w:val="0"/>
          <w:numId w:val="2"/>
        </w:numPr>
        <w:spacing w:after="40" w:before="40" w:line="280"/>
      </w:pPr>
      <w:r>
        <w:rPr>
          <w:rFonts w:ascii="Arial" w:cs="Arial" w:eastAsia="Arial" w:hAnsi="Arial"/>
          <w:color w:val="201F1E"/>
          <w:sz w:val="22"/>
          <w:szCs w:val="22"/>
        </w:rPr>
        <w:t xml:space="preserve">RBAC independiente por workspace (cada equipo gestiona lo suyo, sin ver lo de otros).</w:t>
      </w:r>
    </w:p>
    <w:p>
      <w:pPr>
        <w:pStyle w:val="ListParagraph"/>
        <w:numPr>
          <w:ilvl w:val="0"/>
          <w:numId w:val="2"/>
        </w:numPr>
        <w:spacing w:after="40" w:before="40" w:line="280"/>
      </w:pPr>
      <w:r>
        <w:rPr>
          <w:rFonts w:ascii="Arial" w:cs="Arial" w:eastAsia="Arial" w:hAnsi="Arial"/>
          <w:color w:val="201F1E"/>
          <w:sz w:val="22"/>
          <w:szCs w:val="22"/>
        </w:rPr>
        <w:t xml:space="preserve">Analytics segmentadas por workspace.</w:t>
      </w:r>
    </w:p>
    <w:p>
      <w:pPr>
        <w:pStyle w:val="ListParagraph"/>
        <w:numPr>
          <w:ilvl w:val="0"/>
          <w:numId w:val="2"/>
        </w:numPr>
        <w:spacing w:after="40" w:before="40" w:line="280"/>
      </w:pPr>
      <w:r>
        <w:rPr>
          <w:rFonts w:ascii="Arial" w:cs="Arial" w:eastAsia="Arial" w:hAnsi="Arial"/>
          <w:color w:val="201F1E"/>
          <w:sz w:val="22"/>
          <w:szCs w:val="22"/>
        </w:rPr>
        <w:t xml:space="preserve">Sin costo adicional por workspace ni por tenant — el precio depende del número de unidades de cómputo, no del número de tenants servidos.</w:t>
      </w:r>
    </w:p>
    <w:p>
      <w:pPr>
        <w:spacing w:after="60" w:before="120" w:line="300"/>
        <w:jc w:val="left"/>
      </w:pPr>
      <w:r>
        <w:rPr>
          <w:rFonts w:ascii="Arial" w:cs="Arial" w:eastAsia="Arial" w:hAnsi="Arial"/>
          <w:color w:val="201F1E"/>
          <w:sz w:val="22"/>
          <w:szCs w:val="22"/>
        </w:rPr>
        <w:t xml:space="preserve">Esto cumple literalmente el requerimiento del Mapa de Necesidades de "segmentar completamente ambientes, políticas, analytics y credenciales de SMS y Contact Center como clientes separados dentro de la misma instancia contratada, sin costos adicionales por cliente".</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6. Arquitectura propuesta</w:t>
      </w:r>
    </w:p>
    <w:p>
      <w:pPr>
        <w:spacing w:after="60" w:before="60" w:line="300"/>
        <w:jc w:val="left"/>
      </w:pPr>
      <w:r>
        <w:rPr>
          <w:rFonts w:ascii="Arial" w:cs="Arial" w:eastAsia="Arial" w:hAnsi="Arial"/>
          <w:color w:val="201F1E"/>
          <w:sz w:val="22"/>
          <w:szCs w:val="22"/>
        </w:rPr>
        <w:t xml:space="preserve">La arquitectura busca minimizar la superficie operativa del Área (cero infraestructura propia), aprovechar todos los servicios PaaS que el caso de uso amerita, y dejar la plataforma preparada para crecer con nuevos clientes internos sin rediseño.</w:t>
      </w:r>
    </w:p>
    <w:p>
      <w:pPr>
        <w:pStyle w:val="Heading2"/>
        <w:spacing w:after="160" w:before="280"/>
      </w:pPr>
      <w:r>
        <w:rPr>
          <w:rFonts w:ascii="Arial" w:cs="Arial" w:eastAsia="Arial" w:hAnsi="Arial"/>
          <w:b/>
          <w:bCs/>
          <w:color w:val="0078D4"/>
          <w:sz w:val="28"/>
          <w:szCs w:val="28"/>
        </w:rPr>
        <w:t xml:space="preserve">6.1 Vista lógica de la solución</w:t>
      </w:r>
    </w:p>
    <w:p>
      <w:pPr>
        <w:spacing w:after="60" w:before="60" w:line="300"/>
        <w:jc w:val="left"/>
      </w:pPr>
      <w:r>
        <w:rPr>
          <w:rFonts w:ascii="Arial" w:cs="Arial" w:eastAsia="Arial" w:hAnsi="Arial"/>
          <w:color w:val="201F1E"/>
          <w:sz w:val="22"/>
          <w:szCs w:val="22"/>
        </w:rPr>
        <w:t xml:space="preserve">El diagrama lógico está organizado en cuatro capas:</w:t>
      </w:r>
    </w:p>
    <w:p>
      <w:pPr>
        <w:pStyle w:val="ListParagraph"/>
        <w:numPr>
          <w:ilvl w:val="0"/>
          <w:numId w:val="2"/>
        </w:numPr>
        <w:spacing w:after="40" w:before="40" w:line="280"/>
      </w:pPr>
      <w:r>
        <w:rPr>
          <w:rFonts w:ascii="Arial" w:cs="Arial" w:eastAsia="Arial" w:hAnsi="Arial"/>
          <w:b/>
          <w:bCs/>
          <w:color w:val="0078D4"/>
          <w:sz w:val="22"/>
          <w:szCs w:val="22"/>
        </w:rPr>
        <w:t xml:space="preserve">Capa de consumo. </w:t>
      </w:r>
      <w:r>
        <w:rPr>
          <w:rFonts w:ascii="Arial" w:cs="Arial" w:eastAsia="Arial" w:hAnsi="Arial"/>
          <w:color w:val="201F1E"/>
          <w:sz w:val="22"/>
          <w:szCs w:val="22"/>
        </w:rPr>
        <w:t xml:space="preserve">Consumidores de APIs (internos del producto SMS, Contact Center; eventualmente terceros).</w:t>
      </w:r>
    </w:p>
    <w:p>
      <w:pPr>
        <w:pStyle w:val="ListParagraph"/>
        <w:numPr>
          <w:ilvl w:val="0"/>
          <w:numId w:val="2"/>
        </w:numPr>
        <w:spacing w:after="40" w:before="40" w:line="280"/>
      </w:pPr>
      <w:r>
        <w:rPr>
          <w:rFonts w:ascii="Arial" w:cs="Arial" w:eastAsia="Arial" w:hAnsi="Arial"/>
          <w:b/>
          <w:bCs/>
          <w:color w:val="0078D4"/>
          <w:sz w:val="22"/>
          <w:szCs w:val="22"/>
        </w:rPr>
        <w:t xml:space="preserve">Capa de gateway. </w:t>
      </w:r>
      <w:r>
        <w:rPr>
          <w:rFonts w:ascii="Arial" w:cs="Arial" w:eastAsia="Arial" w:hAnsi="Arial"/>
          <w:color w:val="201F1E"/>
          <w:sz w:val="22"/>
          <w:szCs w:val="22"/>
        </w:rPr>
        <w:t xml:space="preserve">Azure API Management Premium, expuesto via custom domain HTTPS. Aquí ocurren autenticación, rate limiting, observabilidad, transformación, retry y circuit breaker.</w:t>
      </w:r>
    </w:p>
    <w:p>
      <w:pPr>
        <w:pStyle w:val="ListParagraph"/>
        <w:numPr>
          <w:ilvl w:val="0"/>
          <w:numId w:val="2"/>
        </w:numPr>
        <w:spacing w:after="40" w:before="40" w:line="280"/>
      </w:pPr>
      <w:r>
        <w:rPr>
          <w:rFonts w:ascii="Arial" w:cs="Arial" w:eastAsia="Arial" w:hAnsi="Arial"/>
          <w:b/>
          <w:bCs/>
          <w:color w:val="0078D4"/>
          <w:sz w:val="22"/>
          <w:szCs w:val="22"/>
        </w:rPr>
        <w:t xml:space="preserve">Capa de servicios transversales. </w:t>
      </w:r>
      <w:r>
        <w:rPr>
          <w:rFonts w:ascii="Arial" w:cs="Arial" w:eastAsia="Arial" w:hAnsi="Arial"/>
          <w:color w:val="201F1E"/>
          <w:sz w:val="22"/>
          <w:szCs w:val="22"/>
        </w:rPr>
        <w:t xml:space="preserve">Microsoft Entra ID (identidad), Application Insights (telemetría), Log Analytics (búsqueda y alertas), Event Hubs (canal de eventos), Key Vault (secretos y certificados).</w:t>
      </w:r>
    </w:p>
    <w:p>
      <w:pPr>
        <w:pStyle w:val="ListParagraph"/>
        <w:numPr>
          <w:ilvl w:val="0"/>
          <w:numId w:val="2"/>
        </w:numPr>
        <w:spacing w:after="40" w:before="40" w:line="280"/>
      </w:pPr>
      <w:r>
        <w:rPr>
          <w:rFonts w:ascii="Arial" w:cs="Arial" w:eastAsia="Arial" w:hAnsi="Arial"/>
          <w:b/>
          <w:bCs/>
          <w:color w:val="0078D4"/>
          <w:sz w:val="22"/>
          <w:szCs w:val="22"/>
        </w:rPr>
        <w:t xml:space="preserve">Capa de backends. </w:t>
      </w:r>
      <w:r>
        <w:rPr>
          <w:rFonts w:ascii="Arial" w:cs="Arial" w:eastAsia="Arial" w:hAnsi="Arial"/>
          <w:color w:val="201F1E"/>
          <w:sz w:val="22"/>
          <w:szCs w:val="22"/>
        </w:rPr>
        <w:t xml:space="preserve">Backends actuales de SMS y, en el futuro, Contact Center y otros productos. Estos backends pueden estar en infraestructura existente de C3ntro o en SaaS; APIM se conecta vía HTTPS público o privado según necesidad.</w:t>
      </w:r>
    </w:p>
    <w:p>
      <w:pPr>
        <w:spacing w:after="180" w:before="0"/>
      </w:pPr>
      <w:r>
        <w:t xml:space="preserve"/>
      </w:r>
    </w:p>
    <w:p>
      <w:pPr>
        <w:pStyle w:val="Heading3"/>
        <w:spacing w:after="120" w:before="200"/>
      </w:pPr>
      <w:r>
        <w:rPr>
          <w:rFonts w:ascii="Arial" w:cs="Arial" w:eastAsia="Arial" w:hAnsi="Arial"/>
          <w:b/>
          <w:bCs/>
          <w:color w:val="002050"/>
          <w:sz w:val="24"/>
          <w:szCs w:val="24"/>
        </w:rPr>
        <w:t xml:space="preserve">Diagrama lógico (descripción textual)</w:t>
      </w:r>
    </w:p>
    <w:p>
      <w:pPr>
        <w:spacing w:after="60" w:before="60" w:line="300"/>
        <w:jc w:val="left"/>
      </w:pPr>
      <w:r>
        <w:rPr>
          <w:rFonts w:ascii="Arial" w:cs="Arial" w:eastAsia="Arial" w:hAnsi="Arial"/>
          <w:i/>
          <w:iCs/>
          <w:color w:val="605E5C"/>
          <w:sz w:val="22"/>
          <w:szCs w:val="22"/>
        </w:rPr>
        <w:t xml:space="preserve">La sección 6.2 contiene un ASCII-diagram descriptivo. Una versión vectorial editable (Visio/draw.io) se entrega como anexo separado al inicio del proyecto.</w:t>
      </w:r>
    </w:p>
    <w:p>
      <w:pPr>
        <w:pStyle w:val="Heading2"/>
        <w:spacing w:after="160" w:before="280"/>
      </w:pPr>
      <w:r>
        <w:rPr>
          <w:rFonts w:ascii="Arial" w:cs="Arial" w:eastAsia="Arial" w:hAnsi="Arial"/>
          <w:b/>
          <w:bCs/>
          <w:color w:val="0078D4"/>
          <w:sz w:val="28"/>
          <w:szCs w:val="28"/>
        </w:rPr>
        <w:t xml:space="preserve">6.2 Diagrama lógico</w:t>
      </w:r>
    </w:p>
    <w:p>
      <w:pPr>
        <w:shd w:fill="F3F2F1" w:val="clear"/>
        <w:spacing w:after="120" w:before="120"/>
      </w:pPr>
      <w:r>
        <w:rPr>
          <w:rFonts w:ascii="Consolas" w:cs="Consolas" w:eastAsia="Consolas" w:hAnsi="Consolas"/>
          <w:color w:val="201F1E"/>
          <w:sz w:val="16"/>
          <w:szCs w:val="16"/>
        </w:rPr>
        <w:t xml:space="preserve">  ┌──────────────────────────────────────────────────────────────────┐
  │                  CONSUMIDORES DE APIs                            │
  │   Apps SMS  ·  Apps Contact Center  ·  Partners autorizados      │
  └─────────────────────────────┬────────────────────────────────────┘
                                │  HTTPS / OAuth 2.0 / JWT / API Key
                                ▼
  ┌──────────────────────────────────────────────────────────────────┐
  │            AZURE API MANAGEMENT PREMIUM (Mexico Central)         │
  │           Redundancia de zona — SLA 99.99% — Custom domain       │
  │                                                                  │
  │   ┌──────────────┐  ┌────────────────┐  ┌──────────────────┐    │
  │   │  Workspace   │  │   Workspace    │  │   Workspace      │    │
  │   │     SMS      │  │ Contact Center │  │   &lt;futuros&gt;      │    │
  │   │  (activo)    │  │   (pipeline)   │  │   (expansión)    │    │
  │   └──────────────┘  └────────────────┘  └──────────────────┘    │
  │                                                                  │
  │   Políticas: validate-jwt · rate-limit · quota · retry           │
  │             circuit-breaker · set-header · log-to-eventhub       │
  │             cors · ip-filter · transform                         │
  │                                                                  │
  │   Developer Portal (branded) — Productos / Suscripciones         │
  └────┬───────────────────┬───────────────────┬─────────────────────┘
       │                   │                   │
       │ Identity          │ Telemetry         │ Audit stream
       ▼                   ▼                   ▼
  ┌──────────┐    ┌─────────────────┐   ┌──────────────────┐
  │ Entra ID │    │  App Insights   │   │   Event Hubs     │
  │  + RBAC  │    │  + Log Analytics│   │  (facturación,   │
  │          │    │   (KQL, alertas)│   │   auditoría)     │
  └──────────┘    └─────────────────┘   └──────────────────┘
                            │
                            ▼
                  ┌─────────────────┐
                  │   Key Vault     │
                  │  (secrets, TLS) │
                  └─────────────────┘
       │
       │ Backend HTTPS (público o private endpoint)
       ▼
  ┌────────────────────────────────────────────────────────┐
  │     BACKENDS — SMS · Contact Center · otros productos  │
  └────────────────────────────────────────────────────────┘</w:t>
      </w:r>
    </w:p>
    <w:p>
      <w:pPr>
        <w:pStyle w:val="Heading2"/>
        <w:spacing w:after="160" w:before="280"/>
      </w:pPr>
      <w:r>
        <w:rPr>
          <w:rFonts w:ascii="Arial" w:cs="Arial" w:eastAsia="Arial" w:hAnsi="Arial"/>
          <w:b/>
          <w:bCs/>
          <w:color w:val="0078D4"/>
          <w:sz w:val="28"/>
          <w:szCs w:val="28"/>
        </w:rPr>
        <w:t xml:space="preserve">6.3 Decisiones de diseño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Decisión</w:t>
            </w:r>
          </w:p>
        </w:tc>
        <w:tc>
          <w:tcPr>
            <w:tcW w:type="dxa" w:w="63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Justificación</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classic (con zone redundancy) en lugar de Premium v2</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classic admite multi-región y workspace gateways maduros; Premium v2 todavía no soporta multi-región (a junio 2026). Se reserva la migración a Premium v2 para cuando alcance paridad completa y esté disponible en México.</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Región primaria Mexico Central</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Cumple con residencia de datos local, latencia óptima para operación mexicana y permite soporte en español del Account Team Microsoft México.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Redundancia de zona en lugar de multi-región (fase 1)</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La redundancia de zona ya entrega SLA 99.99% y es operativamente más simple. Multi-región se considera fase 2 si SMS exige RPO/RTO geográficos.</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Workspaces para multi-tenancy en lugar de instancias separadas</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Una sola instancia con workspaces reduce costo significativamente (no se duplican unidades) y simplifica operación. Cumple con la restricción de "sin costos adicionales por cliente".</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Event Hubs para stream de auditoría/facturación</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Permite consumir el flujo desde sistemas internos de facturación o BI sin acoplarlos al schema de Log Analytics. Inmutable, escalable, retención configurable.</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Application Insights + Log Analytics por separado</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Application Insights para telemetría de aplicación (APM); Log Analytics como repositorio centralizado con KQL para alertas y dashboards. Modelo estándar Azure.</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Key Vault para secretos y certificados</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Toda credencial sensible (claves de backend, certificados de custom domain) vive en Key Vault, referenciada desde APIM via named values con expresiones de rotación.</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Custom domain bajo subdominio C3ntro</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Ejemplo: api.c3ntro.com. Certificado público o gestionado por Azure. El dominio azure-api.net no se expone al exterior.</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7. Componentes técnicos detallados</w:t>
      </w:r>
    </w:p>
    <w:p>
      <w:pPr>
        <w:spacing w:after="60" w:before="60" w:line="300"/>
        <w:jc w:val="left"/>
      </w:pPr>
      <w:r>
        <w:rPr>
          <w:rFonts w:ascii="Arial" w:cs="Arial" w:eastAsia="Arial" w:hAnsi="Arial"/>
          <w:color w:val="201F1E"/>
          <w:sz w:val="22"/>
          <w:szCs w:val="22"/>
        </w:rPr>
        <w:t xml:space="preserve">Cada componente del diseño se describe a continuación con su propósito, configuración inicial y rationale.</w:t>
      </w:r>
    </w:p>
    <w:p>
      <w:pPr>
        <w:pStyle w:val="Heading2"/>
        <w:spacing w:after="160" w:before="280"/>
      </w:pPr>
      <w:r>
        <w:rPr>
          <w:rFonts w:ascii="Arial" w:cs="Arial" w:eastAsia="Arial" w:hAnsi="Arial"/>
          <w:b/>
          <w:bCs/>
          <w:color w:val="0078D4"/>
          <w:sz w:val="28"/>
          <w:szCs w:val="28"/>
        </w:rPr>
        <w:t xml:space="preserve">7.1 Azure API Management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Atributo</w:t>
            </w:r>
          </w:p>
        </w:tc>
        <w:tc>
          <w:tcPr>
            <w:tcW w:type="dxa" w:w="63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Valor propuesto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SKU</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(classic)</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Unidades iniciales</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 unidades distribuidas en zonas de disponibilidad</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Región primaria</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Mexico Central</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Región secundaria (opcional, fase 2)</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Mexico Central + East US 2 (multi-región — solo si se requiere DR geográfico)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Custom domain gateway</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api.&lt;dominio-c3ntro&gt;.com</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Custom domain developer portal</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developer.&lt;dominio-c3ntro&gt;.com</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Certificado TLS</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Azure-managed certificate o certificado propio almacenado en Key Vault</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Modo de red</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Public (con allow-list IP si los backends requieren) o External VNet (si los backends exigen acceso privado)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Cache integrado</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 GB por región (Premium classic)</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Throughput estimado por unidad</w:t>
            </w:r>
          </w:p>
        </w:tc>
        <w:tc>
          <w:tcPr>
            <w:tcW w:type="dxa" w:w="6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~4,000 req/s (depende de tamaño de request y políticas aplicadas)</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SLA aplicable</w:t>
            </w:r>
          </w:p>
        </w:tc>
        <w:tc>
          <w:tcPr>
            <w:tcW w:type="dxa" w:w="6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99.99% con zone redundancy</w:t>
            </w:r>
          </w:p>
        </w:tc>
      </w:tr>
    </w:tbl>
    <w:p>
      <w:pPr>
        <w:pStyle w:val="Heading2"/>
        <w:spacing w:after="160" w:before="280"/>
      </w:pPr>
      <w:r>
        <w:rPr>
          <w:rFonts w:ascii="Arial" w:cs="Arial" w:eastAsia="Arial" w:hAnsi="Arial"/>
          <w:b/>
          <w:bCs/>
          <w:color w:val="0078D4"/>
          <w:sz w:val="28"/>
          <w:szCs w:val="28"/>
        </w:rPr>
        <w:t xml:space="preserve">7.2 Microsoft Entra ID — identidad</w:t>
      </w:r>
    </w:p>
    <w:p>
      <w:pPr>
        <w:pStyle w:val="ListParagraph"/>
        <w:numPr>
          <w:ilvl w:val="0"/>
          <w:numId w:val="2"/>
        </w:numPr>
        <w:spacing w:after="40" w:before="40" w:line="280"/>
      </w:pPr>
      <w:r>
        <w:rPr>
          <w:rFonts w:ascii="Arial" w:cs="Arial" w:eastAsia="Arial" w:hAnsi="Arial"/>
          <w:color w:val="201F1E"/>
          <w:sz w:val="22"/>
          <w:szCs w:val="22"/>
        </w:rPr>
        <w:t xml:space="preserve">Tenant Azure de C3ntro como proveedor de identidad para administradores de APIM (RBAC sobre el control plane).</w:t>
      </w:r>
    </w:p>
    <w:p>
      <w:pPr>
        <w:pStyle w:val="ListParagraph"/>
        <w:numPr>
          <w:ilvl w:val="0"/>
          <w:numId w:val="2"/>
        </w:numPr>
        <w:spacing w:after="40" w:before="40" w:line="280"/>
      </w:pPr>
      <w:r>
        <w:rPr>
          <w:rFonts w:ascii="Arial" w:cs="Arial" w:eastAsia="Arial" w:hAnsi="Arial"/>
          <w:color w:val="201F1E"/>
          <w:sz w:val="22"/>
          <w:szCs w:val="22"/>
        </w:rPr>
        <w:t xml:space="preserve">App Registration por cada cliente interno consumidor que necesite OAuth 2.0 client credentials grant para flujos máquina-a-máquina.</w:t>
      </w:r>
    </w:p>
    <w:p>
      <w:pPr>
        <w:pStyle w:val="ListParagraph"/>
        <w:numPr>
          <w:ilvl w:val="0"/>
          <w:numId w:val="2"/>
        </w:numPr>
        <w:spacing w:after="40" w:before="40" w:line="280"/>
      </w:pPr>
      <w:r>
        <w:rPr>
          <w:rFonts w:ascii="Arial" w:cs="Arial" w:eastAsia="Arial" w:hAnsi="Arial"/>
          <w:color w:val="201F1E"/>
          <w:sz w:val="22"/>
          <w:szCs w:val="22"/>
        </w:rPr>
        <w:t xml:space="preserve">Grupos de seguridad para gobernar quién puede gestionar cada workspace (rol APIM Service Workspace Contributor, Reader, etc.).</w:t>
      </w:r>
    </w:p>
    <w:p>
      <w:pPr>
        <w:pStyle w:val="ListParagraph"/>
        <w:numPr>
          <w:ilvl w:val="0"/>
          <w:numId w:val="2"/>
        </w:numPr>
        <w:spacing w:after="40" w:before="40" w:line="280"/>
      </w:pPr>
      <w:r>
        <w:rPr>
          <w:rFonts w:ascii="Arial" w:cs="Arial" w:eastAsia="Arial" w:hAnsi="Arial"/>
          <w:color w:val="201F1E"/>
          <w:sz w:val="22"/>
          <w:szCs w:val="22"/>
        </w:rPr>
        <w:t xml:space="preserve">Federación SSO al Developer Portal para que desarrolladores internos accedan con sus credenciales corporativas.</w:t>
      </w:r>
    </w:p>
    <w:p>
      <w:pPr>
        <w:pStyle w:val="Heading2"/>
        <w:spacing w:after="160" w:before="280"/>
      </w:pPr>
      <w:r>
        <w:rPr>
          <w:rFonts w:ascii="Arial" w:cs="Arial" w:eastAsia="Arial" w:hAnsi="Arial"/>
          <w:b/>
          <w:bCs/>
          <w:color w:val="0078D4"/>
          <w:sz w:val="28"/>
          <w:szCs w:val="28"/>
        </w:rPr>
        <w:t xml:space="preserve">7.3 Application Insights y Log Analytics</w:t>
      </w:r>
    </w:p>
    <w:p>
      <w:pPr>
        <w:pStyle w:val="ListParagraph"/>
        <w:numPr>
          <w:ilvl w:val="0"/>
          <w:numId w:val="2"/>
        </w:numPr>
        <w:spacing w:after="40" w:before="40" w:line="280"/>
      </w:pPr>
      <w:r>
        <w:rPr>
          <w:rFonts w:ascii="Arial" w:cs="Arial" w:eastAsia="Arial" w:hAnsi="Arial"/>
          <w:b/>
          <w:bCs/>
          <w:color w:val="0078D4"/>
          <w:sz w:val="22"/>
          <w:szCs w:val="22"/>
        </w:rPr>
        <w:t xml:space="preserve">App Insights. </w:t>
      </w:r>
      <w:r>
        <w:rPr>
          <w:rFonts w:ascii="Arial" w:cs="Arial" w:eastAsia="Arial" w:hAnsi="Arial"/>
          <w:color w:val="201F1E"/>
          <w:sz w:val="22"/>
          <w:szCs w:val="22"/>
        </w:rPr>
        <w:t xml:space="preserve">Instancia de Application Insights ligada a la instancia APIM. Recibe telemetría por cada request (timing, headers, status, response time, backend latency).</w:t>
      </w:r>
    </w:p>
    <w:p>
      <w:pPr>
        <w:pStyle w:val="ListParagraph"/>
        <w:numPr>
          <w:ilvl w:val="0"/>
          <w:numId w:val="2"/>
        </w:numPr>
        <w:spacing w:after="40" w:before="40" w:line="280"/>
      </w:pPr>
      <w:r>
        <w:rPr>
          <w:rFonts w:ascii="Arial" w:cs="Arial" w:eastAsia="Arial" w:hAnsi="Arial"/>
          <w:b/>
          <w:bCs/>
          <w:color w:val="0078D4"/>
          <w:sz w:val="22"/>
          <w:szCs w:val="22"/>
        </w:rPr>
        <w:t xml:space="preserve">Log Analytics. </w:t>
      </w:r>
      <w:r>
        <w:rPr>
          <w:rFonts w:ascii="Arial" w:cs="Arial" w:eastAsia="Arial" w:hAnsi="Arial"/>
          <w:color w:val="201F1E"/>
          <w:sz w:val="22"/>
          <w:szCs w:val="22"/>
        </w:rPr>
        <w:t xml:space="preserve">Workspace centralizado para correlación de eventos. Plantillas de KQL incluidas: top APIs por consumo, errores 5xx por backend, p95/p99 de latencia, consumidores con mayor tráfico, alertas por degradación.</w:t>
      </w:r>
    </w:p>
    <w:p>
      <w:pPr>
        <w:pStyle w:val="ListParagraph"/>
        <w:numPr>
          <w:ilvl w:val="0"/>
          <w:numId w:val="2"/>
        </w:numPr>
        <w:spacing w:after="40" w:before="40" w:line="280"/>
      </w:pPr>
      <w:r>
        <w:rPr>
          <w:rFonts w:ascii="Arial" w:cs="Arial" w:eastAsia="Arial" w:hAnsi="Arial"/>
          <w:b/>
          <w:bCs/>
          <w:color w:val="0078D4"/>
          <w:sz w:val="22"/>
          <w:szCs w:val="22"/>
        </w:rPr>
        <w:t xml:space="preserve">Retención. </w:t>
      </w:r>
      <w:r>
        <w:rPr>
          <w:rFonts w:ascii="Arial" w:cs="Arial" w:eastAsia="Arial" w:hAnsi="Arial"/>
          <w:color w:val="201F1E"/>
          <w:sz w:val="22"/>
          <w:szCs w:val="22"/>
        </w:rPr>
        <w:t xml:space="preserve">Retención: 30 días en App Insights (default) y 90 días en Log Analytics (recomendado para auditoría). Se pueden configurar políticas de archivado a Storage Account para retención de largo plazo.</w:t>
      </w:r>
    </w:p>
    <w:p>
      <w:pPr>
        <w:pStyle w:val="Heading2"/>
        <w:spacing w:after="160" w:before="280"/>
      </w:pPr>
      <w:r>
        <w:rPr>
          <w:rFonts w:ascii="Arial" w:cs="Arial" w:eastAsia="Arial" w:hAnsi="Arial"/>
          <w:b/>
          <w:bCs/>
          <w:color w:val="0078D4"/>
          <w:sz w:val="28"/>
          <w:szCs w:val="28"/>
        </w:rPr>
        <w:t xml:space="preserve">7.4 Event Hubs — stream de auditoría y facturación</w:t>
      </w:r>
    </w:p>
    <w:p>
      <w:pPr>
        <w:pStyle w:val="ListParagraph"/>
        <w:numPr>
          <w:ilvl w:val="0"/>
          <w:numId w:val="2"/>
        </w:numPr>
        <w:spacing w:after="40" w:before="40" w:line="280"/>
      </w:pPr>
      <w:r>
        <w:rPr>
          <w:rFonts w:ascii="Arial" w:cs="Arial" w:eastAsia="Arial" w:hAnsi="Arial"/>
          <w:b/>
          <w:bCs/>
          <w:color w:val="0078D4"/>
          <w:sz w:val="22"/>
          <w:szCs w:val="22"/>
        </w:rPr>
        <w:t xml:space="preserve">Configuración. </w:t>
      </w:r>
      <w:r>
        <w:rPr>
          <w:rFonts w:ascii="Arial" w:cs="Arial" w:eastAsia="Arial" w:hAnsi="Arial"/>
          <w:color w:val="201F1E"/>
          <w:sz w:val="22"/>
          <w:szCs w:val="22"/>
        </w:rPr>
        <w:t xml:space="preserve">Event Hub Standard con 1-2 throughput units. Cada transacción de APIM emite un evento estructurado (JSON) con: timestamp, workspace, producto, API, operación, suscripción, consumidor, status code, latencia, IP origen y request ID.</w:t>
      </w:r>
    </w:p>
    <w:p>
      <w:pPr>
        <w:pStyle w:val="ListParagraph"/>
        <w:numPr>
          <w:ilvl w:val="0"/>
          <w:numId w:val="2"/>
        </w:numPr>
        <w:spacing w:after="40" w:before="40" w:line="280"/>
      </w:pPr>
      <w:r>
        <w:rPr>
          <w:rFonts w:ascii="Arial" w:cs="Arial" w:eastAsia="Arial" w:hAnsi="Arial"/>
          <w:b/>
          <w:bCs/>
          <w:color w:val="0078D4"/>
          <w:sz w:val="22"/>
          <w:szCs w:val="22"/>
        </w:rPr>
        <w:t xml:space="preserve">Consumidores. </w:t>
      </w:r>
      <w:r>
        <w:rPr>
          <w:rFonts w:ascii="Arial" w:cs="Arial" w:eastAsia="Arial" w:hAnsi="Arial"/>
          <w:color w:val="201F1E"/>
          <w:sz w:val="22"/>
          <w:szCs w:val="22"/>
        </w:rPr>
        <w:t xml:space="preserve">Sistema interno de facturación de C3ntro o un pipeline ETL (Stream Analytics o Azure Functions) consume el Event Hub y materializa el reporte mensual de consumo por cliente.</w:t>
      </w:r>
    </w:p>
    <w:p>
      <w:pPr>
        <w:pStyle w:val="ListParagraph"/>
        <w:numPr>
          <w:ilvl w:val="0"/>
          <w:numId w:val="2"/>
        </w:numPr>
        <w:spacing w:after="40" w:before="40" w:line="280"/>
      </w:pPr>
      <w:r>
        <w:rPr>
          <w:rFonts w:ascii="Arial" w:cs="Arial" w:eastAsia="Arial" w:hAnsi="Arial"/>
          <w:b/>
          <w:bCs/>
          <w:color w:val="0078D4"/>
          <w:sz w:val="22"/>
          <w:szCs w:val="22"/>
        </w:rPr>
        <w:t xml:space="preserve">Retención de mensajes. </w:t>
      </w:r>
      <w:r>
        <w:rPr>
          <w:rFonts w:ascii="Arial" w:cs="Arial" w:eastAsia="Arial" w:hAnsi="Arial"/>
          <w:color w:val="201F1E"/>
          <w:sz w:val="22"/>
          <w:szCs w:val="22"/>
        </w:rPr>
        <w:t xml:space="preserve">Retención de 7 días default; se complementa con Capture a Storage Account para historial inmutable.</w:t>
      </w:r>
    </w:p>
    <w:p>
      <w:pPr>
        <w:pStyle w:val="Heading2"/>
        <w:spacing w:after="160" w:before="280"/>
      </w:pPr>
      <w:r>
        <w:rPr>
          <w:rFonts w:ascii="Arial" w:cs="Arial" w:eastAsia="Arial" w:hAnsi="Arial"/>
          <w:b/>
          <w:bCs/>
          <w:color w:val="0078D4"/>
          <w:sz w:val="28"/>
          <w:szCs w:val="28"/>
        </w:rPr>
        <w:t xml:space="preserve">7.5 Azure Key Vault</w:t>
      </w:r>
    </w:p>
    <w:p>
      <w:pPr>
        <w:pStyle w:val="ListParagraph"/>
        <w:numPr>
          <w:ilvl w:val="0"/>
          <w:numId w:val="2"/>
        </w:numPr>
        <w:spacing w:after="40" w:before="40" w:line="280"/>
      </w:pPr>
      <w:r>
        <w:rPr>
          <w:rFonts w:ascii="Arial" w:cs="Arial" w:eastAsia="Arial" w:hAnsi="Arial"/>
          <w:color w:val="201F1E"/>
          <w:sz w:val="22"/>
          <w:szCs w:val="22"/>
        </w:rPr>
        <w:t xml:space="preserve">Certificados TLS de custom domain (gateway y portal).</w:t>
      </w:r>
    </w:p>
    <w:p>
      <w:pPr>
        <w:pStyle w:val="ListParagraph"/>
        <w:numPr>
          <w:ilvl w:val="0"/>
          <w:numId w:val="2"/>
        </w:numPr>
        <w:spacing w:after="40" w:before="40" w:line="280"/>
      </w:pPr>
      <w:r>
        <w:rPr>
          <w:rFonts w:ascii="Arial" w:cs="Arial" w:eastAsia="Arial" w:hAnsi="Arial"/>
          <w:color w:val="201F1E"/>
          <w:sz w:val="22"/>
          <w:szCs w:val="22"/>
        </w:rPr>
        <w:t xml:space="preserve">Secretos de backends (API keys de servicios externos, credenciales de bases de datos si APIM hace authentication intermedia).</w:t>
      </w:r>
    </w:p>
    <w:p>
      <w:pPr>
        <w:pStyle w:val="ListParagraph"/>
        <w:numPr>
          <w:ilvl w:val="0"/>
          <w:numId w:val="2"/>
        </w:numPr>
        <w:spacing w:after="40" w:before="40" w:line="280"/>
      </w:pPr>
      <w:r>
        <w:rPr>
          <w:rFonts w:ascii="Arial" w:cs="Arial" w:eastAsia="Arial" w:hAnsi="Arial"/>
          <w:color w:val="201F1E"/>
          <w:sz w:val="22"/>
          <w:szCs w:val="22"/>
        </w:rPr>
        <w:t xml:space="preserve">Llaves de firma JWT cuando APIM actúa como issuer en flujos avanzados.</w:t>
      </w:r>
    </w:p>
    <w:p>
      <w:pPr>
        <w:pStyle w:val="ListParagraph"/>
        <w:numPr>
          <w:ilvl w:val="0"/>
          <w:numId w:val="2"/>
        </w:numPr>
        <w:spacing w:after="40" w:before="40" w:line="280"/>
      </w:pPr>
      <w:r>
        <w:rPr>
          <w:rFonts w:ascii="Arial" w:cs="Arial" w:eastAsia="Arial" w:hAnsi="Arial"/>
          <w:color w:val="201F1E"/>
          <w:sz w:val="22"/>
          <w:szCs w:val="22"/>
        </w:rPr>
        <w:t xml:space="preserve">Acceso vía managed identity de APIM con rotación automatizable.</w:t>
      </w:r>
    </w:p>
    <w:p>
      <w:pPr>
        <w:pStyle w:val="Heading2"/>
        <w:spacing w:after="160" w:before="280"/>
      </w:pPr>
      <w:r>
        <w:rPr>
          <w:rFonts w:ascii="Arial" w:cs="Arial" w:eastAsia="Arial" w:hAnsi="Arial"/>
          <w:b/>
          <w:bCs/>
          <w:color w:val="0078D4"/>
          <w:sz w:val="28"/>
          <w:szCs w:val="28"/>
        </w:rPr>
        <w:t xml:space="preserve">7.6 Azure DevOps / GitHub Actions — APIM-as-Code</w:t>
      </w:r>
    </w:p>
    <w:p>
      <w:pPr>
        <w:spacing w:after="60" w:before="60" w:line="300"/>
        <w:jc w:val="left"/>
      </w:pPr>
      <w:r>
        <w:rPr>
          <w:rFonts w:ascii="Arial" w:cs="Arial" w:eastAsia="Arial" w:hAnsi="Arial"/>
          <w:color w:val="201F1E"/>
          <w:sz w:val="22"/>
          <w:szCs w:val="22"/>
        </w:rPr>
        <w:t xml:space="preserve">Toda configuración de APIM se gestiona como código:</w:t>
      </w:r>
    </w:p>
    <w:p>
      <w:pPr>
        <w:pStyle w:val="ListParagraph"/>
        <w:numPr>
          <w:ilvl w:val="0"/>
          <w:numId w:val="2"/>
        </w:numPr>
        <w:spacing w:after="40" w:before="40" w:line="280"/>
      </w:pPr>
      <w:r>
        <w:rPr>
          <w:rFonts w:ascii="Arial" w:cs="Arial" w:eastAsia="Arial" w:hAnsi="Arial"/>
          <w:color w:val="201F1E"/>
          <w:sz w:val="22"/>
          <w:szCs w:val="22"/>
        </w:rPr>
        <w:t xml:space="preserve">Definiciones OpenAPI 3.0 versionadas en repositorio git.</w:t>
      </w:r>
    </w:p>
    <w:p>
      <w:pPr>
        <w:pStyle w:val="ListParagraph"/>
        <w:numPr>
          <w:ilvl w:val="0"/>
          <w:numId w:val="2"/>
        </w:numPr>
        <w:spacing w:after="40" w:before="40" w:line="280"/>
      </w:pPr>
      <w:r>
        <w:rPr>
          <w:rFonts w:ascii="Arial" w:cs="Arial" w:eastAsia="Arial" w:hAnsi="Arial"/>
          <w:color w:val="201F1E"/>
          <w:sz w:val="22"/>
          <w:szCs w:val="22"/>
        </w:rPr>
        <w:t xml:space="preserve">Políticas (XML) versionadas y revisadas por pull request.</w:t>
      </w:r>
    </w:p>
    <w:p>
      <w:pPr>
        <w:pStyle w:val="ListParagraph"/>
        <w:numPr>
          <w:ilvl w:val="0"/>
          <w:numId w:val="2"/>
        </w:numPr>
        <w:spacing w:after="40" w:before="40" w:line="280"/>
      </w:pPr>
      <w:r>
        <w:rPr>
          <w:rFonts w:ascii="Arial" w:cs="Arial" w:eastAsia="Arial" w:hAnsi="Arial"/>
          <w:color w:val="201F1E"/>
          <w:sz w:val="22"/>
          <w:szCs w:val="22"/>
        </w:rPr>
        <w:t xml:space="preserve">Pipeline CI/CD con Bicep o ARM templates para infraestructura, y APIM DevOps Resource Kit (o az apim cli) para deployment de APIs y políticas.</w:t>
      </w:r>
    </w:p>
    <w:p>
      <w:pPr>
        <w:pStyle w:val="ListParagraph"/>
        <w:numPr>
          <w:ilvl w:val="0"/>
          <w:numId w:val="2"/>
        </w:numPr>
        <w:spacing w:after="40" w:before="40" w:line="280"/>
      </w:pPr>
      <w:r>
        <w:rPr>
          <w:rFonts w:ascii="Arial" w:cs="Arial" w:eastAsia="Arial" w:hAnsi="Arial"/>
          <w:color w:val="201F1E"/>
          <w:sz w:val="22"/>
          <w:szCs w:val="22"/>
        </w:rPr>
        <w:t xml:space="preserve">Ambientes: dev / qa / prod con promoción controlada.</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8. Estrategia de multi-tenancy (Workspaces)</w:t>
      </w:r>
    </w:p>
    <w:p>
      <w:pPr>
        <w:spacing w:after="60" w:before="60" w:line="300"/>
        <w:jc w:val="left"/>
      </w:pPr>
      <w:r>
        <w:rPr>
          <w:rFonts w:ascii="Arial" w:cs="Arial" w:eastAsia="Arial" w:hAnsi="Arial"/>
          <w:color w:val="201F1E"/>
          <w:sz w:val="22"/>
          <w:szCs w:val="22"/>
        </w:rPr>
        <w:t xml:space="preserve">La capacidad Workspaces de APIM Premium es central al diseño porque cubre directamente la restricción no negociable de multi-tenancy nativo sin costo adicional por cliente.</w:t>
      </w:r>
    </w:p>
    <w:p>
      <w:pPr>
        <w:pStyle w:val="Heading2"/>
        <w:spacing w:after="160" w:before="280"/>
      </w:pPr>
      <w:r>
        <w:rPr>
          <w:rFonts w:ascii="Arial" w:cs="Arial" w:eastAsia="Arial" w:hAnsi="Arial"/>
          <w:b/>
          <w:bCs/>
          <w:color w:val="0078D4"/>
          <w:sz w:val="28"/>
          <w:szCs w:val="28"/>
        </w:rPr>
        <w:t xml:space="preserve">8.1 Concepto</w:t>
      </w:r>
    </w:p>
    <w:p>
      <w:pPr>
        <w:spacing w:after="60" w:before="60" w:line="300"/>
        <w:jc w:val="left"/>
      </w:pPr>
      <w:r>
        <w:rPr>
          <w:rFonts w:ascii="Arial" w:cs="Arial" w:eastAsia="Arial" w:hAnsi="Arial"/>
          <w:color w:val="201F1E"/>
          <w:sz w:val="22"/>
          <w:szCs w:val="22"/>
        </w:rPr>
        <w:t xml:space="preserve">Un Workspace es un sub-ámbito lógico dentro de la misma instancia APIM. Cada workspace tiene su propio conjunto de APIs, productos, suscripciones, políticas, usuarios y métricas. La instancia APIM se comporta como un "marketplace de plataformas" donde el Área de Integración cobra a sus clientes internos por el uso del workspace correspondiente.</w:t>
      </w:r>
    </w:p>
    <w:p>
      <w:pPr>
        <w:pStyle w:val="Heading2"/>
        <w:spacing w:after="160" w:before="280"/>
      </w:pPr>
      <w:r>
        <w:rPr>
          <w:rFonts w:ascii="Arial" w:cs="Arial" w:eastAsia="Arial" w:hAnsi="Arial"/>
          <w:b/>
          <w:bCs/>
          <w:color w:val="0078D4"/>
          <w:sz w:val="28"/>
          <w:szCs w:val="28"/>
        </w:rPr>
        <w:t xml:space="preserve">8.2 Modelo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rPr>
          <w:tblHeader/>
        </w:trP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Workspace</w:t>
            </w:r>
          </w:p>
        </w:tc>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Cliente interno</w:t>
            </w:r>
          </w:p>
        </w:tc>
        <w:tc>
          <w:tcPr>
            <w:tcW w:type="dxa" w:w="31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Propósito</w:t>
            </w:r>
          </w:p>
        </w:tc>
        <w:tc>
          <w:tcPr>
            <w:tcW w:type="dxa" w:w="16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Estado</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platform-admin</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Área de Integración</w:t>
            </w:r>
          </w:p>
        </w:tc>
        <w:tc>
          <w:tcPr>
            <w:tcW w:type="dxa" w:w="3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 operado por el área: políticas globales, productos transversales, monitoreo cruzado.</w:t>
            </w:r>
          </w:p>
        </w:tc>
        <w:tc>
          <w:tcPr>
            <w:tcW w:type="dxa" w:w="1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Activo desde el día 1</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 — Mensajería</w:t>
            </w:r>
          </w:p>
        </w:tc>
        <w:tc>
          <w:tcPr>
            <w:tcW w:type="dxa" w:w="3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APIs de SMS, productos diferenciados (Estándar/Premium), suscripciones de consumidores SMS.</w:t>
            </w:r>
          </w:p>
        </w:tc>
        <w:tc>
          <w:tcPr>
            <w:tcW w:type="dxa" w:w="1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Activo desde el día 1</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contact-center</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Contact Center</w:t>
            </w:r>
          </w:p>
        </w:tc>
        <w:tc>
          <w:tcPr>
            <w:tcW w:type="dxa" w:w="3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Plantilla preparada, sin APIs publicadas en fase 1.</w:t>
            </w:r>
          </w:p>
        </w:tc>
        <w:tc>
          <w:tcPr>
            <w:tcW w:type="dxa" w:w="1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Pipeline — se activa en fase 2</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&lt;template&gt;</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Futuros productos</w:t>
            </w:r>
          </w:p>
        </w:tc>
        <w:tc>
          <w:tcPr>
            <w:tcW w:type="dxa" w:w="3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Plantilla de workspace replicable: nombre, RBAC, políticas base, plan de migración.</w:t>
            </w:r>
          </w:p>
        </w:tc>
        <w:tc>
          <w:tcPr>
            <w:tcW w:type="dxa" w:w="1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Documentado, listo para clonar</w:t>
            </w:r>
          </w:p>
        </w:tc>
      </w:tr>
    </w:tbl>
    <w:p>
      <w:pPr>
        <w:pStyle w:val="Heading2"/>
        <w:spacing w:after="160" w:before="280"/>
      </w:pPr>
      <w:r>
        <w:rPr>
          <w:rFonts w:ascii="Arial" w:cs="Arial" w:eastAsia="Arial" w:hAnsi="Arial"/>
          <w:b/>
          <w:bCs/>
          <w:color w:val="0078D4"/>
          <w:sz w:val="28"/>
          <w:szCs w:val="28"/>
        </w:rPr>
        <w:t xml:space="preserve">8.3 Separación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00"/>
        <w:gridCol w:w="2150"/>
        <w:gridCol w:w="2150"/>
      </w:tblGrid>
      <w:tr>
        <w:trPr>
          <w:tblHeader/>
        </w:trPr>
        <w:tc>
          <w:tcPr>
            <w:tcW w:type="dxa" w:w="29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Rol</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Workspace platform-admin</w:t>
            </w:r>
          </w:p>
        </w:tc>
        <w:tc>
          <w:tcPr>
            <w:tcW w:type="dxa" w:w="215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Workspace sms</w:t>
            </w:r>
          </w:p>
        </w:tc>
        <w:tc>
          <w:tcPr>
            <w:tcW w:type="dxa" w:w="215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Workspace contact-center</w:t>
            </w:r>
          </w:p>
        </w:tc>
      </w:tr>
      <w:tr>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Área de Integración (manager + ingenieros)</w:t>
            </w:r>
          </w:p>
        </w:tc>
        <w:tc>
          <w:tcPr>
            <w:tcW w:type="dxa" w:w="210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Owner</w:t>
            </w:r>
          </w:p>
        </w:tc>
        <w:tc>
          <w:tcPr>
            <w:tcW w:type="dxa" w:w="215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Contributor</w:t>
            </w:r>
          </w:p>
        </w:tc>
        <w:tc>
          <w:tcPr>
            <w:tcW w:type="dxa" w:w="215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Contributor</w:t>
            </w:r>
          </w:p>
        </w:tc>
      </w:tr>
      <w:tr>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del producto SMS</w:t>
            </w:r>
          </w:p>
        </w:tc>
        <w:tc>
          <w:tcPr>
            <w:tcW w:type="dxa" w:w="21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Reader</w:t>
            </w:r>
          </w:p>
        </w:tc>
        <w:tc>
          <w:tcPr>
            <w:tcW w:type="dxa" w:w="215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API Developer</w:t>
            </w:r>
          </w:p>
        </w:tc>
        <w:tc>
          <w:tcPr>
            <w:tcW w:type="dxa" w:w="2150"/>
            <w:tcBorders>
              <w:top w:val="single" w:color="D2D0CE" w:sz="1"/>
              <w:left w:val="single" w:color="D2D0CE" w:sz="1"/>
              <w:bottom w:val="single" w:color="D2D0CE" w:sz="1"/>
              <w:right w:val="single" w:color="D2D0CE" w:sz="1"/>
            </w:tcBorders>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w:t>
            </w:r>
          </w:p>
        </w:tc>
      </w:tr>
      <w:tr>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del producto Contact Center</w:t>
            </w:r>
          </w:p>
        </w:tc>
        <w:tc>
          <w:tcPr>
            <w:tcW w:type="dxa" w:w="21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Reader</w:t>
            </w:r>
          </w:p>
        </w:tc>
        <w:tc>
          <w:tcPr>
            <w:tcW w:type="dxa" w:w="2150"/>
            <w:tcBorders>
              <w:top w:val="single" w:color="D2D0CE" w:sz="1"/>
              <w:left w:val="single" w:color="D2D0CE" w:sz="1"/>
              <w:bottom w:val="single" w:color="D2D0CE" w:sz="1"/>
              <w:right w:val="single" w:color="D2D0CE" w:sz="1"/>
            </w:tcBorders>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w:t>
            </w:r>
          </w:p>
        </w:tc>
        <w:tc>
          <w:tcPr>
            <w:tcW w:type="dxa" w:w="215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API Developer</w:t>
            </w:r>
          </w:p>
        </w:tc>
      </w:tr>
      <w:tr>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Auditoría / Compliance</w:t>
            </w:r>
          </w:p>
        </w:tc>
        <w:tc>
          <w:tcPr>
            <w:tcW w:type="dxa" w:w="21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Reader</w:t>
            </w:r>
          </w:p>
        </w:tc>
        <w:tc>
          <w:tcPr>
            <w:tcW w:type="dxa" w:w="215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Reader</w:t>
            </w:r>
          </w:p>
        </w:tc>
        <w:tc>
          <w:tcPr>
            <w:tcW w:type="dxa" w:w="215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center"/>
            </w:pPr>
            <w:r>
              <w:rPr>
                <w:rFonts w:ascii="Arial" w:cs="Arial" w:eastAsia="Arial" w:hAnsi="Arial"/>
                <w:color w:val="201F1E"/>
                <w:sz w:val="20"/>
                <w:szCs w:val="20"/>
              </w:rPr>
              <w:t xml:space="preserve">Reader</w:t>
            </w:r>
          </w:p>
        </w:tc>
      </w:tr>
    </w:tbl>
    <w:p>
      <w:pPr>
        <w:pStyle w:val="Heading2"/>
        <w:spacing w:after="160" w:before="280"/>
      </w:pPr>
      <w:r>
        <w:rPr>
          <w:rFonts w:ascii="Arial" w:cs="Arial" w:eastAsia="Arial" w:hAnsi="Arial"/>
          <w:b/>
          <w:bCs/>
          <w:color w:val="0078D4"/>
          <w:sz w:val="28"/>
          <w:szCs w:val="28"/>
        </w:rPr>
        <w:t xml:space="preserve">8.4 Onboarding de un nuevo cliente interno</w:t>
      </w:r>
    </w:p>
    <w:p>
      <w:pPr>
        <w:spacing w:after="60" w:before="60" w:line="300"/>
        <w:jc w:val="left"/>
      </w:pPr>
      <w:r>
        <w:rPr>
          <w:rFonts w:ascii="Arial" w:cs="Arial" w:eastAsia="Arial" w:hAnsi="Arial"/>
          <w:color w:val="201F1E"/>
          <w:sz w:val="22"/>
          <w:szCs w:val="22"/>
        </w:rPr>
        <w:t xml:space="preserve">Procedimiento estándar (objetivo: 5 días hábiles desde la solicitud formal):</w:t>
      </w:r>
    </w:p>
    <w:p>
      <w:pPr>
        <w:pStyle w:val="ListParagraph"/>
        <w:numPr>
          <w:ilvl w:val="0"/>
          <w:numId w:val="3"/>
        </w:numPr>
        <w:spacing w:after="40" w:before="40" w:line="280"/>
      </w:pPr>
      <w:r>
        <w:rPr>
          <w:rFonts w:ascii="Arial" w:cs="Arial" w:eastAsia="Arial" w:hAnsi="Arial"/>
          <w:color w:val="201F1E"/>
          <w:sz w:val="22"/>
          <w:szCs w:val="22"/>
        </w:rPr>
        <w:t xml:space="preserve">Recepción de solicitud y dimensionamiento por parte del manager del Área.</w:t>
      </w:r>
    </w:p>
    <w:p>
      <w:pPr>
        <w:pStyle w:val="ListParagraph"/>
        <w:numPr>
          <w:ilvl w:val="0"/>
          <w:numId w:val="3"/>
        </w:numPr>
        <w:spacing w:after="40" w:before="40" w:line="280"/>
      </w:pPr>
      <w:r>
        <w:rPr>
          <w:rFonts w:ascii="Arial" w:cs="Arial" w:eastAsia="Arial" w:hAnsi="Arial"/>
          <w:color w:val="201F1E"/>
          <w:sz w:val="22"/>
          <w:szCs w:val="22"/>
        </w:rPr>
        <w:t xml:space="preserve">Clonado del template de workspace y asignación de naming convention (sms, contact-center, etc.).</w:t>
      </w:r>
    </w:p>
    <w:p>
      <w:pPr>
        <w:pStyle w:val="ListParagraph"/>
        <w:numPr>
          <w:ilvl w:val="0"/>
          <w:numId w:val="3"/>
        </w:numPr>
        <w:spacing w:after="40" w:before="40" w:line="280"/>
      </w:pPr>
      <w:r>
        <w:rPr>
          <w:rFonts w:ascii="Arial" w:cs="Arial" w:eastAsia="Arial" w:hAnsi="Arial"/>
          <w:color w:val="201F1E"/>
          <w:sz w:val="22"/>
          <w:szCs w:val="22"/>
        </w:rPr>
        <w:t xml:space="preserve">Configuración de RBAC: definición de grupos Entra ID propios del cliente y asignación de roles APIM correspondientes.</w:t>
      </w:r>
    </w:p>
    <w:p>
      <w:pPr>
        <w:pStyle w:val="ListParagraph"/>
        <w:numPr>
          <w:ilvl w:val="0"/>
          <w:numId w:val="3"/>
        </w:numPr>
        <w:spacing w:after="40" w:before="40" w:line="280"/>
      </w:pPr>
      <w:r>
        <w:rPr>
          <w:rFonts w:ascii="Arial" w:cs="Arial" w:eastAsia="Arial" w:hAnsi="Arial"/>
          <w:color w:val="201F1E"/>
          <w:sz w:val="22"/>
          <w:szCs w:val="22"/>
        </w:rPr>
        <w:t xml:space="preserve">Definición de productos del cliente y planes (Estándar, Premium, Internal).</w:t>
      </w:r>
    </w:p>
    <w:p>
      <w:pPr>
        <w:pStyle w:val="ListParagraph"/>
        <w:numPr>
          <w:ilvl w:val="0"/>
          <w:numId w:val="3"/>
        </w:numPr>
        <w:spacing w:after="40" w:before="40" w:line="280"/>
      </w:pPr>
      <w:r>
        <w:rPr>
          <w:rFonts w:ascii="Arial" w:cs="Arial" w:eastAsia="Arial" w:hAnsi="Arial"/>
          <w:color w:val="201F1E"/>
          <w:sz w:val="22"/>
          <w:szCs w:val="22"/>
        </w:rPr>
        <w:t xml:space="preserve">Configuración de límites por suscripción y políticas heredadas globales.</w:t>
      </w:r>
    </w:p>
    <w:p>
      <w:pPr>
        <w:pStyle w:val="ListParagraph"/>
        <w:numPr>
          <w:ilvl w:val="0"/>
          <w:numId w:val="3"/>
        </w:numPr>
        <w:spacing w:after="40" w:before="40" w:line="280"/>
      </w:pPr>
      <w:r>
        <w:rPr>
          <w:rFonts w:ascii="Arial" w:cs="Arial" w:eastAsia="Arial" w:hAnsi="Arial"/>
          <w:color w:val="201F1E"/>
          <w:sz w:val="22"/>
          <w:szCs w:val="22"/>
        </w:rPr>
        <w:t xml:space="preserve">Branding del developer portal segmentado (si aplica).</w:t>
      </w:r>
    </w:p>
    <w:p>
      <w:pPr>
        <w:pStyle w:val="ListParagraph"/>
        <w:numPr>
          <w:ilvl w:val="0"/>
          <w:numId w:val="3"/>
        </w:numPr>
        <w:spacing w:after="40" w:before="40" w:line="280"/>
      </w:pPr>
      <w:r>
        <w:rPr>
          <w:rFonts w:ascii="Arial" w:cs="Arial" w:eastAsia="Arial" w:hAnsi="Arial"/>
          <w:color w:val="201F1E"/>
          <w:sz w:val="22"/>
          <w:szCs w:val="22"/>
        </w:rPr>
        <w:t xml:space="preserve">Activación de pipeline CI/CD con repositorio dedicado del cliente.</w:t>
      </w:r>
    </w:p>
    <w:p>
      <w:pPr>
        <w:pStyle w:val="ListParagraph"/>
        <w:numPr>
          <w:ilvl w:val="0"/>
          <w:numId w:val="3"/>
        </w:numPr>
        <w:spacing w:after="40" w:before="40" w:line="280"/>
      </w:pPr>
      <w:r>
        <w:rPr>
          <w:rFonts w:ascii="Arial" w:cs="Arial" w:eastAsia="Arial" w:hAnsi="Arial"/>
          <w:color w:val="201F1E"/>
          <w:sz w:val="22"/>
          <w:szCs w:val="22"/>
        </w:rPr>
        <w:t xml:space="preserve">Sesión de transferencia al equipo del cliente: cómo registrar APIs, cómo solicitar suscripciones, cómo consumir el portal.</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9. Requerimientos técnicos del cliente</w:t>
      </w:r>
    </w:p>
    <w:p>
      <w:pPr>
        <w:spacing w:after="60" w:before="60" w:line="300"/>
        <w:jc w:val="left"/>
      </w:pPr>
      <w:r>
        <w:rPr>
          <w:rFonts w:ascii="Arial" w:cs="Arial" w:eastAsia="Arial" w:hAnsi="Arial"/>
          <w:color w:val="201F1E"/>
          <w:sz w:val="22"/>
          <w:szCs w:val="22"/>
        </w:rPr>
        <w:t xml:space="preserve">Para que el proyecto inicie sin bloqueos, C3ntro debe proveer u confirmar los siguientes elementos. Cada uno está clasificado como crítico (bloqueante), alto (requerido en las primeras semanas) o medio (requerido antes del go-live).</w:t>
      </w:r>
    </w:p>
    <w:p>
      <w:pPr>
        <w:pStyle w:val="Heading2"/>
        <w:spacing w:after="160" w:before="280"/>
      </w:pPr>
      <w:r>
        <w:rPr>
          <w:rFonts w:ascii="Arial" w:cs="Arial" w:eastAsia="Arial" w:hAnsi="Arial"/>
          <w:b/>
          <w:bCs/>
          <w:color w:val="0078D4"/>
          <w:sz w:val="28"/>
          <w:szCs w:val="28"/>
        </w:rPr>
        <w:t xml:space="preserve">9.1 Suscripción Azure y gobernanza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800"/>
        <w:gridCol w:w="21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Requerimiento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Prioridad</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Responsable</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Suscripción Azure activa con cuotas suficientes para Premium en Mexico Central.</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Resource Group dedicado para la plataforma APIM y sus componentes.</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 Proveedor</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Roles RBAC iniciales: Owner del RG para el equipo proveedor durante la implementación; transferencia al cierre.</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Naming convention y tagging estándar para recursos Azure.</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Proveedor (propuesta) + C3ntro (aprobación)</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de policy assignments existentes (Azure Policy) que pudieran restringir SKUs o regiones.</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Budget alert y cost management configurado.</w:t>
            </w:r>
          </w:p>
        </w:tc>
        <w:tc>
          <w:tcPr>
            <w:tcW w:type="dxa" w:w="18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Proveedor + C3ntro</w:t>
            </w:r>
          </w:p>
        </w:tc>
      </w:tr>
    </w:tbl>
    <w:p>
      <w:pPr>
        <w:pStyle w:val="Heading2"/>
        <w:spacing w:after="160" w:before="280"/>
      </w:pPr>
      <w:r>
        <w:rPr>
          <w:rFonts w:ascii="Arial" w:cs="Arial" w:eastAsia="Arial" w:hAnsi="Arial"/>
          <w:b/>
          <w:bCs/>
          <w:color w:val="0078D4"/>
          <w:sz w:val="28"/>
          <w:szCs w:val="28"/>
        </w:rPr>
        <w:t xml:space="preserve">9.2 Identidad y federación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800"/>
        <w:gridCol w:w="21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Requerimiento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Prioridad</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Responsable</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Entra ID tenant productivo de C3ntro disponible.</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Capacidad de crear App Registrations y service principals.</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de grupos para administradores de plataforma y por cliente interno.</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Decisión sobre SSO al Developer Portal (Entra ID, basic auth, ambos).</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 Proveedor</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de claims OAuth/JWT esperados (roles, scopes, tenants).</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 Proveedor</w:t>
            </w:r>
          </w:p>
        </w:tc>
      </w:tr>
    </w:tbl>
    <w:p>
      <w:pPr>
        <w:pStyle w:val="Heading2"/>
        <w:spacing w:after="160" w:before="280"/>
      </w:pPr>
      <w:r>
        <w:rPr>
          <w:rFonts w:ascii="Arial" w:cs="Arial" w:eastAsia="Arial" w:hAnsi="Arial"/>
          <w:b/>
          <w:bCs/>
          <w:color w:val="0078D4"/>
          <w:sz w:val="28"/>
          <w:szCs w:val="28"/>
        </w:rPr>
        <w:t xml:space="preserve">9.3 Red, DNS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800"/>
        <w:gridCol w:w="21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Requerimiento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Prioridad</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Responsable</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Subdominio público (ej. api.c3ntro.com, developer.c3ntro.com) con capacidad de delegar registros CNAME / TXT.</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Certificados TLS — gestionados por Azure (recomendado) o provistos por C3ntro con renovación documentada.</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Proveedor + C3ntro</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Decisión sobre modo de red (Public / External VNet / Internal VNet) según patrón de backends.</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Proveedor + C3ntro</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Acceso de salida de APIM a los backends SMS (URLs, IPs, autenticación).</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 + Proveedor</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Whitelisting de IPs salientes de APIM en backends si aplica.</w:t>
            </w:r>
          </w:p>
        </w:tc>
        <w:tc>
          <w:tcPr>
            <w:tcW w:type="dxa" w:w="18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w:t>
            </w:r>
          </w:p>
        </w:tc>
      </w:tr>
    </w:tbl>
    <w:p>
      <w:pPr>
        <w:pStyle w:val="Heading2"/>
        <w:spacing w:after="160" w:before="280"/>
      </w:pPr>
      <w:r>
        <w:rPr>
          <w:rFonts w:ascii="Arial" w:cs="Arial" w:eastAsia="Arial" w:hAnsi="Arial"/>
          <w:b/>
          <w:bCs/>
          <w:color w:val="0078D4"/>
          <w:sz w:val="28"/>
          <w:szCs w:val="28"/>
        </w:rPr>
        <w:t xml:space="preserve">9.4 APIs del cliente ancla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800"/>
        <w:gridCol w:w="21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Requerimiento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Prioridad</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Responsable</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Inventario completo de APIs SMS a publicar en APIM (nombre, URL, operaciones, contratos).</w:t>
            </w:r>
          </w:p>
        </w:tc>
        <w:tc>
          <w:tcPr>
            <w:tcW w:type="dxa" w:w="18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Crítico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OpenAPI 3.0 (Swagger) por cada API — si no existe, el proveedor la levanta como parte del onboarding.</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 + Proveedor</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de versiones existentes y plan de versionado futuro.</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 + Proveedor</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Identificación de consumidores actuales (lista de aplicaciones / equipos / cuentas) para migración a suscripciones.</w:t>
            </w:r>
          </w:p>
        </w:tc>
        <w:tc>
          <w:tcPr>
            <w:tcW w:type="dxa" w:w="18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Métricas históricas: volumen aproximado de requests/día, picos, latencia objetivo.</w:t>
            </w:r>
          </w:p>
        </w:tc>
        <w:tc>
          <w:tcPr>
            <w:tcW w:type="dxa" w:w="18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10. Requerimientos humanos y equipo del proyecto</w:t>
      </w:r>
    </w:p>
    <w:p>
      <w:pPr>
        <w:spacing w:after="60" w:before="60" w:line="300"/>
        <w:jc w:val="left"/>
      </w:pPr>
      <w:r>
        <w:rPr>
          <w:rFonts w:ascii="Arial" w:cs="Arial" w:eastAsia="Arial" w:hAnsi="Arial"/>
          <w:color w:val="201F1E"/>
          <w:sz w:val="22"/>
          <w:szCs w:val="22"/>
        </w:rPr>
        <w:t xml:space="preserve">El proyecto se ejecuta con un equipo combinado entre proveedor y C3ntro. La intención es transferir capacidades al equipo del Área (3 personas) durante el proyecto para que opere la plataforma con respaldo del proveedor en modo gestionado opcional.</w:t>
      </w:r>
    </w:p>
    <w:p>
      <w:pPr>
        <w:pStyle w:val="Heading2"/>
        <w:spacing w:after="160" w:before="280"/>
      </w:pPr>
      <w:r>
        <w:rPr>
          <w:rFonts w:ascii="Arial" w:cs="Arial" w:eastAsia="Arial" w:hAnsi="Arial"/>
          <w:b/>
          <w:bCs/>
          <w:color w:val="0078D4"/>
          <w:sz w:val="28"/>
          <w:szCs w:val="28"/>
        </w:rPr>
        <w:t xml:space="preserve">10.1 Equipo propuesto por 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900"/>
        <w:gridCol w:w="1760"/>
      </w:tblGrid>
      <w:tr>
        <w:trPr>
          <w:tblHeader/>
        </w:trP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Rol</w:t>
            </w:r>
          </w:p>
        </w:tc>
        <w:tc>
          <w:tcPr>
            <w:tcW w:type="dxa" w:w="3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Perfil</w:t>
            </w:r>
          </w:p>
        </w:tc>
        <w:tc>
          <w:tcPr>
            <w:tcW w:type="dxa" w:w="19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Dedicación</w:t>
            </w:r>
          </w:p>
        </w:tc>
        <w:tc>
          <w:tcPr>
            <w:tcW w:type="dxa" w:w="17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Fase</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Arquitecto de Soluciones Sr.</w:t>
            </w:r>
          </w:p>
        </w:tc>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Certificación Azure Solutions Architect Expert. Experiencia previa en APIM en al menos 3 implementaciones productivas.</w:t>
            </w:r>
          </w:p>
        </w:tc>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~50% durante diseño; ~20% durante implementación; ad-hoc post go-live.</w:t>
            </w:r>
          </w:p>
        </w:tc>
        <w:tc>
          <w:tcPr>
            <w:tcW w:type="dxa" w:w="1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Discovery, Diseño, Validación</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Especialista APIM Lead</w:t>
            </w:r>
          </w:p>
        </w:tc>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Profundo conocimiento de políticas APIM, OpenAPI, OAuth, IaC. Certificación Azure Developer Associate.</w:t>
            </w:r>
          </w:p>
        </w:tc>
        <w:tc>
          <w:tcPr>
            <w:tcW w:type="dxa" w:w="1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100% durante implementación.</w:t>
            </w:r>
          </w:p>
        </w:tc>
        <w:tc>
          <w:tcPr>
            <w:tcW w:type="dxa" w:w="1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Implementación, Onboarding SMS, Pruebas</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Ingeniero APIM</w:t>
            </w:r>
          </w:p>
        </w:tc>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Mid-level. Soporta al Lead en configuración, migraciones, pruebas.</w:t>
            </w:r>
          </w:p>
        </w:tc>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100% durante implementación.</w:t>
            </w:r>
          </w:p>
        </w:tc>
        <w:tc>
          <w:tcPr>
            <w:tcW w:type="dxa" w:w="1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Implementación, Onboarding SMS</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DevOps / IaC Engineer</w:t>
            </w:r>
          </w:p>
        </w:tc>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Bicep/ARM, Azure DevOps o GitHub Actions, automatización de releases.</w:t>
            </w:r>
          </w:p>
        </w:tc>
        <w:tc>
          <w:tcPr>
            <w:tcW w:type="dxa" w:w="1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~50% durante implementación.</w:t>
            </w:r>
          </w:p>
        </w:tc>
        <w:tc>
          <w:tcPr>
            <w:tcW w:type="dxa" w:w="1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Pipelines CI/CD, IaC</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Project Manager</w:t>
            </w:r>
          </w:p>
        </w:tc>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Gestión ágil (Scrum o híbrido). Reporta avance, gestiona riesgos, coordina con C3ntro.</w:t>
            </w:r>
          </w:p>
        </w:tc>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~30% durante todo el proyecto.</w:t>
            </w:r>
          </w:p>
        </w:tc>
        <w:tc>
          <w:tcPr>
            <w:tcW w:type="dxa" w:w="1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Transversal</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Account Manager / Soporte comercial</w:t>
            </w:r>
          </w:p>
        </w:tc>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Punto único de contacto comercial y de escalamiento.</w:t>
            </w:r>
          </w:p>
        </w:tc>
        <w:tc>
          <w:tcPr>
            <w:tcW w:type="dxa" w:w="1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Bajo demanda.</w:t>
            </w:r>
          </w:p>
        </w:tc>
        <w:tc>
          <w:tcPr>
            <w:tcW w:type="dxa" w:w="1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Transversal</w:t>
            </w:r>
          </w:p>
        </w:tc>
      </w:tr>
    </w:tbl>
    <w:p>
      <w:pPr>
        <w:pStyle w:val="Heading2"/>
        <w:spacing w:after="160" w:before="280"/>
      </w:pPr>
      <w:r>
        <w:rPr>
          <w:rFonts w:ascii="Arial" w:cs="Arial" w:eastAsia="Arial" w:hAnsi="Arial"/>
          <w:b/>
          <w:bCs/>
          <w:color w:val="0078D4"/>
          <w:sz w:val="28"/>
          <w:szCs w:val="28"/>
        </w:rPr>
        <w:t xml:space="preserve">10.2 Equipo requerido de C3ntro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300"/>
        <w:gridCol w:w="2560"/>
      </w:tblGrid>
      <w:tr>
        <w:trPr>
          <w:tblHeader/>
        </w:trPr>
        <w:tc>
          <w:tcPr>
            <w:tcW w:type="dxa" w:w="2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Rol</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Origen</w:t>
            </w:r>
          </w:p>
        </w:tc>
        <w:tc>
          <w:tcPr>
            <w:tcW w:type="dxa" w:w="23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Dedicación</w:t>
            </w:r>
          </w:p>
        </w:tc>
        <w:tc>
          <w:tcPr>
            <w:tcW w:type="dxa" w:w="25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Responsabilidades</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Manager del Área de Integración</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(existente)</w:t>
            </w:r>
          </w:p>
        </w:tc>
        <w:tc>
          <w:tcPr>
            <w:tcW w:type="dxa" w:w="2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~25% del tiempo durante el proyecto.</w:t>
            </w:r>
          </w:p>
        </w:tc>
        <w:tc>
          <w:tcPr>
            <w:tcW w:type="dxa" w:w="2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Sponsor operativo. Aprobación de decisiones. Coordinación interna con SMS y otros stakeholders.</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Ingeniero de Integración A (designado para APIM)</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(existente)</w:t>
            </w:r>
          </w:p>
        </w:tc>
        <w:tc>
          <w:tcPr>
            <w:tcW w:type="dxa" w:w="2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~50% del tiempo durante el proyecto, escalando a 100% post go-live.</w:t>
            </w:r>
          </w:p>
        </w:tc>
        <w:tc>
          <w:tcPr>
            <w:tcW w:type="dxa" w:w="2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Co-implementación, shadowing con el especialista APIM del proveedor, futuro líder técnico del Área.</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Ingeniero de Integración B</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 (existente)</w:t>
            </w:r>
          </w:p>
        </w:tc>
        <w:tc>
          <w:tcPr>
            <w:tcW w:type="dxa" w:w="2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~30% del tiempo durante el proyecto.</w:t>
            </w:r>
          </w:p>
        </w:tc>
        <w:tc>
          <w:tcPr>
            <w:tcW w:type="dxa" w:w="2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Apoyo en onboarding SMS, pruebas, documentación, transferencia.</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Stakeholder técnico de SMS</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 SMS</w:t>
            </w:r>
          </w:p>
        </w:tc>
        <w:tc>
          <w:tcPr>
            <w:tcW w:type="dxa" w:w="2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Bajo demanda con sesiones planificadas.</w:t>
            </w:r>
          </w:p>
        </w:tc>
        <w:tc>
          <w:tcPr>
            <w:tcW w:type="dxa" w:w="2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Inventario de APIs, definición de consumidores, validación de migración.</w:t>
            </w:r>
          </w:p>
        </w:tc>
      </w:tr>
      <w:tr>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Responsable de identidad (Entra ID)</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TI corporativo C3ntro</w:t>
            </w:r>
          </w:p>
        </w:tc>
        <w:tc>
          <w:tcPr>
            <w:tcW w:type="dxa" w:w="2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del tiempo durante 2 semanas.</w:t>
            </w:r>
          </w:p>
        </w:tc>
        <w:tc>
          <w:tcPr>
            <w:tcW w:type="dxa" w:w="2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Creación de App Registrations, grupos, políticas de acceso.</w:t>
            </w:r>
          </w:p>
        </w:tc>
      </w:tr>
      <w:tr>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Responsable de DNS / certificados</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TI corporativo C3ntro</w:t>
            </w:r>
          </w:p>
        </w:tc>
        <w:tc>
          <w:tcPr>
            <w:tcW w:type="dxa" w:w="2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 durante 1 semana.</w:t>
            </w:r>
          </w:p>
        </w:tc>
        <w:tc>
          <w:tcPr>
            <w:tcW w:type="dxa" w:w="2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Delegación de subdominio, validación de certificados.</w:t>
            </w:r>
          </w:p>
        </w:tc>
      </w:tr>
    </w:tbl>
    <w:p>
      <w:pPr>
        <w:pStyle w:val="Heading2"/>
        <w:spacing w:after="160" w:before="280"/>
      </w:pPr>
      <w:r>
        <w:rPr>
          <w:rFonts w:ascii="Arial" w:cs="Arial" w:eastAsia="Arial" w:hAnsi="Arial"/>
          <w:b/>
          <w:bCs/>
          <w:color w:val="0078D4"/>
          <w:sz w:val="28"/>
          <w:szCs w:val="28"/>
        </w:rPr>
        <w:t xml:space="preserve">10.3 Modelo de transferencia de conocimiento</w:t>
      </w:r>
    </w:p>
    <w:p>
      <w:pPr>
        <w:spacing w:after="60" w:before="60" w:line="300"/>
        <w:jc w:val="left"/>
      </w:pPr>
      <w:r>
        <w:rPr>
          <w:rFonts w:ascii="Arial" w:cs="Arial" w:eastAsia="Arial" w:hAnsi="Arial"/>
          <w:color w:val="201F1E"/>
          <w:sz w:val="22"/>
          <w:szCs w:val="22"/>
        </w:rPr>
        <w:t xml:space="preserve">El objetivo es que los 2 ingenieros de C3ntro queden capacitados para operar la plataforma sin dependencia del proveedor en tareas day-to-day. La transferencia ocurre en tres ciclos:</w:t>
      </w:r>
    </w:p>
    <w:p>
      <w:pPr>
        <w:pStyle w:val="ListParagraph"/>
        <w:numPr>
          <w:ilvl w:val="0"/>
          <w:numId w:val="2"/>
        </w:numPr>
        <w:spacing w:after="40" w:before="40" w:line="280"/>
      </w:pPr>
      <w:r>
        <w:rPr>
          <w:rFonts w:ascii="Arial" w:cs="Arial" w:eastAsia="Arial" w:hAnsi="Arial"/>
          <w:b/>
          <w:bCs/>
          <w:color w:val="0078D4"/>
          <w:sz w:val="22"/>
          <w:szCs w:val="22"/>
        </w:rPr>
        <w:t xml:space="preserve">Ciclo 1 — Formación. </w:t>
      </w:r>
      <w:r>
        <w:rPr>
          <w:rFonts w:ascii="Arial" w:cs="Arial" w:eastAsia="Arial" w:hAnsi="Arial"/>
          <w:color w:val="201F1E"/>
          <w:sz w:val="22"/>
          <w:szCs w:val="22"/>
        </w:rPr>
        <w:t xml:space="preserve">Workshops formales sobre APIM, políticas, Workspaces, observabilidad. 5 sesiones de 3 horas cada una, repartidas a lo largo del proyecto.</w:t>
      </w:r>
    </w:p>
    <w:p>
      <w:pPr>
        <w:pStyle w:val="ListParagraph"/>
        <w:numPr>
          <w:ilvl w:val="0"/>
          <w:numId w:val="2"/>
        </w:numPr>
        <w:spacing w:after="40" w:before="40" w:line="280"/>
      </w:pPr>
      <w:r>
        <w:rPr>
          <w:rFonts w:ascii="Arial" w:cs="Arial" w:eastAsia="Arial" w:hAnsi="Arial"/>
          <w:b/>
          <w:bCs/>
          <w:color w:val="0078D4"/>
          <w:sz w:val="22"/>
          <w:szCs w:val="22"/>
        </w:rPr>
        <w:t xml:space="preserve">Ciclo 2 — Shadowing. </w:t>
      </w:r>
      <w:r>
        <w:rPr>
          <w:rFonts w:ascii="Arial" w:cs="Arial" w:eastAsia="Arial" w:hAnsi="Arial"/>
          <w:color w:val="201F1E"/>
          <w:sz w:val="22"/>
          <w:szCs w:val="22"/>
        </w:rPr>
        <w:t xml:space="preserve">Pair-programming entre el especialista APIM del proveedor y el ingeniero designado de C3ntro durante la implementación. Cada decisión técnica se explica y se documenta.</w:t>
      </w:r>
    </w:p>
    <w:p>
      <w:pPr>
        <w:pStyle w:val="ListParagraph"/>
        <w:numPr>
          <w:ilvl w:val="0"/>
          <w:numId w:val="2"/>
        </w:numPr>
        <w:spacing w:after="40" w:before="40" w:line="280"/>
      </w:pPr>
      <w:r>
        <w:rPr>
          <w:rFonts w:ascii="Arial" w:cs="Arial" w:eastAsia="Arial" w:hAnsi="Arial"/>
          <w:b/>
          <w:bCs/>
          <w:color w:val="0078D4"/>
          <w:sz w:val="22"/>
          <w:szCs w:val="22"/>
        </w:rPr>
        <w:t xml:space="preserve">Ciclo 3 — Ejecución asistida. </w:t>
      </w:r>
      <w:r>
        <w:rPr>
          <w:rFonts w:ascii="Arial" w:cs="Arial" w:eastAsia="Arial" w:hAnsi="Arial"/>
          <w:color w:val="201F1E"/>
          <w:sz w:val="22"/>
          <w:szCs w:val="22"/>
        </w:rPr>
        <w:t xml:space="preserve">El ingeniero de C3ntro ejecuta tareas de onboarding (configurar una nueva API, aplicar una política, debugear un incidente) con el proveedor en modo observador y validador.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2"/>
              <w:left w:val="single" w:color="0078D4" w:sz="12"/>
              <w:bottom w:val="single" w:color="0078D4" w:sz="4"/>
              <w:right w:val="single" w:color="0078D4" w:sz="4"/>
            </w:tcBorders>
            <w:shd w:fill="DEECF9" w:val="clear"/>
            <w:tcMar>
              <w:top w:type="dxa" w:w="180"/>
              <w:left w:type="dxa" w:w="220"/>
              <w:bottom w:type="dxa" w:w="180"/>
              <w:right w:type="dxa" w:w="220"/>
            </w:tcMar>
          </w:tcPr>
          <w:p>
            <w:pPr>
              <w:spacing w:after="100" w:before="0" w:line="280"/>
            </w:pPr>
            <w:r>
              <w:rPr>
                <w:rFonts w:ascii="Arial" w:cs="Arial" w:eastAsia="Arial" w:hAnsi="Arial"/>
                <w:b/>
                <w:bCs/>
                <w:color w:val="002050"/>
                <w:sz w:val="22"/>
                <w:szCs w:val="22"/>
              </w:rPr>
              <w:t xml:space="preserve">Entregable de transferencia</w:t>
            </w:r>
          </w:p>
          <w:p>
            <w:pPr>
              <w:spacing w:after="60" w:before="60" w:line="300"/>
              <w:jc w:val="left"/>
            </w:pPr>
            <w:r>
              <w:rPr>
                <w:rFonts w:ascii="Arial" w:cs="Arial" w:eastAsia="Arial" w:hAnsi="Arial"/>
                <w:b w:val="false"/>
                <w:bCs w:val="false"/>
                <w:color w:val="201F1E"/>
                <w:sz w:val="22"/>
                <w:szCs w:val="22"/>
              </w:rPr>
              <w:t xml:space="preserve">Al cierre del proyecto, el equipo de C3ntro recibe: runbooks operativos, biblioteca de políticas APIM comentadas, repositorio IaC con pipelines, documentación de arquitectura, guía de onboarding de nuevos clientes internos y registro de KQL queries para los dashboards principales.</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11. Plan de trabajo por fases</w:t>
      </w:r>
    </w:p>
    <w:p>
      <w:pPr>
        <w:spacing w:after="60" w:before="60" w:line="300"/>
        <w:jc w:val="left"/>
      </w:pPr>
      <w:r>
        <w:rPr>
          <w:rFonts w:ascii="Arial" w:cs="Arial" w:eastAsia="Arial" w:hAnsi="Arial"/>
          <w:color w:val="201F1E"/>
          <w:sz w:val="22"/>
          <w:szCs w:val="22"/>
        </w:rPr>
        <w:t xml:space="preserve">El proyecto se estructura en 5 fases con una duración total estimada de 16 semanas (~4 meses) desde el kickoff hasta el go-live productivo de SMS. La fase 5 (estabilización) se solapa con el arranque operativo del Área.</w:t>
      </w:r>
    </w:p>
    <w:p>
      <w:pPr>
        <w:pStyle w:val="Heading2"/>
        <w:spacing w:after="160" w:before="280"/>
      </w:pPr>
      <w:r>
        <w:rPr>
          <w:rFonts w:ascii="Arial" w:cs="Arial" w:eastAsia="Arial" w:hAnsi="Arial"/>
          <w:b/>
          <w:bCs/>
          <w:color w:val="0078D4"/>
          <w:sz w:val="28"/>
          <w:szCs w:val="28"/>
        </w:rPr>
        <w:t xml:space="preserve">11.1 Resumen de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00"/>
        <w:gridCol w:w="4560"/>
      </w:tblGrid>
      <w:tr>
        <w:trPr>
          <w:tblHeader/>
        </w:trPr>
        <w:tc>
          <w:tcPr>
            <w:tcW w:type="dxa" w:w="6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Fase</w:t>
            </w:r>
          </w:p>
        </w:tc>
        <w:tc>
          <w:tcPr>
            <w:tcW w:type="dxa" w:w="2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Nombre</w:t>
            </w:r>
          </w:p>
        </w:tc>
        <w:tc>
          <w:tcPr>
            <w:tcW w:type="dxa" w:w="1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Duración</w:t>
            </w:r>
          </w:p>
        </w:tc>
        <w:tc>
          <w:tcPr>
            <w:tcW w:type="dxa" w:w="45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Hitos clave</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F1</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Discovery y diseño detallado</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 semanas</w:t>
            </w:r>
          </w:p>
        </w:tc>
        <w:tc>
          <w:tcPr>
            <w:tcW w:type="dxa" w:w="4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Arquitectura aprobada, plan detallado de implementación, validación con stakeholders C3ntro.</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F2</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Implementación de plataforma base</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 semanas</w:t>
            </w:r>
          </w:p>
        </w:tc>
        <w:tc>
          <w:tcPr>
            <w:tcW w:type="dxa" w:w="4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APIM Premium desplegado y configurado, identidad federada, observabilidad activa, IaC operativo.</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F3</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Onboarding del cliente ancla SMS</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 semanas</w:t>
            </w:r>
          </w:p>
        </w:tc>
        <w:tc>
          <w:tcPr>
            <w:tcW w:type="dxa" w:w="4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APIs SMS publicadas en workspace, productos y suscripciones configurados, pruebas funcionales y de carga aprobadas.</w:t>
            </w:r>
          </w:p>
        </w:tc>
      </w:tr>
      <w:tr>
        <w:tc>
          <w:tcPr>
            <w:tcW w:type="dxa" w:w="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F4</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Hardening, pruebas finales y go-live</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 semanas</w:t>
            </w:r>
          </w:p>
        </w:tc>
        <w:tc>
          <w:tcPr>
            <w:tcW w:type="dxa" w:w="45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Auditoría de seguridad interna, pruebas de DR, training final, go-live productivo.</w:t>
            </w:r>
          </w:p>
        </w:tc>
      </w:tr>
      <w:tr>
        <w:tc>
          <w:tcPr>
            <w:tcW w:type="dxa" w:w="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F5</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Estabilización y transferencia</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 semanas</w:t>
            </w:r>
          </w:p>
        </w:tc>
        <w:tc>
          <w:tcPr>
            <w:tcW w:type="dxa" w:w="45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Operación con sombra del proveedor, ajustes finos, cierre formal del proyecto.</w:t>
            </w:r>
          </w:p>
        </w:tc>
      </w:tr>
    </w:tbl>
    <w:p>
      <w:pPr>
        <w:pStyle w:val="Heading2"/>
        <w:spacing w:after="160" w:before="280"/>
      </w:pPr>
      <w:r>
        <w:rPr>
          <w:rFonts w:ascii="Arial" w:cs="Arial" w:eastAsia="Arial" w:hAnsi="Arial"/>
          <w:b/>
          <w:bCs/>
          <w:color w:val="0078D4"/>
          <w:sz w:val="28"/>
          <w:szCs w:val="28"/>
        </w:rPr>
        <w:t xml:space="preserve">11.2 Detalle por fase</w:t>
      </w:r>
    </w:p>
    <w:p>
      <w:pPr>
        <w:pStyle w:val="Heading3"/>
        <w:spacing w:after="120" w:before="200"/>
      </w:pPr>
      <w:r>
        <w:rPr>
          <w:rFonts w:ascii="Arial" w:cs="Arial" w:eastAsia="Arial" w:hAnsi="Arial"/>
          <w:b/>
          <w:bCs/>
          <w:color w:val="002050"/>
          <w:sz w:val="24"/>
          <w:szCs w:val="24"/>
        </w:rPr>
        <w:t xml:space="preserve">Fase 1 — Discovery y diseño detallado (semanas 1-3)</w:t>
      </w:r>
    </w:p>
    <w:p>
      <w:pPr>
        <w:pStyle w:val="ListParagraph"/>
        <w:numPr>
          <w:ilvl w:val="0"/>
          <w:numId w:val="2"/>
        </w:numPr>
        <w:spacing w:after="40" w:before="40" w:line="280"/>
      </w:pPr>
      <w:r>
        <w:rPr>
          <w:rFonts w:ascii="Arial" w:cs="Arial" w:eastAsia="Arial" w:hAnsi="Arial"/>
          <w:color w:val="201F1E"/>
          <w:sz w:val="22"/>
          <w:szCs w:val="22"/>
        </w:rPr>
        <w:t xml:space="preserve">Kickoff con stakeholders C3ntro (Área de Integración, SMS, identidad, DNS, seguridad).</w:t>
      </w:r>
    </w:p>
    <w:p>
      <w:pPr>
        <w:pStyle w:val="ListParagraph"/>
        <w:numPr>
          <w:ilvl w:val="0"/>
          <w:numId w:val="2"/>
        </w:numPr>
        <w:spacing w:after="40" w:before="40" w:line="280"/>
      </w:pPr>
      <w:r>
        <w:rPr>
          <w:rFonts w:ascii="Arial" w:cs="Arial" w:eastAsia="Arial" w:hAnsi="Arial"/>
          <w:color w:val="201F1E"/>
          <w:sz w:val="22"/>
          <w:szCs w:val="22"/>
        </w:rPr>
        <w:t xml:space="preserve">Inventario de APIs SMS a migrar, consumidores existentes, contratos vigentes.</w:t>
      </w:r>
    </w:p>
    <w:p>
      <w:pPr>
        <w:pStyle w:val="ListParagraph"/>
        <w:numPr>
          <w:ilvl w:val="0"/>
          <w:numId w:val="2"/>
        </w:numPr>
        <w:spacing w:after="40" w:before="40" w:line="280"/>
      </w:pPr>
      <w:r>
        <w:rPr>
          <w:rFonts w:ascii="Arial" w:cs="Arial" w:eastAsia="Arial" w:hAnsi="Arial"/>
          <w:color w:val="201F1E"/>
          <w:sz w:val="22"/>
          <w:szCs w:val="22"/>
        </w:rPr>
        <w:t xml:space="preserve">Definición de naming, tagging, RBAC, política de versiones.</w:t>
      </w:r>
    </w:p>
    <w:p>
      <w:pPr>
        <w:pStyle w:val="ListParagraph"/>
        <w:numPr>
          <w:ilvl w:val="0"/>
          <w:numId w:val="2"/>
        </w:numPr>
        <w:spacing w:after="40" w:before="40" w:line="280"/>
      </w:pPr>
      <w:r>
        <w:rPr>
          <w:rFonts w:ascii="Arial" w:cs="Arial" w:eastAsia="Arial" w:hAnsi="Arial"/>
          <w:color w:val="201F1E"/>
          <w:sz w:val="22"/>
          <w:szCs w:val="22"/>
        </w:rPr>
        <w:t xml:space="preserve">Diseño de arquitectura final aprobada (HLD + LLD).</w:t>
      </w:r>
    </w:p>
    <w:p>
      <w:pPr>
        <w:pStyle w:val="ListParagraph"/>
        <w:numPr>
          <w:ilvl w:val="0"/>
          <w:numId w:val="2"/>
        </w:numPr>
        <w:spacing w:after="40" w:before="40" w:line="280"/>
      </w:pPr>
      <w:r>
        <w:rPr>
          <w:rFonts w:ascii="Arial" w:cs="Arial" w:eastAsia="Arial" w:hAnsi="Arial"/>
          <w:color w:val="201F1E"/>
          <w:sz w:val="22"/>
          <w:szCs w:val="22"/>
        </w:rPr>
        <w:t xml:space="preserve">Definición de criterios de aceptación por componente.</w:t>
      </w:r>
    </w:p>
    <w:p>
      <w:pPr>
        <w:pStyle w:val="ListParagraph"/>
        <w:numPr>
          <w:ilvl w:val="0"/>
          <w:numId w:val="2"/>
        </w:numPr>
        <w:spacing w:after="40" w:before="40" w:line="280"/>
      </w:pPr>
      <w:r>
        <w:rPr>
          <w:rFonts w:ascii="Arial" w:cs="Arial" w:eastAsia="Arial" w:hAnsi="Arial"/>
          <w:color w:val="201F1E"/>
          <w:sz w:val="22"/>
          <w:szCs w:val="22"/>
        </w:rPr>
        <w:t xml:space="preserve">Plan de comunicación y de gestión de cambios.</w:t>
      </w:r>
    </w:p>
    <w:p>
      <w:pPr>
        <w:spacing w:after="60" w:before="60" w:line="300"/>
        <w:jc w:val="left"/>
      </w:pPr>
      <w:r>
        <w:rPr>
          <w:rFonts w:ascii="Arial" w:cs="Arial" w:eastAsia="Arial" w:hAnsi="Arial"/>
          <w:i/>
          <w:iCs/>
          <w:color w:val="605E5C"/>
          <w:sz w:val="22"/>
          <w:szCs w:val="22"/>
        </w:rPr>
        <w:t xml:space="preserve">Entregables: documento HLD, documento LLD, matriz de RACI, plan detallado.</w:t>
      </w:r>
    </w:p>
    <w:p>
      <w:pPr>
        <w:pStyle w:val="Heading3"/>
        <w:spacing w:after="120" w:before="200"/>
      </w:pPr>
      <w:r>
        <w:rPr>
          <w:rFonts w:ascii="Arial" w:cs="Arial" w:eastAsia="Arial" w:hAnsi="Arial"/>
          <w:b/>
          <w:bCs/>
          <w:color w:val="002050"/>
          <w:sz w:val="24"/>
          <w:szCs w:val="24"/>
        </w:rPr>
        <w:t xml:space="preserve">Fase 2 — Implementación de plataforma base (semanas 4-7)</w:t>
      </w:r>
    </w:p>
    <w:p>
      <w:pPr>
        <w:pStyle w:val="ListParagraph"/>
        <w:numPr>
          <w:ilvl w:val="0"/>
          <w:numId w:val="2"/>
        </w:numPr>
        <w:spacing w:after="40" w:before="40" w:line="280"/>
      </w:pPr>
      <w:r>
        <w:rPr>
          <w:rFonts w:ascii="Arial" w:cs="Arial" w:eastAsia="Arial" w:hAnsi="Arial"/>
          <w:color w:val="201F1E"/>
          <w:sz w:val="22"/>
          <w:szCs w:val="22"/>
        </w:rPr>
        <w:t xml:space="preserve">Aprovisionamiento Bicep/IaC de APIM Premium en Mexico Central con zone redundancy.</w:t>
      </w:r>
    </w:p>
    <w:p>
      <w:pPr>
        <w:pStyle w:val="ListParagraph"/>
        <w:numPr>
          <w:ilvl w:val="0"/>
          <w:numId w:val="2"/>
        </w:numPr>
        <w:spacing w:after="40" w:before="40" w:line="280"/>
      </w:pPr>
      <w:r>
        <w:rPr>
          <w:rFonts w:ascii="Arial" w:cs="Arial" w:eastAsia="Arial" w:hAnsi="Arial"/>
          <w:color w:val="201F1E"/>
          <w:sz w:val="22"/>
          <w:szCs w:val="22"/>
        </w:rPr>
        <w:t xml:space="preserve">Configuración de custom domain, certificados, Key Vault, managed identity.</w:t>
      </w:r>
    </w:p>
    <w:p>
      <w:pPr>
        <w:pStyle w:val="ListParagraph"/>
        <w:numPr>
          <w:ilvl w:val="0"/>
          <w:numId w:val="2"/>
        </w:numPr>
        <w:spacing w:after="40" w:before="40" w:line="280"/>
      </w:pPr>
      <w:r>
        <w:rPr>
          <w:rFonts w:ascii="Arial" w:cs="Arial" w:eastAsia="Arial" w:hAnsi="Arial"/>
          <w:color w:val="201F1E"/>
          <w:sz w:val="22"/>
          <w:szCs w:val="22"/>
        </w:rPr>
        <w:t xml:space="preserve">Federación con Entra ID, RBAC inicial, App Registrations.</w:t>
      </w:r>
    </w:p>
    <w:p>
      <w:pPr>
        <w:pStyle w:val="ListParagraph"/>
        <w:numPr>
          <w:ilvl w:val="0"/>
          <w:numId w:val="2"/>
        </w:numPr>
        <w:spacing w:after="40" w:before="40" w:line="280"/>
      </w:pPr>
      <w:r>
        <w:rPr>
          <w:rFonts w:ascii="Arial" w:cs="Arial" w:eastAsia="Arial" w:hAnsi="Arial"/>
          <w:color w:val="201F1E"/>
          <w:sz w:val="22"/>
          <w:szCs w:val="22"/>
        </w:rPr>
        <w:t xml:space="preserve">Despliegue de Application Insights, Log Analytics Workspace, Event Hub, alertas base.</w:t>
      </w:r>
    </w:p>
    <w:p>
      <w:pPr>
        <w:pStyle w:val="ListParagraph"/>
        <w:numPr>
          <w:ilvl w:val="0"/>
          <w:numId w:val="2"/>
        </w:numPr>
        <w:spacing w:after="40" w:before="40" w:line="280"/>
      </w:pPr>
      <w:r>
        <w:rPr>
          <w:rFonts w:ascii="Arial" w:cs="Arial" w:eastAsia="Arial" w:hAnsi="Arial"/>
          <w:color w:val="201F1E"/>
          <w:sz w:val="22"/>
          <w:szCs w:val="22"/>
        </w:rPr>
        <w:t xml:space="preserve">Configuración de Workspaces (platform-admin, sms, plantilla contact-center).</w:t>
      </w:r>
    </w:p>
    <w:p>
      <w:pPr>
        <w:pStyle w:val="ListParagraph"/>
        <w:numPr>
          <w:ilvl w:val="0"/>
          <w:numId w:val="2"/>
        </w:numPr>
        <w:spacing w:after="40" w:before="40" w:line="280"/>
      </w:pPr>
      <w:r>
        <w:rPr>
          <w:rFonts w:ascii="Arial" w:cs="Arial" w:eastAsia="Arial" w:hAnsi="Arial"/>
          <w:color w:val="201F1E"/>
          <w:sz w:val="22"/>
          <w:szCs w:val="22"/>
        </w:rPr>
        <w:t xml:space="preserve">Setup de pipelines CI/CD Azure DevOps / GitHub Actions.</w:t>
      </w:r>
    </w:p>
    <w:p>
      <w:pPr>
        <w:pStyle w:val="ListParagraph"/>
        <w:numPr>
          <w:ilvl w:val="0"/>
          <w:numId w:val="2"/>
        </w:numPr>
        <w:spacing w:after="40" w:before="40" w:line="280"/>
      </w:pPr>
      <w:r>
        <w:rPr>
          <w:rFonts w:ascii="Arial" w:cs="Arial" w:eastAsia="Arial" w:hAnsi="Arial"/>
          <w:color w:val="201F1E"/>
          <w:sz w:val="22"/>
          <w:szCs w:val="22"/>
        </w:rPr>
        <w:t xml:space="preserve">Biblioteca inicial de políticas APIM (validate-jwt, rate-limit, log-to-eventhub, retry, circuit-breaker, set-header, cors).</w:t>
      </w:r>
    </w:p>
    <w:p>
      <w:pPr>
        <w:spacing w:after="60" w:before="60" w:line="300"/>
        <w:jc w:val="left"/>
      </w:pPr>
      <w:r>
        <w:rPr>
          <w:rFonts w:ascii="Arial" w:cs="Arial" w:eastAsia="Arial" w:hAnsi="Arial"/>
          <w:i/>
          <w:iCs/>
          <w:color w:val="605E5C"/>
          <w:sz w:val="22"/>
          <w:szCs w:val="22"/>
        </w:rPr>
        <w:t xml:space="preserve">Entregables: ambiente dev/qa/prod operativos, IaC, pipelines, biblioteca de políticas, dashboards iniciales.</w:t>
      </w:r>
    </w:p>
    <w:p>
      <w:pPr>
        <w:pStyle w:val="Heading3"/>
        <w:spacing w:after="120" w:before="200"/>
      </w:pPr>
      <w:r>
        <w:rPr>
          <w:rFonts w:ascii="Arial" w:cs="Arial" w:eastAsia="Arial" w:hAnsi="Arial"/>
          <w:b/>
          <w:bCs/>
          <w:color w:val="002050"/>
          <w:sz w:val="24"/>
          <w:szCs w:val="24"/>
        </w:rPr>
        <w:t xml:space="preserve">Fase 3 — Onboarding del cliente ancla SMS (semanas 8-12)</w:t>
      </w:r>
    </w:p>
    <w:p>
      <w:pPr>
        <w:pStyle w:val="ListParagraph"/>
        <w:numPr>
          <w:ilvl w:val="0"/>
          <w:numId w:val="2"/>
        </w:numPr>
        <w:spacing w:after="40" w:before="40" w:line="280"/>
      </w:pPr>
      <w:r>
        <w:rPr>
          <w:rFonts w:ascii="Arial" w:cs="Arial" w:eastAsia="Arial" w:hAnsi="Arial"/>
          <w:color w:val="201F1E"/>
          <w:sz w:val="22"/>
          <w:szCs w:val="22"/>
        </w:rPr>
        <w:t xml:space="preserve">Construcción de OpenAPI specs para APIs SMS (si no existen) o normalización de las existentes.</w:t>
      </w:r>
    </w:p>
    <w:p>
      <w:pPr>
        <w:pStyle w:val="ListParagraph"/>
        <w:numPr>
          <w:ilvl w:val="0"/>
          <w:numId w:val="2"/>
        </w:numPr>
        <w:spacing w:after="40" w:before="40" w:line="280"/>
      </w:pPr>
      <w:r>
        <w:rPr>
          <w:rFonts w:ascii="Arial" w:cs="Arial" w:eastAsia="Arial" w:hAnsi="Arial"/>
          <w:color w:val="201F1E"/>
          <w:sz w:val="22"/>
          <w:szCs w:val="22"/>
        </w:rPr>
        <w:t xml:space="preserve">Importación de APIs al workspace sms con políticas heredadas.</w:t>
      </w:r>
    </w:p>
    <w:p>
      <w:pPr>
        <w:pStyle w:val="ListParagraph"/>
        <w:numPr>
          <w:ilvl w:val="0"/>
          <w:numId w:val="2"/>
        </w:numPr>
        <w:spacing w:after="40" w:before="40" w:line="280"/>
      </w:pPr>
      <w:r>
        <w:rPr>
          <w:rFonts w:ascii="Arial" w:cs="Arial" w:eastAsia="Arial" w:hAnsi="Arial"/>
          <w:color w:val="201F1E"/>
          <w:sz w:val="22"/>
          <w:szCs w:val="22"/>
        </w:rPr>
        <w:t xml:space="preserve">Definición de productos (SMS-Estándar, SMS-Premium, SMS-Internal) y planes con límites diferenciados.</w:t>
      </w:r>
    </w:p>
    <w:p>
      <w:pPr>
        <w:pStyle w:val="ListParagraph"/>
        <w:numPr>
          <w:ilvl w:val="0"/>
          <w:numId w:val="2"/>
        </w:numPr>
        <w:spacing w:after="40" w:before="40" w:line="280"/>
      </w:pPr>
      <w:r>
        <w:rPr>
          <w:rFonts w:ascii="Arial" w:cs="Arial" w:eastAsia="Arial" w:hAnsi="Arial"/>
          <w:color w:val="201F1E"/>
          <w:sz w:val="22"/>
          <w:szCs w:val="22"/>
        </w:rPr>
        <w:t xml:space="preserve">Configuración de suscripciones para cada consumidor existente identificado.</w:t>
      </w:r>
    </w:p>
    <w:p>
      <w:pPr>
        <w:pStyle w:val="ListParagraph"/>
        <w:numPr>
          <w:ilvl w:val="0"/>
          <w:numId w:val="2"/>
        </w:numPr>
        <w:spacing w:after="40" w:before="40" w:line="280"/>
      </w:pPr>
      <w:r>
        <w:rPr>
          <w:rFonts w:ascii="Arial" w:cs="Arial" w:eastAsia="Arial" w:hAnsi="Arial"/>
          <w:color w:val="201F1E"/>
          <w:sz w:val="22"/>
          <w:szCs w:val="22"/>
        </w:rPr>
        <w:t xml:space="preserve">Pruebas funcionales por API y operación.</w:t>
      </w:r>
    </w:p>
    <w:p>
      <w:pPr>
        <w:pStyle w:val="ListParagraph"/>
        <w:numPr>
          <w:ilvl w:val="0"/>
          <w:numId w:val="2"/>
        </w:numPr>
        <w:spacing w:after="40" w:before="40" w:line="280"/>
      </w:pPr>
      <w:r>
        <w:rPr>
          <w:rFonts w:ascii="Arial" w:cs="Arial" w:eastAsia="Arial" w:hAnsi="Arial"/>
          <w:color w:val="201F1E"/>
          <w:sz w:val="22"/>
          <w:szCs w:val="22"/>
        </w:rPr>
        <w:t xml:space="preserve">Pruebas de carga representativa para validar throughput y latencia.</w:t>
      </w:r>
    </w:p>
    <w:p>
      <w:pPr>
        <w:pStyle w:val="ListParagraph"/>
        <w:numPr>
          <w:ilvl w:val="0"/>
          <w:numId w:val="2"/>
        </w:numPr>
        <w:spacing w:after="40" w:before="40" w:line="280"/>
      </w:pPr>
      <w:r>
        <w:rPr>
          <w:rFonts w:ascii="Arial" w:cs="Arial" w:eastAsia="Arial" w:hAnsi="Arial"/>
          <w:color w:val="201F1E"/>
          <w:sz w:val="22"/>
          <w:szCs w:val="22"/>
        </w:rPr>
        <w:t xml:space="preserve">Configuración del developer portal con branding C3ntro.</w:t>
      </w:r>
    </w:p>
    <w:p>
      <w:pPr>
        <w:pStyle w:val="ListParagraph"/>
        <w:numPr>
          <w:ilvl w:val="0"/>
          <w:numId w:val="2"/>
        </w:numPr>
        <w:spacing w:after="40" w:before="40" w:line="280"/>
      </w:pPr>
      <w:r>
        <w:rPr>
          <w:rFonts w:ascii="Arial" w:cs="Arial" w:eastAsia="Arial" w:hAnsi="Arial"/>
          <w:color w:val="201F1E"/>
          <w:sz w:val="22"/>
          <w:szCs w:val="22"/>
        </w:rPr>
        <w:t xml:space="preserve">Sesiones con consumidores de SMS para migración: nuevas URLs, nuevas claves, ventanas de coexistencia.</w:t>
      </w:r>
    </w:p>
    <w:p>
      <w:pPr>
        <w:spacing w:after="60" w:before="60" w:line="300"/>
        <w:jc w:val="left"/>
      </w:pPr>
      <w:r>
        <w:rPr>
          <w:rFonts w:ascii="Arial" w:cs="Arial" w:eastAsia="Arial" w:hAnsi="Arial"/>
          <w:i/>
          <w:iCs/>
          <w:color w:val="605E5C"/>
          <w:sz w:val="22"/>
          <w:szCs w:val="22"/>
        </w:rPr>
        <w:t xml:space="preserve">Entregables: APIs SMS productivas en APIM, portal developer publicado, reporte de pruebas.</w:t>
      </w:r>
    </w:p>
    <w:p>
      <w:pPr>
        <w:pStyle w:val="Heading3"/>
        <w:spacing w:after="120" w:before="200"/>
      </w:pPr>
      <w:r>
        <w:rPr>
          <w:rFonts w:ascii="Arial" w:cs="Arial" w:eastAsia="Arial" w:hAnsi="Arial"/>
          <w:b/>
          <w:bCs/>
          <w:color w:val="002050"/>
          <w:sz w:val="24"/>
          <w:szCs w:val="24"/>
        </w:rPr>
        <w:t xml:space="preserve">Fase 4 — Hardening, pruebas finales y go-live (semanas 13-14)</w:t>
      </w:r>
    </w:p>
    <w:p>
      <w:pPr>
        <w:pStyle w:val="ListParagraph"/>
        <w:numPr>
          <w:ilvl w:val="0"/>
          <w:numId w:val="2"/>
        </w:numPr>
        <w:spacing w:after="40" w:before="40" w:line="280"/>
      </w:pPr>
      <w:r>
        <w:rPr>
          <w:rFonts w:ascii="Arial" w:cs="Arial" w:eastAsia="Arial" w:hAnsi="Arial"/>
          <w:color w:val="201F1E"/>
          <w:sz w:val="22"/>
          <w:szCs w:val="22"/>
        </w:rPr>
        <w:t xml:space="preserve">Revisión de seguridad: políticas de validación, almacenamiento de secretos, RBAC, exposición pública.</w:t>
      </w:r>
    </w:p>
    <w:p>
      <w:pPr>
        <w:pStyle w:val="ListParagraph"/>
        <w:numPr>
          <w:ilvl w:val="0"/>
          <w:numId w:val="2"/>
        </w:numPr>
        <w:spacing w:after="40" w:before="40" w:line="280"/>
      </w:pPr>
      <w:r>
        <w:rPr>
          <w:rFonts w:ascii="Arial" w:cs="Arial" w:eastAsia="Arial" w:hAnsi="Arial"/>
          <w:color w:val="201F1E"/>
          <w:sz w:val="22"/>
          <w:szCs w:val="22"/>
        </w:rPr>
        <w:t xml:space="preserve">Prueba de failover entre zonas de disponibilidad.</w:t>
      </w:r>
    </w:p>
    <w:p>
      <w:pPr>
        <w:pStyle w:val="ListParagraph"/>
        <w:numPr>
          <w:ilvl w:val="0"/>
          <w:numId w:val="2"/>
        </w:numPr>
        <w:spacing w:after="40" w:before="40" w:line="280"/>
      </w:pPr>
      <w:r>
        <w:rPr>
          <w:rFonts w:ascii="Arial" w:cs="Arial" w:eastAsia="Arial" w:hAnsi="Arial"/>
          <w:color w:val="201F1E"/>
          <w:sz w:val="22"/>
          <w:szCs w:val="22"/>
        </w:rPr>
        <w:t xml:space="preserve">Pruebas de circuit breaker y retry con backend simulado en falla.</w:t>
      </w:r>
    </w:p>
    <w:p>
      <w:pPr>
        <w:pStyle w:val="ListParagraph"/>
        <w:numPr>
          <w:ilvl w:val="0"/>
          <w:numId w:val="2"/>
        </w:numPr>
        <w:spacing w:after="40" w:before="40" w:line="280"/>
      </w:pPr>
      <w:r>
        <w:rPr>
          <w:rFonts w:ascii="Arial" w:cs="Arial" w:eastAsia="Arial" w:hAnsi="Arial"/>
          <w:color w:val="201F1E"/>
          <w:sz w:val="22"/>
          <w:szCs w:val="22"/>
        </w:rPr>
        <w:t xml:space="preserve">Validación de exportación a Event Hubs y consumo desde sistema de facturación interno (o simulación).</w:t>
      </w:r>
    </w:p>
    <w:p>
      <w:pPr>
        <w:pStyle w:val="ListParagraph"/>
        <w:numPr>
          <w:ilvl w:val="0"/>
          <w:numId w:val="2"/>
        </w:numPr>
        <w:spacing w:after="40" w:before="40" w:line="280"/>
      </w:pPr>
      <w:r>
        <w:rPr>
          <w:rFonts w:ascii="Arial" w:cs="Arial" w:eastAsia="Arial" w:hAnsi="Arial"/>
          <w:color w:val="201F1E"/>
          <w:sz w:val="22"/>
          <w:szCs w:val="22"/>
        </w:rPr>
        <w:t xml:space="preserve">Training final al equipo de C3ntro.</w:t>
      </w:r>
    </w:p>
    <w:p>
      <w:pPr>
        <w:pStyle w:val="ListParagraph"/>
        <w:numPr>
          <w:ilvl w:val="0"/>
          <w:numId w:val="2"/>
        </w:numPr>
        <w:spacing w:after="40" w:before="40" w:line="280"/>
      </w:pPr>
      <w:r>
        <w:rPr>
          <w:rFonts w:ascii="Arial" w:cs="Arial" w:eastAsia="Arial" w:hAnsi="Arial"/>
          <w:color w:val="201F1E"/>
          <w:sz w:val="22"/>
          <w:szCs w:val="22"/>
        </w:rPr>
        <w:t xml:space="preserve">Go-live productivo de SMS sobre APIM.</w:t>
      </w:r>
    </w:p>
    <w:p>
      <w:pPr>
        <w:spacing w:after="60" w:before="60" w:line="300"/>
        <w:jc w:val="left"/>
      </w:pPr>
      <w:r>
        <w:rPr>
          <w:rFonts w:ascii="Arial" w:cs="Arial" w:eastAsia="Arial" w:hAnsi="Arial"/>
          <w:i/>
          <w:iCs/>
          <w:color w:val="605E5C"/>
          <w:sz w:val="22"/>
          <w:szCs w:val="22"/>
        </w:rPr>
        <w:t xml:space="preserve">Entregables: reporte de hardening, evidencia de pruebas, sign-off de go-live.</w:t>
      </w:r>
    </w:p>
    <w:p>
      <w:pPr>
        <w:pStyle w:val="Heading3"/>
        <w:spacing w:after="120" w:before="200"/>
      </w:pPr>
      <w:r>
        <w:rPr>
          <w:rFonts w:ascii="Arial" w:cs="Arial" w:eastAsia="Arial" w:hAnsi="Arial"/>
          <w:b/>
          <w:bCs/>
          <w:color w:val="002050"/>
          <w:sz w:val="24"/>
          <w:szCs w:val="24"/>
        </w:rPr>
        <w:t xml:space="preserve">Fase 5 — Estabilización y transferencia (semanas 15-16)</w:t>
      </w:r>
    </w:p>
    <w:p>
      <w:pPr>
        <w:pStyle w:val="ListParagraph"/>
        <w:numPr>
          <w:ilvl w:val="0"/>
          <w:numId w:val="2"/>
        </w:numPr>
        <w:spacing w:after="40" w:before="40" w:line="280"/>
      </w:pPr>
      <w:r>
        <w:rPr>
          <w:rFonts w:ascii="Arial" w:cs="Arial" w:eastAsia="Arial" w:hAnsi="Arial"/>
          <w:color w:val="201F1E"/>
          <w:sz w:val="22"/>
          <w:szCs w:val="22"/>
        </w:rPr>
        <w:t xml:space="preserve">Operación en sombra: el equipo de C3ntro opera, el proveedor observa y respalda.</w:t>
      </w:r>
    </w:p>
    <w:p>
      <w:pPr>
        <w:pStyle w:val="ListParagraph"/>
        <w:numPr>
          <w:ilvl w:val="0"/>
          <w:numId w:val="2"/>
        </w:numPr>
        <w:spacing w:after="40" w:before="40" w:line="280"/>
      </w:pPr>
      <w:r>
        <w:rPr>
          <w:rFonts w:ascii="Arial" w:cs="Arial" w:eastAsia="Arial" w:hAnsi="Arial"/>
          <w:color w:val="201F1E"/>
          <w:sz w:val="22"/>
          <w:szCs w:val="22"/>
        </w:rPr>
        <w:t xml:space="preserve">Ajustes finos basados en métricas reales (tuning de políticas, rate limits, alertas).</w:t>
      </w:r>
    </w:p>
    <w:p>
      <w:pPr>
        <w:pStyle w:val="ListParagraph"/>
        <w:numPr>
          <w:ilvl w:val="0"/>
          <w:numId w:val="2"/>
        </w:numPr>
        <w:spacing w:after="40" w:before="40" w:line="280"/>
      </w:pPr>
      <w:r>
        <w:rPr>
          <w:rFonts w:ascii="Arial" w:cs="Arial" w:eastAsia="Arial" w:hAnsi="Arial"/>
          <w:color w:val="201F1E"/>
          <w:sz w:val="22"/>
          <w:szCs w:val="22"/>
        </w:rPr>
        <w:t xml:space="preserve">Cierre formal del proyecto: documentación entregada, lessons learned, plan de evolución.</w:t>
      </w:r>
    </w:p>
    <w:p>
      <w:pPr>
        <w:pStyle w:val="ListParagraph"/>
        <w:numPr>
          <w:ilvl w:val="0"/>
          <w:numId w:val="2"/>
        </w:numPr>
        <w:spacing w:after="40" w:before="40" w:line="280"/>
      </w:pPr>
      <w:r>
        <w:rPr>
          <w:rFonts w:ascii="Arial" w:cs="Arial" w:eastAsia="Arial" w:hAnsi="Arial"/>
          <w:color w:val="201F1E"/>
          <w:sz w:val="22"/>
          <w:szCs w:val="22"/>
        </w:rPr>
        <w:t xml:space="preserve">Activación opcional del servicio gestionado mensual.</w:t>
      </w:r>
    </w:p>
    <w:p>
      <w:pPr>
        <w:spacing w:after="60" w:before="60" w:line="300"/>
        <w:jc w:val="left"/>
      </w:pPr>
      <w:r>
        <w:rPr>
          <w:rFonts w:ascii="Arial" w:cs="Arial" w:eastAsia="Arial" w:hAnsi="Arial"/>
          <w:i/>
          <w:iCs/>
          <w:color w:val="605E5C"/>
          <w:sz w:val="22"/>
          <w:szCs w:val="22"/>
        </w:rPr>
        <w:t xml:space="preserve">Entregables: documentación final, acta de cierre, propuesta de servicio gestionado.</w:t>
      </w:r>
    </w:p>
    <w:p>
      <w:r>
        <w:br w:type="page"/>
      </w:r>
    </w:p>
    <w:p>
      <w:pPr>
        <w:pStyle w:val="Heading2"/>
        <w:spacing w:after="160" w:before="280"/>
      </w:pPr>
      <w:r>
        <w:rPr>
          <w:rFonts w:ascii="Arial" w:cs="Arial" w:eastAsia="Arial" w:hAnsi="Arial"/>
          <w:b/>
          <w:bCs/>
          <w:color w:val="0078D4"/>
          <w:sz w:val="28"/>
          <w:szCs w:val="28"/>
        </w:rPr>
        <w:t xml:space="preserve">11.3 Cronograma visual (Gantt simplificado)</w:t>
      </w:r>
    </w:p>
    <w:p>
      <w:pPr>
        <w:shd w:fill="F3F2F1" w:val="clear"/>
        <w:spacing w:after="60" w:before="120"/>
      </w:pPr>
      <w:r>
        <w:rPr>
          <w:rFonts w:ascii="Consolas" w:cs="Consolas" w:eastAsia="Consolas" w:hAnsi="Consolas"/>
          <w:color w:val="201F1E"/>
          <w:sz w:val="18"/>
          <w:szCs w:val="18"/>
        </w:rPr>
        <w:t xml:space="preserve">Semana       1  2  3  4  5  6  7  8  9 10 11 12 13 14 15 16
            ─────────────────────────────────────────────────
F1 Discovery ▓▓ ▓▓ ▓▓
F2 Base               ▓▓ ▓▓ ▓▓ ▓▓
F3 SMS                            ▓▓ ▓▓ ▓▓ ▓▓ ▓▓
F4 Go-live                                          ▓▓ ▓▓
F5 Estab.                                                 ▓▓ ▓▓
            ─────────────────────────────────────────────────
            Sem 3:  Diseño firmado                     ◆
            Sem 7:  Plataforma base OK                 ◆
            Sem 12: SMS funcional en QA                ◆
            Sem 14: Go-live SMS productivo             ◆
            Sem 16: Cierre del proyecto                ◆</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12. Alcance — dentro y fuera</w:t>
      </w:r>
    </w:p>
    <w:p>
      <w:pPr>
        <w:spacing w:after="60" w:before="60" w:line="300"/>
        <w:jc w:val="left"/>
      </w:pPr>
      <w:r>
        <w:rPr>
          <w:rFonts w:ascii="Arial" w:cs="Arial" w:eastAsia="Arial" w:hAnsi="Arial"/>
          <w:color w:val="201F1E"/>
          <w:sz w:val="22"/>
          <w:szCs w:val="22"/>
        </w:rPr>
        <w:t xml:space="preserve">Esta sección delimita con precisión el trabajo cubierto por la propuesta y lo que queda explícitamente excluido. La separación reduce expectativas no alineadas y deja claro qué se cotiza por separado si surge la necesidad.</w:t>
      </w:r>
    </w:p>
    <w:p>
      <w:pPr>
        <w:pStyle w:val="Heading2"/>
        <w:spacing w:after="160" w:before="280"/>
      </w:pPr>
      <w:r>
        <w:rPr>
          <w:rFonts w:ascii="Arial" w:cs="Arial" w:eastAsia="Arial" w:hAnsi="Arial"/>
          <w:b/>
          <w:bCs/>
          <w:color w:val="0078D4"/>
          <w:sz w:val="28"/>
          <w:szCs w:val="28"/>
        </w:rPr>
        <w:t xml:space="preserve">12.1 Dentro de alcance</w:t>
      </w:r>
    </w:p>
    <w:p>
      <w:pPr>
        <w:pStyle w:val="Heading3"/>
        <w:spacing w:after="120" w:before="200"/>
      </w:pPr>
      <w:r>
        <w:rPr>
          <w:rFonts w:ascii="Arial" w:cs="Arial" w:eastAsia="Arial" w:hAnsi="Arial"/>
          <w:b/>
          <w:bCs/>
          <w:color w:val="002050"/>
          <w:sz w:val="24"/>
          <w:szCs w:val="24"/>
        </w:rPr>
        <w:t xml:space="preserve">Infraestructura y plataforma</w:t>
      </w:r>
    </w:p>
    <w:p>
      <w:pPr>
        <w:pStyle w:val="ListParagraph"/>
        <w:numPr>
          <w:ilvl w:val="0"/>
          <w:numId w:val="2"/>
        </w:numPr>
        <w:spacing w:after="40" w:before="40" w:line="280"/>
      </w:pPr>
      <w:r>
        <w:rPr>
          <w:rFonts w:ascii="Arial" w:cs="Arial" w:eastAsia="Arial" w:hAnsi="Arial"/>
          <w:color w:val="201F1E"/>
          <w:sz w:val="22"/>
          <w:szCs w:val="22"/>
        </w:rPr>
        <w:t xml:space="preserve">Diseño, aprovisionamiento y configuración de Azure API Management Premium (1 instancia con 2 unidades, zone redundant) en región Mexico Central.</w:t>
      </w:r>
    </w:p>
    <w:p>
      <w:pPr>
        <w:pStyle w:val="ListParagraph"/>
        <w:numPr>
          <w:ilvl w:val="0"/>
          <w:numId w:val="2"/>
        </w:numPr>
        <w:spacing w:after="40" w:before="40" w:line="280"/>
      </w:pPr>
      <w:r>
        <w:rPr>
          <w:rFonts w:ascii="Arial" w:cs="Arial" w:eastAsia="Arial" w:hAnsi="Arial"/>
          <w:color w:val="201F1E"/>
          <w:sz w:val="22"/>
          <w:szCs w:val="22"/>
        </w:rPr>
        <w:t xml:space="preserve">Configuración de custom domain (gateway y portal) con certificados TLS administrados.</w:t>
      </w:r>
    </w:p>
    <w:p>
      <w:pPr>
        <w:pStyle w:val="ListParagraph"/>
        <w:numPr>
          <w:ilvl w:val="0"/>
          <w:numId w:val="2"/>
        </w:numPr>
        <w:spacing w:after="40" w:before="40" w:line="280"/>
      </w:pPr>
      <w:r>
        <w:rPr>
          <w:rFonts w:ascii="Arial" w:cs="Arial" w:eastAsia="Arial" w:hAnsi="Arial"/>
          <w:color w:val="201F1E"/>
          <w:sz w:val="22"/>
          <w:szCs w:val="22"/>
        </w:rPr>
        <w:t xml:space="preserve">Configuración de Application Insights, Log Analytics Workspace, Event Hub Standard y Key Vault asociados.</w:t>
      </w:r>
    </w:p>
    <w:p>
      <w:pPr>
        <w:pStyle w:val="ListParagraph"/>
        <w:numPr>
          <w:ilvl w:val="0"/>
          <w:numId w:val="2"/>
        </w:numPr>
        <w:spacing w:after="40" w:before="40" w:line="280"/>
      </w:pPr>
      <w:r>
        <w:rPr>
          <w:rFonts w:ascii="Arial" w:cs="Arial" w:eastAsia="Arial" w:hAnsi="Arial"/>
          <w:color w:val="201F1E"/>
          <w:sz w:val="22"/>
          <w:szCs w:val="22"/>
        </w:rPr>
        <w:t xml:space="preserve">Configuración de hasta 3 Workspaces (platform-admin, sms, contact-center template).</w:t>
      </w:r>
    </w:p>
    <w:p>
      <w:pPr>
        <w:pStyle w:val="ListParagraph"/>
        <w:numPr>
          <w:ilvl w:val="0"/>
          <w:numId w:val="2"/>
        </w:numPr>
        <w:spacing w:after="40" w:before="40" w:line="280"/>
      </w:pPr>
      <w:r>
        <w:rPr>
          <w:rFonts w:ascii="Arial" w:cs="Arial" w:eastAsia="Arial" w:hAnsi="Arial"/>
          <w:color w:val="201F1E"/>
          <w:sz w:val="22"/>
          <w:szCs w:val="22"/>
        </w:rPr>
        <w:t xml:space="preserve">Setup de pipelines CI/CD en Azure DevOps o GitHub Actions (1 pipeline por workspace activo + 1 pipeline de infraestructura).</w:t>
      </w:r>
    </w:p>
    <w:p>
      <w:pPr>
        <w:pStyle w:val="Heading3"/>
        <w:spacing w:after="120" w:before="200"/>
      </w:pPr>
      <w:r>
        <w:rPr>
          <w:rFonts w:ascii="Arial" w:cs="Arial" w:eastAsia="Arial" w:hAnsi="Arial"/>
          <w:b/>
          <w:bCs/>
          <w:color w:val="002050"/>
          <w:sz w:val="24"/>
          <w:szCs w:val="24"/>
        </w:rPr>
        <w:t xml:space="preserve">Identidad y seguridad</w:t>
      </w:r>
    </w:p>
    <w:p>
      <w:pPr>
        <w:pStyle w:val="ListParagraph"/>
        <w:numPr>
          <w:ilvl w:val="0"/>
          <w:numId w:val="2"/>
        </w:numPr>
        <w:spacing w:after="40" w:before="40" w:line="280"/>
      </w:pPr>
      <w:r>
        <w:rPr>
          <w:rFonts w:ascii="Arial" w:cs="Arial" w:eastAsia="Arial" w:hAnsi="Arial"/>
          <w:color w:val="201F1E"/>
          <w:sz w:val="22"/>
          <w:szCs w:val="22"/>
        </w:rPr>
        <w:t xml:space="preserve">Configuración de RBAC sobre el control plane de APIM con hasta 5 grupos de seguridad iniciales.</w:t>
      </w:r>
    </w:p>
    <w:p>
      <w:pPr>
        <w:pStyle w:val="ListParagraph"/>
        <w:numPr>
          <w:ilvl w:val="0"/>
          <w:numId w:val="2"/>
        </w:numPr>
        <w:spacing w:after="40" w:before="40" w:line="280"/>
      </w:pPr>
      <w:r>
        <w:rPr>
          <w:rFonts w:ascii="Arial" w:cs="Arial" w:eastAsia="Arial" w:hAnsi="Arial"/>
          <w:color w:val="201F1E"/>
          <w:sz w:val="22"/>
          <w:szCs w:val="22"/>
        </w:rPr>
        <w:t xml:space="preserve">Federación con Entra ID para administradores y para SSO del developer portal.</w:t>
      </w:r>
    </w:p>
    <w:p>
      <w:pPr>
        <w:pStyle w:val="ListParagraph"/>
        <w:numPr>
          <w:ilvl w:val="0"/>
          <w:numId w:val="2"/>
        </w:numPr>
        <w:spacing w:after="40" w:before="40" w:line="280"/>
      </w:pPr>
      <w:r>
        <w:rPr>
          <w:rFonts w:ascii="Arial" w:cs="Arial" w:eastAsia="Arial" w:hAnsi="Arial"/>
          <w:color w:val="201F1E"/>
          <w:sz w:val="22"/>
          <w:szCs w:val="22"/>
        </w:rPr>
        <w:t xml:space="preserve">Configuración de hasta 3 App Registrations productivas (platform-admin, sms-clients, contact-center-clients).</w:t>
      </w:r>
    </w:p>
    <w:p>
      <w:pPr>
        <w:pStyle w:val="ListParagraph"/>
        <w:numPr>
          <w:ilvl w:val="0"/>
          <w:numId w:val="2"/>
        </w:numPr>
        <w:spacing w:after="40" w:before="40" w:line="280"/>
      </w:pPr>
      <w:r>
        <w:rPr>
          <w:rFonts w:ascii="Arial" w:cs="Arial" w:eastAsia="Arial" w:hAnsi="Arial"/>
          <w:color w:val="201F1E"/>
          <w:sz w:val="22"/>
          <w:szCs w:val="22"/>
        </w:rPr>
        <w:t xml:space="preserve">Implementación de políticas estándar de seguridad: validate-jwt, validate-azure-ad-token, ip-filter, cors.</w:t>
      </w:r>
    </w:p>
    <w:p>
      <w:pPr>
        <w:pStyle w:val="Heading3"/>
        <w:spacing w:after="120" w:before="200"/>
      </w:pPr>
      <w:r>
        <w:rPr>
          <w:rFonts w:ascii="Arial" w:cs="Arial" w:eastAsia="Arial" w:hAnsi="Arial"/>
          <w:b/>
          <w:bCs/>
          <w:color w:val="002050"/>
          <w:sz w:val="24"/>
          <w:szCs w:val="24"/>
        </w:rPr>
        <w:t xml:space="preserve">APIs y políticas</w:t>
      </w:r>
    </w:p>
    <w:p>
      <w:pPr>
        <w:pStyle w:val="ListParagraph"/>
        <w:numPr>
          <w:ilvl w:val="0"/>
          <w:numId w:val="2"/>
        </w:numPr>
        <w:spacing w:after="40" w:before="40" w:line="280"/>
      </w:pPr>
      <w:r>
        <w:rPr>
          <w:rFonts w:ascii="Arial" w:cs="Arial" w:eastAsia="Arial" w:hAnsi="Arial"/>
          <w:color w:val="201F1E"/>
          <w:sz w:val="22"/>
          <w:szCs w:val="22"/>
        </w:rPr>
        <w:t xml:space="preserve">Onboarding de hasta 10 APIs del cliente ancla SMS (rangos esperados; ajustable en discovery).</w:t>
      </w:r>
    </w:p>
    <w:p>
      <w:pPr>
        <w:pStyle w:val="ListParagraph"/>
        <w:numPr>
          <w:ilvl w:val="0"/>
          <w:numId w:val="2"/>
        </w:numPr>
        <w:spacing w:after="40" w:before="40" w:line="280"/>
      </w:pPr>
      <w:r>
        <w:rPr>
          <w:rFonts w:ascii="Arial" w:cs="Arial" w:eastAsia="Arial" w:hAnsi="Arial"/>
          <w:color w:val="201F1E"/>
          <w:sz w:val="22"/>
          <w:szCs w:val="22"/>
        </w:rPr>
        <w:t xml:space="preserve">Creación de hasta 3 productos para SMS (Estándar, Premium, Internal) con planes diferenciados.</w:t>
      </w:r>
    </w:p>
    <w:p>
      <w:pPr>
        <w:pStyle w:val="ListParagraph"/>
        <w:numPr>
          <w:ilvl w:val="0"/>
          <w:numId w:val="2"/>
        </w:numPr>
        <w:spacing w:after="40" w:before="40" w:line="280"/>
      </w:pPr>
      <w:r>
        <w:rPr>
          <w:rFonts w:ascii="Arial" w:cs="Arial" w:eastAsia="Arial" w:hAnsi="Arial"/>
          <w:color w:val="201F1E"/>
          <w:sz w:val="22"/>
          <w:szCs w:val="22"/>
        </w:rPr>
        <w:t xml:space="preserve">Configuración de suscripciones para hasta 20 consumidores existentes.</w:t>
      </w:r>
    </w:p>
    <w:p>
      <w:pPr>
        <w:pStyle w:val="ListParagraph"/>
        <w:numPr>
          <w:ilvl w:val="0"/>
          <w:numId w:val="2"/>
        </w:numPr>
        <w:spacing w:after="40" w:before="40" w:line="280"/>
      </w:pPr>
      <w:r>
        <w:rPr>
          <w:rFonts w:ascii="Arial" w:cs="Arial" w:eastAsia="Arial" w:hAnsi="Arial"/>
          <w:color w:val="201F1E"/>
          <w:sz w:val="22"/>
          <w:szCs w:val="22"/>
        </w:rPr>
        <w:t xml:space="preserve">Biblioteca inicial de políticas APIM reutilizables documentadas.</w:t>
      </w:r>
    </w:p>
    <w:p>
      <w:pPr>
        <w:pStyle w:val="ListParagraph"/>
        <w:numPr>
          <w:ilvl w:val="0"/>
          <w:numId w:val="2"/>
        </w:numPr>
        <w:spacing w:after="40" w:before="40" w:line="280"/>
      </w:pPr>
      <w:r>
        <w:rPr>
          <w:rFonts w:ascii="Arial" w:cs="Arial" w:eastAsia="Arial" w:hAnsi="Arial"/>
          <w:color w:val="201F1E"/>
          <w:sz w:val="22"/>
          <w:szCs w:val="22"/>
        </w:rPr>
        <w:t xml:space="preserve">Una API "deber ser" implementada end-to-end como referencia (sección 15 de este documento).</w:t>
      </w:r>
    </w:p>
    <w:p>
      <w:pPr>
        <w:pStyle w:val="Heading3"/>
        <w:spacing w:after="120" w:before="200"/>
      </w:pPr>
      <w:r>
        <w:rPr>
          <w:rFonts w:ascii="Arial" w:cs="Arial" w:eastAsia="Arial" w:hAnsi="Arial"/>
          <w:b/>
          <w:bCs/>
          <w:color w:val="002050"/>
          <w:sz w:val="24"/>
          <w:szCs w:val="24"/>
        </w:rPr>
        <w:t xml:space="preserve">Observabilidad y reporting</w:t>
      </w:r>
    </w:p>
    <w:p>
      <w:pPr>
        <w:pStyle w:val="ListParagraph"/>
        <w:numPr>
          <w:ilvl w:val="0"/>
          <w:numId w:val="2"/>
        </w:numPr>
        <w:spacing w:after="40" w:before="40" w:line="280"/>
      </w:pPr>
      <w:r>
        <w:rPr>
          <w:rFonts w:ascii="Arial" w:cs="Arial" w:eastAsia="Arial" w:hAnsi="Arial"/>
          <w:color w:val="201F1E"/>
          <w:sz w:val="22"/>
          <w:szCs w:val="22"/>
        </w:rPr>
        <w:t xml:space="preserve">Configuración de dashboards en Azure Monitor (5 dashboards estándar: tráfico global, errores 5xx, latencia, top consumers, salud de backends).</w:t>
      </w:r>
    </w:p>
    <w:p>
      <w:pPr>
        <w:pStyle w:val="ListParagraph"/>
        <w:numPr>
          <w:ilvl w:val="0"/>
          <w:numId w:val="2"/>
        </w:numPr>
        <w:spacing w:after="40" w:before="40" w:line="280"/>
      </w:pPr>
      <w:r>
        <w:rPr>
          <w:rFonts w:ascii="Arial" w:cs="Arial" w:eastAsia="Arial" w:hAnsi="Arial"/>
          <w:color w:val="201F1E"/>
          <w:sz w:val="22"/>
          <w:szCs w:val="22"/>
        </w:rPr>
        <w:t xml:space="preserve">Configuración de hasta 10 alertas iniciales en Log Analytics / Application Insights.</w:t>
      </w:r>
    </w:p>
    <w:p>
      <w:pPr>
        <w:pStyle w:val="ListParagraph"/>
        <w:numPr>
          <w:ilvl w:val="0"/>
          <w:numId w:val="2"/>
        </w:numPr>
        <w:spacing w:after="40" w:before="40" w:line="280"/>
      </w:pPr>
      <w:r>
        <w:rPr>
          <w:rFonts w:ascii="Arial" w:cs="Arial" w:eastAsia="Arial" w:hAnsi="Arial"/>
          <w:color w:val="201F1E"/>
          <w:sz w:val="22"/>
          <w:szCs w:val="22"/>
        </w:rPr>
        <w:t xml:space="preserve">Configuración del stream a Event Hub para consumo de facturación interna.</w:t>
      </w:r>
    </w:p>
    <w:p>
      <w:pPr>
        <w:pStyle w:val="ListParagraph"/>
        <w:numPr>
          <w:ilvl w:val="0"/>
          <w:numId w:val="2"/>
        </w:numPr>
        <w:spacing w:after="40" w:before="40" w:line="280"/>
      </w:pPr>
      <w:r>
        <w:rPr>
          <w:rFonts w:ascii="Arial" w:cs="Arial" w:eastAsia="Arial" w:hAnsi="Arial"/>
          <w:color w:val="201F1E"/>
          <w:sz w:val="22"/>
          <w:szCs w:val="22"/>
        </w:rPr>
        <w:t xml:space="preserve">Query KQL pre-construidas para reporte mensual de consumo por cliente / producto.</w:t>
      </w:r>
    </w:p>
    <w:p>
      <w:pPr>
        <w:pStyle w:val="Heading3"/>
        <w:spacing w:after="120" w:before="200"/>
      </w:pPr>
      <w:r>
        <w:rPr>
          <w:rFonts w:ascii="Arial" w:cs="Arial" w:eastAsia="Arial" w:hAnsi="Arial"/>
          <w:b/>
          <w:bCs/>
          <w:color w:val="002050"/>
          <w:sz w:val="24"/>
          <w:szCs w:val="24"/>
        </w:rPr>
        <w:t xml:space="preserve">Documentación y transferencia</w:t>
      </w:r>
    </w:p>
    <w:p>
      <w:pPr>
        <w:pStyle w:val="ListParagraph"/>
        <w:numPr>
          <w:ilvl w:val="0"/>
          <w:numId w:val="2"/>
        </w:numPr>
        <w:spacing w:after="40" w:before="40" w:line="280"/>
      </w:pPr>
      <w:r>
        <w:rPr>
          <w:rFonts w:ascii="Arial" w:cs="Arial" w:eastAsia="Arial" w:hAnsi="Arial"/>
          <w:color w:val="201F1E"/>
          <w:sz w:val="22"/>
          <w:szCs w:val="22"/>
        </w:rPr>
        <w:t xml:space="preserve">Documento de arquitectura (HLD y LLD).</w:t>
      </w:r>
    </w:p>
    <w:p>
      <w:pPr>
        <w:pStyle w:val="ListParagraph"/>
        <w:numPr>
          <w:ilvl w:val="0"/>
          <w:numId w:val="2"/>
        </w:numPr>
        <w:spacing w:after="40" w:before="40" w:line="280"/>
      </w:pPr>
      <w:r>
        <w:rPr>
          <w:rFonts w:ascii="Arial" w:cs="Arial" w:eastAsia="Arial" w:hAnsi="Arial"/>
          <w:color w:val="201F1E"/>
          <w:sz w:val="22"/>
          <w:szCs w:val="22"/>
        </w:rPr>
        <w:t xml:space="preserve">Runbooks operativos (rotación de secretos, alta de API, deprecación de versión, gestión de incidentes).</w:t>
      </w:r>
    </w:p>
    <w:p>
      <w:pPr>
        <w:pStyle w:val="ListParagraph"/>
        <w:numPr>
          <w:ilvl w:val="0"/>
          <w:numId w:val="2"/>
        </w:numPr>
        <w:spacing w:after="40" w:before="40" w:line="280"/>
      </w:pPr>
      <w:r>
        <w:rPr>
          <w:rFonts w:ascii="Arial" w:cs="Arial" w:eastAsia="Arial" w:hAnsi="Arial"/>
          <w:color w:val="201F1E"/>
          <w:sz w:val="22"/>
          <w:szCs w:val="22"/>
        </w:rPr>
        <w:t xml:space="preserve">5 workshops formales de transferencia al equipo de C3ntro.</w:t>
      </w:r>
    </w:p>
    <w:p>
      <w:pPr>
        <w:pStyle w:val="ListParagraph"/>
        <w:numPr>
          <w:ilvl w:val="0"/>
          <w:numId w:val="2"/>
        </w:numPr>
        <w:spacing w:after="40" w:before="40" w:line="280"/>
      </w:pPr>
      <w:r>
        <w:rPr>
          <w:rFonts w:ascii="Arial" w:cs="Arial" w:eastAsia="Arial" w:hAnsi="Arial"/>
          <w:color w:val="201F1E"/>
          <w:sz w:val="22"/>
          <w:szCs w:val="22"/>
        </w:rPr>
        <w:t xml:space="preserve">Sesión final de cierre con lessons learned.</w:t>
      </w:r>
    </w:p>
    <w:p>
      <w:pPr>
        <w:spacing w:after="160" w:before="0"/>
      </w:pPr>
      <w:r>
        <w:t xml:space="preserve"/>
      </w:r>
    </w:p>
    <w:p>
      <w:pPr>
        <w:pStyle w:val="Heading2"/>
        <w:spacing w:after="160" w:before="280"/>
      </w:pPr>
      <w:r>
        <w:rPr>
          <w:rFonts w:ascii="Arial" w:cs="Arial" w:eastAsia="Arial" w:hAnsi="Arial"/>
          <w:b/>
          <w:bCs/>
          <w:color w:val="0078D4"/>
          <w:sz w:val="28"/>
          <w:szCs w:val="28"/>
        </w:rPr>
        <w:t xml:space="preserve">12.2 Fuera de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8886" w:sz="12"/>
              <w:left w:val="single" w:color="8A8886" w:sz="12"/>
              <w:bottom w:val="single" w:color="8A8886" w:sz="4"/>
              <w:right w:val="single" w:color="8A8886" w:sz="4"/>
            </w:tcBorders>
            <w:shd w:fill="F3F2F1" w:val="clear"/>
            <w:tcMar>
              <w:top w:type="dxa" w:w="180"/>
              <w:left w:type="dxa" w:w="220"/>
              <w:bottom w:type="dxa" w:w="180"/>
              <w:right w:type="dxa" w:w="220"/>
            </w:tcMar>
          </w:tcPr>
          <w:p>
            <w:pPr>
              <w:spacing w:after="100" w:before="0" w:line="280"/>
            </w:pPr>
            <w:r>
              <w:rPr>
                <w:rFonts w:ascii="Arial" w:cs="Arial" w:eastAsia="Arial" w:hAnsi="Arial"/>
                <w:b/>
                <w:bCs/>
                <w:color w:val="201F1E"/>
                <w:sz w:val="22"/>
                <w:szCs w:val="22"/>
              </w:rPr>
              <w:t xml:space="preserve">Estos elementos NO están incluidos en la propuesta</w:t>
            </w:r>
          </w:p>
          <w:p>
            <w:pPr>
              <w:pStyle w:val="ListParagraph"/>
              <w:numPr>
                <w:ilvl w:val="0"/>
                <w:numId w:val="2"/>
              </w:numPr>
              <w:spacing w:after="40" w:before="40" w:line="280"/>
            </w:pPr>
            <w:r>
              <w:rPr>
                <w:rFonts w:ascii="Arial" w:cs="Arial" w:eastAsia="Arial" w:hAnsi="Arial"/>
                <w:b/>
                <w:bCs/>
                <w:color w:val="0078D4"/>
                <w:sz w:val="22"/>
                <w:szCs w:val="22"/>
              </w:rPr>
              <w:t xml:space="preserve">Backends. </w:t>
            </w:r>
            <w:r>
              <w:rPr>
                <w:rFonts w:ascii="Arial" w:cs="Arial" w:eastAsia="Arial" w:hAnsi="Arial"/>
                <w:color w:val="201F1E"/>
                <w:sz w:val="22"/>
                <w:szCs w:val="22"/>
              </w:rPr>
              <w:t xml:space="preserve">Desarrollo, modificación, refactorización o testing de los backends SMS o de cualquier otro producto C3ntro. APIM publica APIs; no las construye.</w:t>
            </w:r>
          </w:p>
          <w:p>
            <w:pPr>
              <w:pStyle w:val="ListParagraph"/>
              <w:numPr>
                <w:ilvl w:val="0"/>
                <w:numId w:val="2"/>
              </w:numPr>
              <w:spacing w:after="40" w:before="40" w:line="280"/>
            </w:pPr>
            <w:r>
              <w:rPr>
                <w:rFonts w:ascii="Arial" w:cs="Arial" w:eastAsia="Arial" w:hAnsi="Arial"/>
                <w:b/>
                <w:bCs/>
                <w:color w:val="0078D4"/>
                <w:sz w:val="22"/>
                <w:szCs w:val="22"/>
              </w:rPr>
              <w:t xml:space="preserve">Contact Center. </w:t>
            </w:r>
            <w:r>
              <w:rPr>
                <w:rFonts w:ascii="Arial" w:cs="Arial" w:eastAsia="Arial" w:hAnsi="Arial"/>
                <w:color w:val="201F1E"/>
                <w:sz w:val="22"/>
                <w:szCs w:val="22"/>
              </w:rPr>
              <w:t xml:space="preserve">Onboarding productivo de Contact Center. Solo se entrega el template del workspace listo para ser activado. La incorporación productiva de Contact Center se cotiza como fase 2 independiente.</w:t>
            </w:r>
          </w:p>
          <w:p>
            <w:pPr>
              <w:pStyle w:val="ListParagraph"/>
              <w:numPr>
                <w:ilvl w:val="0"/>
                <w:numId w:val="2"/>
              </w:numPr>
              <w:spacing w:after="40" w:before="40" w:line="280"/>
            </w:pPr>
            <w:r>
              <w:rPr>
                <w:rFonts w:ascii="Arial" w:cs="Arial" w:eastAsia="Arial" w:hAnsi="Arial"/>
                <w:b/>
                <w:bCs/>
                <w:color w:val="0078D4"/>
                <w:sz w:val="22"/>
                <w:szCs w:val="22"/>
              </w:rPr>
              <w:t xml:space="preserve">Licencias Azure. </w:t>
            </w:r>
            <w:r>
              <w:rPr>
                <w:rFonts w:ascii="Arial" w:cs="Arial" w:eastAsia="Arial" w:hAnsi="Arial"/>
                <w:color w:val="201F1E"/>
                <w:sz w:val="22"/>
                <w:szCs w:val="22"/>
              </w:rPr>
              <w:t xml:space="preserve">Licencias y consumo Azure. La propuesta cotiza servicios profesionales; el consumo Azure se factura directamente por Microsoft o partner a C3ntro bajo modelo PAYG o EA.</w:t>
            </w:r>
          </w:p>
          <w:p>
            <w:pPr>
              <w:pStyle w:val="ListParagraph"/>
              <w:numPr>
                <w:ilvl w:val="0"/>
                <w:numId w:val="2"/>
              </w:numPr>
              <w:spacing w:after="40" w:before="40" w:line="280"/>
            </w:pPr>
            <w:r>
              <w:rPr>
                <w:rFonts w:ascii="Arial" w:cs="Arial" w:eastAsia="Arial" w:hAnsi="Arial"/>
                <w:b/>
                <w:bCs/>
                <w:color w:val="0078D4"/>
                <w:sz w:val="22"/>
                <w:szCs w:val="22"/>
              </w:rPr>
              <w:t xml:space="preserve">Sistema de facturación interno. </w:t>
            </w:r>
            <w:r>
              <w:rPr>
                <w:rFonts w:ascii="Arial" w:cs="Arial" w:eastAsia="Arial" w:hAnsi="Arial"/>
                <w:color w:val="201F1E"/>
                <w:sz w:val="22"/>
                <w:szCs w:val="22"/>
              </w:rPr>
              <w:t xml:space="preserve">Implementación o configuración del sistema interno de facturación que consume los datos del Event Hub. Se entrega el stream estructurado y el contrato de eventos; el ETL aguas abajo es responsabilidad del equipo de facturación de C3ntro o se cotiza por separado.</w:t>
            </w:r>
          </w:p>
          <w:p>
            <w:pPr>
              <w:pStyle w:val="ListParagraph"/>
              <w:numPr>
                <w:ilvl w:val="0"/>
                <w:numId w:val="2"/>
              </w:numPr>
              <w:spacing w:after="40" w:before="40" w:line="280"/>
            </w:pPr>
            <w:r>
              <w:rPr>
                <w:rFonts w:ascii="Arial" w:cs="Arial" w:eastAsia="Arial" w:hAnsi="Arial"/>
                <w:b/>
                <w:bCs/>
                <w:color w:val="0078D4"/>
                <w:sz w:val="22"/>
                <w:szCs w:val="22"/>
              </w:rPr>
              <w:t xml:space="preserve">Portales legados. </w:t>
            </w:r>
            <w:r>
              <w:rPr>
                <w:rFonts w:ascii="Arial" w:cs="Arial" w:eastAsia="Arial" w:hAnsi="Arial"/>
                <w:color w:val="201F1E"/>
                <w:sz w:val="22"/>
                <w:szCs w:val="22"/>
              </w:rPr>
              <w:t xml:space="preserve">Migración de portales de desarrolladores externos previos (si los hubiera). Se construye el portal APIM desde cero.</w:t>
            </w:r>
          </w:p>
          <w:p>
            <w:pPr>
              <w:pStyle w:val="ListParagraph"/>
              <w:numPr>
                <w:ilvl w:val="0"/>
                <w:numId w:val="2"/>
              </w:numPr>
              <w:spacing w:after="40" w:before="40" w:line="280"/>
            </w:pPr>
            <w:r>
              <w:rPr>
                <w:rFonts w:ascii="Arial" w:cs="Arial" w:eastAsia="Arial" w:hAnsi="Arial"/>
                <w:b/>
                <w:bCs/>
                <w:color w:val="0078D4"/>
                <w:sz w:val="22"/>
                <w:szCs w:val="22"/>
              </w:rPr>
              <w:t xml:space="preserve">DR multi-región. </w:t>
            </w:r>
            <w:r>
              <w:rPr>
                <w:rFonts w:ascii="Arial" w:cs="Arial" w:eastAsia="Arial" w:hAnsi="Arial"/>
                <w:color w:val="201F1E"/>
                <w:sz w:val="22"/>
                <w:szCs w:val="22"/>
              </w:rPr>
              <w:t xml:space="preserve">Diseño o implementación de Disaster Recovery multi-región. La zone redundancy entregada satisface el SLA 99.99%; un DR geográfico cross-region (RPO/RTO formales) se cotiza como fase 2.</w:t>
            </w:r>
          </w:p>
          <w:p>
            <w:pPr>
              <w:pStyle w:val="ListParagraph"/>
              <w:numPr>
                <w:ilvl w:val="0"/>
                <w:numId w:val="2"/>
              </w:numPr>
              <w:spacing w:after="40" w:before="40" w:line="280"/>
            </w:pPr>
            <w:r>
              <w:rPr>
                <w:rFonts w:ascii="Arial" w:cs="Arial" w:eastAsia="Arial" w:hAnsi="Arial"/>
                <w:b/>
                <w:bCs/>
                <w:color w:val="0078D4"/>
                <w:sz w:val="22"/>
                <w:szCs w:val="22"/>
              </w:rPr>
              <w:t xml:space="preserve">Soporte de plataforma Microsoft. </w:t>
            </w:r>
            <w:r>
              <w:rPr>
                <w:rFonts w:ascii="Arial" w:cs="Arial" w:eastAsia="Arial" w:hAnsi="Arial"/>
                <w:color w:val="201F1E"/>
                <w:sz w:val="22"/>
                <w:szCs w:val="22"/>
              </w:rPr>
              <w:t xml:space="preserve">Contratación de Microsoft Unified Support, Premier o equivalente. Se asume que C3ntro corporativo dispone del vehículo o se contrata por separado.</w:t>
            </w:r>
          </w:p>
          <w:p>
            <w:pPr>
              <w:pStyle w:val="ListParagraph"/>
              <w:numPr>
                <w:ilvl w:val="0"/>
                <w:numId w:val="2"/>
              </w:numPr>
              <w:spacing w:after="40" w:before="40" w:line="280"/>
            </w:pPr>
            <w:r>
              <w:rPr>
                <w:rFonts w:ascii="Arial" w:cs="Arial" w:eastAsia="Arial" w:hAnsi="Arial"/>
                <w:b/>
                <w:bCs/>
                <w:color w:val="0078D4"/>
                <w:sz w:val="22"/>
                <w:szCs w:val="22"/>
              </w:rPr>
              <w:t xml:space="preserve">Pentest formal. </w:t>
            </w:r>
            <w:r>
              <w:rPr>
                <w:rFonts w:ascii="Arial" w:cs="Arial" w:eastAsia="Arial" w:hAnsi="Arial"/>
                <w:color w:val="201F1E"/>
                <w:sz w:val="22"/>
                <w:szCs w:val="22"/>
              </w:rPr>
              <w:t xml:space="preserve">Pentesting externo o auditoría de seguridad formal. Se entrega un hardening interno; pentesting formal se cotiza adicionalmente.</w:t>
            </w:r>
          </w:p>
          <w:p>
            <w:pPr>
              <w:pStyle w:val="ListParagraph"/>
              <w:numPr>
                <w:ilvl w:val="0"/>
                <w:numId w:val="2"/>
              </w:numPr>
              <w:spacing w:after="40" w:before="40" w:line="280"/>
            </w:pPr>
            <w:r>
              <w:rPr>
                <w:rFonts w:ascii="Arial" w:cs="Arial" w:eastAsia="Arial" w:hAnsi="Arial"/>
                <w:b/>
                <w:bCs/>
                <w:color w:val="0078D4"/>
                <w:sz w:val="22"/>
                <w:szCs w:val="22"/>
              </w:rPr>
              <w:t xml:space="preserve">Operación continua. </w:t>
            </w:r>
            <w:r>
              <w:rPr>
                <w:rFonts w:ascii="Arial" w:cs="Arial" w:eastAsia="Arial" w:hAnsi="Arial"/>
                <w:color w:val="201F1E"/>
                <w:sz w:val="22"/>
                <w:szCs w:val="22"/>
              </w:rPr>
              <w:t xml:space="preserve">Operación post go-live continua. La fase 5 cubre dos semanas de estabilización. La operación day-to-day posterior puede contratarse como servicio gestionado (sección 16).</w:t>
            </w:r>
          </w:p>
          <w:p>
            <w:pPr>
              <w:pStyle w:val="ListParagraph"/>
              <w:numPr>
                <w:ilvl w:val="0"/>
                <w:numId w:val="2"/>
              </w:numPr>
              <w:spacing w:after="40" w:before="40" w:line="280"/>
            </w:pPr>
            <w:r>
              <w:rPr>
                <w:rFonts w:ascii="Arial" w:cs="Arial" w:eastAsia="Arial" w:hAnsi="Arial"/>
                <w:b/>
                <w:bCs/>
                <w:color w:val="0078D4"/>
                <w:sz w:val="22"/>
                <w:szCs w:val="22"/>
              </w:rPr>
              <w:t xml:space="preserve">Custom development. </w:t>
            </w:r>
            <w:r>
              <w:rPr>
                <w:rFonts w:ascii="Arial" w:cs="Arial" w:eastAsia="Arial" w:hAnsi="Arial"/>
                <w:color w:val="201F1E"/>
                <w:sz w:val="22"/>
                <w:szCs w:val="22"/>
              </w:rPr>
              <w:t xml:space="preserve">Cualquier desarrollo personalizado de extensiones APIM (por ejemplo, self-hosted gateway, política custom compleja en C#, integración con producto no-Azure). Se cotiza adicionalmente.</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13. Estimación de costos — Calculadora Azure</w:t>
      </w:r>
    </w:p>
    <w:p>
      <w:pPr>
        <w:spacing w:after="60" w:before="60" w:line="300"/>
        <w:jc w:val="left"/>
      </w:pPr>
      <w:r>
        <w:rPr>
          <w:rFonts w:ascii="Arial" w:cs="Arial" w:eastAsia="Arial" w:hAnsi="Arial"/>
          <w:color w:val="201F1E"/>
          <w:sz w:val="22"/>
          <w:szCs w:val="22"/>
        </w:rPr>
        <w:t xml:space="preserve">Esta sección desglosa la inversión esperada en dos bloques: consumo recurrente Azure (mensual) y servicios profesionales del proveedor (un solo pago por hitos durante la implementación, opcional recurrente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2"/>
              <w:left w:val="single" w:color="0078D4" w:sz="12"/>
              <w:bottom w:val="single" w:color="0078D4" w:sz="4"/>
              <w:right w:val="single" w:color="0078D4" w:sz="4"/>
            </w:tcBorders>
            <w:shd w:fill="DEECF9" w:val="clear"/>
            <w:tcMar>
              <w:top w:type="dxa" w:w="180"/>
              <w:left w:type="dxa" w:w="220"/>
              <w:bottom w:type="dxa" w:w="180"/>
              <w:right w:type="dxa" w:w="220"/>
            </w:tcMar>
          </w:tcPr>
          <w:p>
            <w:pPr>
              <w:spacing w:after="100" w:before="0" w:line="280"/>
            </w:pPr>
            <w:r>
              <w:rPr>
                <w:rFonts w:ascii="Arial" w:cs="Arial" w:eastAsia="Arial" w:hAnsi="Arial"/>
                <w:b/>
                <w:bCs/>
                <w:color w:val="002050"/>
                <w:sz w:val="22"/>
                <w:szCs w:val="22"/>
              </w:rPr>
              <w:t xml:space="preserve">Sobre los precios mostrados</w:t>
            </w:r>
          </w:p>
          <w:p>
            <w:pPr>
              <w:spacing w:after="60" w:before="60" w:line="300"/>
              <w:jc w:val="left"/>
            </w:pPr>
            <w:r>
              <w:rPr>
                <w:rFonts w:ascii="Arial" w:cs="Arial" w:eastAsia="Arial" w:hAnsi="Arial"/>
                <w:b w:val="false"/>
                <w:bCs w:val="false"/>
                <w:color w:val="201F1E"/>
                <w:sz w:val="22"/>
                <w:szCs w:val="22"/>
              </w:rPr>
              <w:t xml:space="preserve">Los precios son referenciales en USD a junio de 2026, basados en lista pública de Microsoft Azure para la región Mexico Central (PAYG, sin Reserved Instances ni descuentos por compromiso). Una corrida formal en la Azure Pricing Calculator (calculator.azure.com) con la cuenta de C3ntro puede arrojar variaciones por moneda local (MXN), descuentos EA/CSP y promociones vigentes. El proveedor entregará el archivo .save de la calculadora oficial como anexo del contrato.</w:t>
            </w:r>
          </w:p>
        </w:tc>
      </w:tr>
    </w:tbl>
    <w:p>
      <w:pPr>
        <w:pStyle w:val="Heading2"/>
        <w:spacing w:after="160" w:before="280"/>
      </w:pPr>
      <w:r>
        <w:rPr>
          <w:rFonts w:ascii="Arial" w:cs="Arial" w:eastAsia="Arial" w:hAnsi="Arial"/>
          <w:b/>
          <w:bCs/>
          <w:color w:val="0078D4"/>
          <w:sz w:val="28"/>
          <w:szCs w:val="28"/>
        </w:rPr>
        <w:t xml:space="preserve">13.1 Consumo Azure —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300"/>
        <w:gridCol w:w="1860"/>
        <w:gridCol w:w="1100"/>
      </w:tblGrid>
      <w:tr>
        <w:trPr>
          <w:tblHeader/>
        </w:trPr>
        <w:tc>
          <w:tcPr>
            <w:tcW w:type="dxa" w:w="26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Componente</w:t>
            </w:r>
          </w:p>
        </w:tc>
        <w:tc>
          <w:tcPr>
            <w:tcW w:type="dxa" w:w="2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SKU / Configuración</w:t>
            </w:r>
          </w:p>
        </w:tc>
        <w:tc>
          <w:tcPr>
            <w:tcW w:type="dxa" w:w="13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Cantidad</w:t>
            </w:r>
          </w:p>
        </w:tc>
        <w:tc>
          <w:tcPr>
            <w:tcW w:type="dxa" w:w="18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Precio unitario referencial</w:t>
            </w:r>
          </w:p>
        </w:tc>
        <w:tc>
          <w:tcPr>
            <w:tcW w:type="dxa" w:w="1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Subtotal mensual (USD)</w:t>
            </w:r>
          </w:p>
        </w:tc>
      </w:tr>
      <w:tr>
        <w:tc>
          <w:tcPr>
            <w:tcW w:type="dxa" w:w="2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 API Management</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Mexico Central, zone redundant</w:t>
            </w:r>
          </w:p>
        </w:tc>
        <w:tc>
          <w:tcPr>
            <w:tcW w:type="dxa" w:w="1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 unidades</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~$2,800 / unidad / mes</w:t>
            </w:r>
          </w:p>
        </w:tc>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$5,600.00</w:t>
            </w:r>
          </w:p>
        </w:tc>
      </w:tr>
      <w:tr>
        <w:tc>
          <w:tcPr>
            <w:tcW w:type="dxa" w:w="2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Application Insights</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PAYG por ingesta</w:t>
            </w:r>
          </w:p>
        </w:tc>
        <w:tc>
          <w:tcPr>
            <w:tcW w:type="dxa" w:w="1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 GB/mes</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~$2.30 / GB ingestado</w:t>
            </w:r>
          </w:p>
        </w:tc>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$11.50</w:t>
            </w:r>
          </w:p>
        </w:tc>
      </w:tr>
      <w:tr>
        <w:tc>
          <w:tcPr>
            <w:tcW w:type="dxa" w:w="2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Log Analytics Workspace</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Pay-as-you-go, retención 90 días</w:t>
            </w:r>
          </w:p>
        </w:tc>
        <w:tc>
          <w:tcPr>
            <w:tcW w:type="dxa" w:w="1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GB/mes</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~$2.76 / GB + retención</w:t>
            </w:r>
          </w:p>
        </w:tc>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$45.00</w:t>
            </w:r>
          </w:p>
        </w:tc>
      </w:tr>
      <w:tr>
        <w:tc>
          <w:tcPr>
            <w:tcW w:type="dxa" w:w="2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Event Hubs Standard</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Throughput unit + Capture</w:t>
            </w:r>
          </w:p>
        </w:tc>
        <w:tc>
          <w:tcPr>
            <w:tcW w:type="dxa" w:w="1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 TU + Capture a Storage</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~$0.03/hora + $0.026/hora Capture</w:t>
            </w:r>
          </w:p>
        </w:tc>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$45.00</w:t>
            </w:r>
          </w:p>
        </w:tc>
      </w:tr>
      <w:tr>
        <w:tc>
          <w:tcPr>
            <w:tcW w:type="dxa" w:w="2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 Storage (Capture EventHubs, backups IaC)</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Standard LRS, hot tier</w:t>
            </w:r>
          </w:p>
        </w:tc>
        <w:tc>
          <w:tcPr>
            <w:tcW w:type="dxa" w:w="1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~50 GB</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~$0.0184 / GB / mes + transacciones</w:t>
            </w:r>
          </w:p>
        </w:tc>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$5.00</w:t>
            </w:r>
          </w:p>
        </w:tc>
      </w:tr>
      <w:tr>
        <w:tc>
          <w:tcPr>
            <w:tcW w:type="dxa" w:w="2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 Key Vault</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Standard</w:t>
            </w:r>
          </w:p>
        </w:tc>
        <w:tc>
          <w:tcPr>
            <w:tcW w:type="dxa" w:w="1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~10K operaciones/mes</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~$0.03 / 10K operaciones</w:t>
            </w:r>
          </w:p>
        </w:tc>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$1.00</w:t>
            </w:r>
          </w:p>
        </w:tc>
      </w:tr>
      <w:tr>
        <w:tc>
          <w:tcPr>
            <w:tcW w:type="dxa" w:w="2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Entra ID</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P1 (si se requiere para conditional access)</w:t>
            </w:r>
          </w:p>
        </w:tc>
        <w:tc>
          <w:tcPr>
            <w:tcW w:type="dxa" w:w="1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Por usuarios externos*</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 / usuario / mes</w:t>
            </w:r>
          </w:p>
        </w:tc>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$60.00</w:t>
            </w:r>
          </w:p>
        </w:tc>
      </w:tr>
      <w:tr>
        <w:tc>
          <w:tcPr>
            <w:tcW w:type="dxa" w:w="26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Bandwidth saliente</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Estimado por egress al consumidor final</w:t>
            </w:r>
          </w:p>
        </w:tc>
        <w:tc>
          <w:tcPr>
            <w:tcW w:type="dxa" w:w="13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~100 GB/mes</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~$0.087 / GB después de 100 GB free</w:t>
            </w:r>
          </w:p>
        </w:tc>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$0.00 — $50.00</w:t>
            </w:r>
          </w:p>
        </w:tc>
      </w:tr>
      <w:tr>
        <w:tc>
          <w:tcPr>
            <w:tcW w:type="dxa" w:w="26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 Monitor — alertas / queries</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Pay-per-action</w:t>
            </w:r>
          </w:p>
        </w:tc>
        <w:tc>
          <w:tcPr>
            <w:tcW w:type="dxa" w:w="13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Estándar</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~$0.10 / regla / mes</w:t>
            </w:r>
          </w:p>
        </w:tc>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$10.00</w:t>
            </w:r>
          </w:p>
        </w:tc>
      </w:tr>
      <w:tr>
        <w:tc>
          <w:tcPr>
            <w:tcW w:type="dxa" w:w="26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TOTAL ESTIMADO MENSUAL</w:t>
            </w:r>
          </w:p>
        </w:tc>
        <w:tc>
          <w:tcPr>
            <w:tcW w:type="dxa" w:w="25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3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86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1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$5,777 — $5,827 USD</w:t>
            </w:r>
          </w:p>
        </w:tc>
      </w:tr>
    </w:tbl>
    <w:p>
      <w:pPr>
        <w:spacing w:after="60" w:before="100" w:line="300"/>
        <w:jc w:val="left"/>
      </w:pPr>
      <w:r>
        <w:rPr>
          <w:rFonts w:ascii="Arial" w:cs="Arial" w:eastAsia="Arial" w:hAnsi="Arial"/>
          <w:i/>
          <w:iCs/>
          <w:color w:val="605E5C"/>
          <w:sz w:val="22"/>
          <w:szCs w:val="22"/>
        </w:rPr>
        <w:t xml:space="preserve">* Microsoft Entra ID P1 se requiere solo si se utilizan funciones premium (conditional access, group writeback). Si C3ntro ya cuenta con licencias E3/E5, no aplica costo adicional. Si el caso de uso solo requiere Entra ID Free, se elimina del total.</w:t>
      </w:r>
    </w:p>
    <w:p>
      <w:pPr>
        <w:spacing w:after="160" w:before="0"/>
      </w:pPr>
      <w:r>
        <w:t xml:space="preserve"/>
      </w:r>
    </w:p>
    <w:p>
      <w:pPr>
        <w:pStyle w:val="Heading3"/>
        <w:spacing w:after="120" w:before="200"/>
      </w:pPr>
      <w:r>
        <w:rPr>
          <w:rFonts w:ascii="Arial" w:cs="Arial" w:eastAsia="Arial" w:hAnsi="Arial"/>
          <w:b/>
          <w:bCs/>
          <w:color w:val="002050"/>
          <w:sz w:val="24"/>
          <w:szCs w:val="24"/>
        </w:rPr>
        <w:t xml:space="preserve">Escenarios de costo según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700"/>
        <w:gridCol w:w="1860"/>
      </w:tblGrid>
      <w:tr>
        <w:trPr>
          <w:tblHeader/>
        </w:trPr>
        <w:tc>
          <w:tcPr>
            <w:tcW w:type="dxa" w:w="19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Escenario</w:t>
            </w:r>
          </w:p>
        </w:tc>
        <w:tc>
          <w:tcPr>
            <w:tcW w:type="dxa" w:w="29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Configuración APIM</w:t>
            </w:r>
          </w:p>
        </w:tc>
        <w:tc>
          <w:tcPr>
            <w:tcW w:type="dxa" w:w="2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Otros componentes</w:t>
            </w:r>
          </w:p>
        </w:tc>
        <w:tc>
          <w:tcPr>
            <w:tcW w:type="dxa" w:w="18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Total mensual estimado</w:t>
            </w:r>
          </w:p>
        </w:tc>
      </w:tr>
      <w:tr>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Base (propuesta)</w:t>
            </w:r>
          </w:p>
        </w:tc>
        <w:tc>
          <w:tcPr>
            <w:tcW w:type="dxa" w:w="2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2 unidades zone-redundant</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Estándar como tabla anterior</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~$5,800 USD</w:t>
            </w:r>
          </w:p>
        </w:tc>
      </w:tr>
      <w:tr>
        <w:tc>
          <w:tcPr>
            <w:tcW w:type="dxa" w:w="1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Escala 1 — más tráfico</w:t>
            </w:r>
          </w:p>
        </w:tc>
        <w:tc>
          <w:tcPr>
            <w:tcW w:type="dxa" w:w="2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3 unidades zone-redundant</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 Insights/Log Analytics aumentan ~50%</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~$8,700 USD</w:t>
            </w:r>
          </w:p>
        </w:tc>
      </w:tr>
      <w:tr>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Escala 2 — DR multi-región</w:t>
            </w:r>
          </w:p>
        </w:tc>
        <w:tc>
          <w:tcPr>
            <w:tcW w:type="dxa" w:w="2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4 unidades (2 en MX Central + 2 en East US 2)</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Componentes duplicados en región secundaria</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~$13,500 USD</w:t>
            </w:r>
          </w:p>
        </w:tc>
      </w:tr>
      <w:tr>
        <w:tc>
          <w:tcPr>
            <w:tcW w:type="dxa" w:w="1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Optimizado — Reserved Instances 1 año</w:t>
            </w:r>
          </w:p>
        </w:tc>
        <w:tc>
          <w:tcPr>
            <w:tcW w:type="dxa" w:w="29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2 unidades RI 1Y (~35% descuento)</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Mismo resto</w:t>
            </w:r>
          </w:p>
        </w:tc>
        <w:tc>
          <w:tcPr>
            <w:tcW w:type="dxa" w:w="1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~$4,000 USD</w:t>
            </w:r>
          </w:p>
        </w:tc>
      </w:tr>
      <w:tr>
        <w:tc>
          <w:tcPr>
            <w:tcW w:type="dxa" w:w="1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Optimizado — Reserved Instances 3 años</w:t>
            </w:r>
          </w:p>
        </w:tc>
        <w:tc>
          <w:tcPr>
            <w:tcW w:type="dxa" w:w="29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 2 unidades RI 3Y (~55% descuento)</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Mismo resto</w:t>
            </w:r>
          </w:p>
        </w:tc>
        <w:tc>
          <w:tcPr>
            <w:tcW w:type="dxa" w:w="1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~$2,700 USD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12"/>
              <w:left w:val="single" w:color="107C10" w:sz="12"/>
              <w:bottom w:val="single" w:color="107C10" w:sz="4"/>
              <w:right w:val="single" w:color="107C10" w:sz="4"/>
            </w:tcBorders>
            <w:shd w:fill="DFF6DD" w:val="clear"/>
            <w:tcMar>
              <w:top w:type="dxa" w:w="180"/>
              <w:left w:type="dxa" w:w="220"/>
              <w:bottom w:type="dxa" w:w="180"/>
              <w:right w:type="dxa" w:w="220"/>
            </w:tcMar>
          </w:tcPr>
          <w:p>
            <w:pPr>
              <w:spacing w:after="100" w:before="0" w:line="280"/>
            </w:pPr>
            <w:r>
              <w:rPr>
                <w:rFonts w:ascii="Arial" w:cs="Arial" w:eastAsia="Arial" w:hAnsi="Arial"/>
                <w:b/>
                <w:bCs/>
                <w:color w:val="107C10"/>
                <w:sz w:val="22"/>
                <w:szCs w:val="22"/>
              </w:rPr>
              <w:t xml:space="preserve">Recomendación sobre Reserved Instances</w:t>
            </w:r>
          </w:p>
          <w:p>
            <w:pPr>
              <w:spacing w:after="60" w:before="60" w:line="300"/>
              <w:jc w:val="left"/>
            </w:pPr>
            <w:r>
              <w:rPr>
                <w:rFonts w:ascii="Arial" w:cs="Arial" w:eastAsia="Arial" w:hAnsi="Arial"/>
                <w:b w:val="false"/>
                <w:bCs w:val="false"/>
                <w:color w:val="201F1E"/>
                <w:sz w:val="22"/>
                <w:szCs w:val="22"/>
              </w:rPr>
              <w:t xml:space="preserve">Si C3ntro confirma compromiso a 1-3 años con la plataforma — y dado que el costo principal es APIM Premium — se sugiere fuertemente migrar a Reserved Instances tras los primeros 3 meses de operación estable. El ahorro acumulado a 1 año puede superar $20,000 USD frente a PAYG. La sola decisión de RI 1 año compensa con creces el primer trimestre de fee del proveedor.</w:t>
            </w:r>
          </w:p>
        </w:tc>
      </w:tr>
    </w:tbl>
    <w:p>
      <w:pPr>
        <w:pStyle w:val="Heading2"/>
        <w:spacing w:after="160" w:before="280"/>
      </w:pPr>
      <w:r>
        <w:rPr>
          <w:rFonts w:ascii="Arial" w:cs="Arial" w:eastAsia="Arial" w:hAnsi="Arial"/>
          <w:b/>
          <w:bCs/>
          <w:color w:val="0078D4"/>
          <w:sz w:val="28"/>
          <w:szCs w:val="28"/>
        </w:rPr>
        <w:t xml:space="preserve">13.2 Servicios profesionales —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2200"/>
        <w:gridCol w:w="1960"/>
      </w:tblGrid>
      <w:tr>
        <w:trPr>
          <w:tblHeader/>
        </w:trPr>
        <w:tc>
          <w:tcPr>
            <w:tcW w:type="dxa" w:w="3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Rol / partida</w:t>
            </w:r>
          </w:p>
        </w:tc>
        <w:tc>
          <w:tcPr>
            <w:tcW w:type="dxa" w:w="1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Horas estimadas</w:t>
            </w:r>
          </w:p>
        </w:tc>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Tarifa USD/hora (referencial)</w:t>
            </w:r>
          </w:p>
        </w:tc>
        <w:tc>
          <w:tcPr>
            <w:tcW w:type="dxa" w:w="19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Subtotal USD</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Arquitecto de Soluciones Sr.</w:t>
            </w:r>
          </w:p>
        </w:tc>
        <w:tc>
          <w:tcPr>
            <w:tcW w:type="dxa" w:w="1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80 hrs</w:t>
            </w:r>
          </w:p>
        </w:tc>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$110</w:t>
            </w:r>
          </w:p>
        </w:tc>
        <w:tc>
          <w:tcPr>
            <w:tcW w:type="dxa" w:w="1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$8,800</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Especialista APIM Lead</w:t>
            </w:r>
          </w:p>
        </w:tc>
        <w:tc>
          <w:tcPr>
            <w:tcW w:type="dxa" w:w="1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320 hrs</w:t>
            </w:r>
          </w:p>
        </w:tc>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$85</w:t>
            </w:r>
          </w:p>
        </w:tc>
        <w:tc>
          <w:tcPr>
            <w:tcW w:type="dxa" w:w="1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$27,200</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Ingeniero APIM</w:t>
            </w:r>
          </w:p>
        </w:tc>
        <w:tc>
          <w:tcPr>
            <w:tcW w:type="dxa" w:w="1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240 hrs</w:t>
            </w:r>
          </w:p>
        </w:tc>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$60</w:t>
            </w:r>
          </w:p>
        </w:tc>
        <w:tc>
          <w:tcPr>
            <w:tcW w:type="dxa" w:w="1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$14,400</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DevOps / IaC Engineer</w:t>
            </w:r>
          </w:p>
        </w:tc>
        <w:tc>
          <w:tcPr>
            <w:tcW w:type="dxa" w:w="1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120 hrs</w:t>
            </w:r>
          </w:p>
        </w:tc>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$70</w:t>
            </w:r>
          </w:p>
        </w:tc>
        <w:tc>
          <w:tcPr>
            <w:tcW w:type="dxa" w:w="1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$8,400</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Project Manager</w:t>
            </w:r>
          </w:p>
        </w:tc>
        <w:tc>
          <w:tcPr>
            <w:tcW w:type="dxa" w:w="1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70 hrs</w:t>
            </w:r>
          </w:p>
        </w:tc>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$80</w:t>
            </w:r>
          </w:p>
        </w:tc>
        <w:tc>
          <w:tcPr>
            <w:tcW w:type="dxa" w:w="1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$5,600</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QA / Pruebas</w:t>
            </w:r>
          </w:p>
        </w:tc>
        <w:tc>
          <w:tcPr>
            <w:tcW w:type="dxa" w:w="1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80 hrs</w:t>
            </w:r>
          </w:p>
        </w:tc>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$55</w:t>
            </w:r>
          </w:p>
        </w:tc>
        <w:tc>
          <w:tcPr>
            <w:tcW w:type="dxa" w:w="1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$4,400</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Documentación y transferencia</w:t>
            </w:r>
          </w:p>
        </w:tc>
        <w:tc>
          <w:tcPr>
            <w:tcW w:type="dxa" w:w="1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40 hrs</w:t>
            </w:r>
          </w:p>
        </w:tc>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$60</w:t>
            </w:r>
          </w:p>
        </w:tc>
        <w:tc>
          <w:tcPr>
            <w:tcW w:type="dxa" w:w="1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$2,400</w:t>
            </w:r>
          </w:p>
        </w:tc>
      </w:tr>
      <w:tr>
        <w:tc>
          <w:tcPr>
            <w:tcW w:type="dxa" w:w="35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201F1E"/>
                <w:sz w:val="20"/>
                <w:szCs w:val="20"/>
              </w:rPr>
              <w:t xml:space="preserve">Subtotal horas</w:t>
            </w:r>
          </w:p>
        </w:tc>
        <w:tc>
          <w:tcPr>
            <w:tcW w:type="dxa" w:w="17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201F1E"/>
                <w:sz w:val="20"/>
                <w:szCs w:val="20"/>
              </w:rPr>
              <w:t xml:space="preserve">950 hrs</w:t>
            </w:r>
          </w:p>
        </w:tc>
        <w:tc>
          <w:tcPr>
            <w:tcW w:type="dxa" w:w="22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96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201F1E"/>
                <w:sz w:val="20"/>
                <w:szCs w:val="20"/>
              </w:rPr>
              <w:t xml:space="preserve">$71,200</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Descuento por proyecto integral (~12%)</w:t>
            </w:r>
          </w:p>
        </w:tc>
        <w:tc>
          <w:tcPr>
            <w:tcW w:type="dxa" w:w="1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t>
            </w:r>
          </w:p>
        </w:tc>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t>
            </w:r>
          </w:p>
        </w:tc>
        <w:tc>
          <w:tcPr>
            <w:tcW w:type="dxa" w:w="1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-$8,800</w:t>
            </w:r>
          </w:p>
        </w:tc>
      </w:tr>
      <w:tr>
        <w:tc>
          <w:tcPr>
            <w:tcW w:type="dxa" w:w="35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TOTAL servicios profesionales</w:t>
            </w:r>
          </w:p>
        </w:tc>
        <w:tc>
          <w:tcPr>
            <w:tcW w:type="dxa" w:w="17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22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96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$62,400 USD</w:t>
            </w:r>
          </w:p>
        </w:tc>
      </w:tr>
    </w:tbl>
    <w:p>
      <w:pPr>
        <w:pStyle w:val="Heading3"/>
        <w:spacing w:after="120" w:before="200"/>
      </w:pPr>
      <w:r>
        <w:rPr>
          <w:rFonts w:ascii="Arial" w:cs="Arial" w:eastAsia="Arial" w:hAnsi="Arial"/>
          <w:b/>
          <w:bCs/>
          <w:color w:val="002050"/>
          <w:sz w:val="24"/>
          <w:szCs w:val="24"/>
        </w:rPr>
        <w:t xml:space="preserve">Esquema de facturación por 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00"/>
        <w:gridCol w:w="1660"/>
      </w:tblGrid>
      <w:tr>
        <w:trPr>
          <w:tblHeader/>
        </w:trPr>
        <w:tc>
          <w:tcPr>
            <w:tcW w:type="dxa" w:w="3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Hito</w:t>
            </w:r>
          </w:p>
        </w:tc>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Trigger</w:t>
            </w:r>
          </w:p>
        </w:tc>
        <w:tc>
          <w:tcPr>
            <w:tcW w:type="dxa" w:w="1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 del total</w:t>
            </w:r>
          </w:p>
        </w:tc>
        <w:tc>
          <w:tcPr>
            <w:tcW w:type="dxa" w:w="16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USD</w:t>
            </w:r>
          </w:p>
        </w:tc>
      </w:tr>
      <w:tr>
        <w:tc>
          <w:tcPr>
            <w:tcW w:type="dxa" w:w="3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Kickoff y discovery</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Firma del contrato</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20%</w:t>
            </w:r>
          </w:p>
        </w:tc>
        <w:tc>
          <w:tcPr>
            <w:tcW w:type="dxa" w:w="1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$12,480</w:t>
            </w:r>
          </w:p>
        </w:tc>
      </w:tr>
      <w:tr>
        <w:tc>
          <w:tcPr>
            <w:tcW w:type="dxa" w:w="3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Plataforma base desplegada</w:t>
            </w:r>
          </w:p>
        </w:tc>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Cierre Fase 2</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25%</w:t>
            </w:r>
          </w:p>
        </w:tc>
        <w:tc>
          <w:tcPr>
            <w:tcW w:type="dxa" w:w="1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$15,600</w:t>
            </w:r>
          </w:p>
        </w:tc>
      </w:tr>
      <w:tr>
        <w:tc>
          <w:tcPr>
            <w:tcW w:type="dxa" w:w="3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 en QA aceptado</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Cierre Fase 3</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25%</w:t>
            </w:r>
          </w:p>
        </w:tc>
        <w:tc>
          <w:tcPr>
            <w:tcW w:type="dxa" w:w="1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$15,600</w:t>
            </w:r>
          </w:p>
        </w:tc>
      </w:tr>
      <w:tr>
        <w:tc>
          <w:tcPr>
            <w:tcW w:type="dxa" w:w="3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Go-live productivo SMS</w:t>
            </w:r>
          </w:p>
        </w:tc>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Cierre Fase 4</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20%</w:t>
            </w:r>
          </w:p>
        </w:tc>
        <w:tc>
          <w:tcPr>
            <w:tcW w:type="dxa" w:w="1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$12,480</w:t>
            </w:r>
          </w:p>
        </w:tc>
      </w:tr>
      <w:tr>
        <w:tc>
          <w:tcPr>
            <w:tcW w:type="dxa" w:w="3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Cierre formal y entrega final</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Cierre Fase 5</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w:t>
            </w:r>
          </w:p>
        </w:tc>
        <w:tc>
          <w:tcPr>
            <w:tcW w:type="dxa" w:w="1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$6,240</w:t>
            </w:r>
          </w:p>
        </w:tc>
      </w:tr>
    </w:tbl>
    <w:p>
      <w:pPr>
        <w:pStyle w:val="Heading2"/>
        <w:spacing w:after="160" w:before="280"/>
      </w:pPr>
      <w:r>
        <w:rPr>
          <w:rFonts w:ascii="Arial" w:cs="Arial" w:eastAsia="Arial" w:hAnsi="Arial"/>
          <w:b/>
          <w:bCs/>
          <w:color w:val="0078D4"/>
          <w:sz w:val="28"/>
          <w:szCs w:val="28"/>
        </w:rPr>
        <w:t xml:space="preserve">13.3 Servicio gestionado post go-live (opcional)</w:t>
      </w:r>
    </w:p>
    <w:p>
      <w:pPr>
        <w:spacing w:after="60" w:before="60" w:line="300"/>
        <w:jc w:val="left"/>
      </w:pPr>
      <w:r>
        <w:rPr>
          <w:rFonts w:ascii="Arial" w:cs="Arial" w:eastAsia="Arial" w:hAnsi="Arial"/>
          <w:color w:val="201F1E"/>
          <w:sz w:val="22"/>
          <w:szCs w:val="22"/>
        </w:rPr>
        <w:t xml:space="preserve">Servicio mensual recurrente para operación y evolución continua de la plataforma. Es opcional: C3ntro puede ejercerlo, modificarlo o prescindir de él según la madurez que adquiera el equipo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700"/>
        <w:gridCol w:w="1460"/>
      </w:tblGrid>
      <w:tr>
        <w:trPr>
          <w:tblHeader/>
        </w:trP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Paquete</w:t>
            </w:r>
          </w:p>
        </w:tc>
        <w:tc>
          <w:tcPr>
            <w:tcW w:type="dxa" w:w="1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Horas/mes</w:t>
            </w:r>
          </w:p>
        </w:tc>
        <w:tc>
          <w:tcPr>
            <w:tcW w:type="dxa" w:w="4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Cobertura</w:t>
            </w:r>
          </w:p>
        </w:tc>
        <w:tc>
          <w:tcPr>
            <w:tcW w:type="dxa" w:w="1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USD/mes</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Light</w:t>
            </w:r>
          </w:p>
        </w:tc>
        <w:tc>
          <w:tcPr>
            <w:tcW w:type="dxa" w:w="1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20 hrs</w:t>
            </w:r>
          </w:p>
        </w:tc>
        <w:tc>
          <w:tcPr>
            <w:tcW w:type="dxa" w:w="4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Soporte L3 reactivo, ajustes menores, asesoría arquitectónica bajo demanda.</w:t>
            </w:r>
          </w:p>
        </w:tc>
        <w:tc>
          <w:tcPr>
            <w:tcW w:type="dxa" w:w="1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$1,800</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Standard (recomendado)</w:t>
            </w:r>
          </w:p>
        </w:tc>
        <w:tc>
          <w:tcPr>
            <w:tcW w:type="dxa" w:w="1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40 hrs</w:t>
            </w:r>
          </w:p>
        </w:tc>
        <w:tc>
          <w:tcPr>
            <w:tcW w:type="dxa" w:w="4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Light + onboarding asistido de nuevos clientes internos (hasta 1/trimestre), revisión mensual de salud de la plataforma, ajuste de políticas.</w:t>
            </w:r>
          </w:p>
        </w:tc>
        <w:tc>
          <w:tcPr>
            <w:tcW w:type="dxa" w:w="1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$3,400</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w:t>
            </w:r>
          </w:p>
        </w:tc>
        <w:tc>
          <w:tcPr>
            <w:tcW w:type="dxa" w:w="1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80 hrs</w:t>
            </w:r>
          </w:p>
        </w:tc>
        <w:tc>
          <w:tcPr>
            <w:tcW w:type="dxa" w:w="4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Standard + on-call 24/7 para incidentes P1/P2 (escalamiento a Microsoft incluido), 1 onboarding por mes, mejora continua y reporte ejecutivo mensual.</w:t>
            </w:r>
          </w:p>
        </w:tc>
        <w:tc>
          <w:tcPr>
            <w:tcW w:type="dxa" w:w="1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$6,200</w:t>
            </w:r>
          </w:p>
        </w:tc>
      </w:tr>
    </w:tbl>
    <w:p>
      <w:pPr>
        <w:pStyle w:val="Heading2"/>
        <w:spacing w:after="160" w:before="280"/>
      </w:pPr>
      <w:r>
        <w:rPr>
          <w:rFonts w:ascii="Arial" w:cs="Arial" w:eastAsia="Arial" w:hAnsi="Arial"/>
          <w:b/>
          <w:bCs/>
          <w:color w:val="0078D4"/>
          <w:sz w:val="28"/>
          <w:szCs w:val="28"/>
        </w:rPr>
        <w:t xml:space="preserve">13.4 Resumen consolidado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800"/>
        <w:gridCol w:w="21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Concepto</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Tipo</w:t>
            </w:r>
          </w:p>
        </w:tc>
        <w:tc>
          <w:tcPr>
            <w:tcW w:type="dxa" w:w="2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Monto año 1 (USD)</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Servicios profesionales de implementación</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Único</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$62,400</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Consumo Azure (estimado) — 12 meses PAYG</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Recurrente</w:t>
            </w:r>
          </w:p>
        </w:tc>
        <w:tc>
          <w:tcPr>
            <w:tcW w:type="dxa" w:w="2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~$69,600 ($5,800 × 12)</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Servicio gestionado Standard (opcional, 10 meses post go-live)</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Recurrente</w:t>
            </w:r>
          </w:p>
        </w:tc>
        <w:tc>
          <w:tcPr>
            <w:tcW w:type="dxa" w:w="2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$34,000</w:t>
            </w:r>
          </w:p>
        </w:tc>
      </w:tr>
      <w:tr>
        <w:tc>
          <w:tcPr>
            <w:tcW w:type="dxa" w:w="546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TOTAL ESTIMADO AÑO 1</w:t>
            </w:r>
          </w:p>
        </w:tc>
        <w:tc>
          <w:tcPr>
            <w:tcW w:type="dxa" w:w="18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21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right"/>
            </w:pPr>
            <w:r>
              <w:rPr>
                <w:rFonts w:ascii="Arial" w:cs="Arial" w:eastAsia="Arial" w:hAnsi="Arial"/>
                <w:b/>
                <w:bCs/>
                <w:color w:val="FFFFFF"/>
                <w:sz w:val="20"/>
                <w:szCs w:val="20"/>
              </w:rPr>
              <w:t xml:space="preserve">~$166,000 USD</w:t>
            </w:r>
          </w:p>
        </w:tc>
      </w:tr>
    </w:tbl>
    <w:p>
      <w:pPr>
        <w:spacing w:after="60" w:before="100" w:line="300"/>
        <w:jc w:val="left"/>
      </w:pPr>
      <w:r>
        <w:rPr>
          <w:rFonts w:ascii="Arial" w:cs="Arial" w:eastAsia="Arial" w:hAnsi="Arial"/>
          <w:i/>
          <w:iCs/>
          <w:color w:val="605E5C"/>
          <w:sz w:val="22"/>
          <w:szCs w:val="22"/>
        </w:rPr>
        <w:t xml:space="preserve">Con Reserved Instances 1 año aplicadas al APIM desde el go-live, el total año 1 baja a ~$144,000 USD. Con RI 3 años, ~$129,000 USD.</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14. Modelo de cobro a clientes internos</w:t>
      </w:r>
    </w:p>
    <w:p>
      <w:pPr>
        <w:spacing w:after="60" w:before="60" w:line="300"/>
        <w:jc w:val="left"/>
      </w:pPr>
      <w:r>
        <w:rPr>
          <w:rFonts w:ascii="Arial" w:cs="Arial" w:eastAsia="Arial" w:hAnsi="Arial"/>
          <w:color w:val="201F1E"/>
          <w:sz w:val="22"/>
          <w:szCs w:val="22"/>
        </w:rPr>
        <w:t xml:space="preserve">El Mapa de Necesidades indica que el Área opera con un modelo de fee base mensual por uso de plataforma más horas de consultoría, y que los clientes internos financian la infraestructura compartida. Esta sección plantea cómo APIM soporta ese modelo de forma operativa.</w:t>
      </w:r>
    </w:p>
    <w:p>
      <w:pPr>
        <w:pStyle w:val="Heading2"/>
        <w:spacing w:after="160" w:before="280"/>
      </w:pPr>
      <w:r>
        <w:rPr>
          <w:rFonts w:ascii="Arial" w:cs="Arial" w:eastAsia="Arial" w:hAnsi="Arial"/>
          <w:b/>
          <w:bCs/>
          <w:color w:val="0078D4"/>
          <w:sz w:val="28"/>
          <w:szCs w:val="28"/>
        </w:rPr>
        <w:t xml:space="preserve">14.1 Componentes del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Componente</w:t>
            </w:r>
          </w:p>
        </w:tc>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Base de cobro</w:t>
            </w:r>
          </w:p>
        </w:tc>
        <w:tc>
          <w:tcPr>
            <w:tcW w:type="dxa" w:w="41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Implementación técnica</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Fee base de plataforma</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Mensualidad fija por cliente interno con workspace activo.</w:t>
            </w:r>
          </w:p>
        </w:tc>
        <w:tc>
          <w:tcPr>
            <w:tcW w:type="dxa" w:w="4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Una vez activado el workspace del cliente, se inicia su mensualidad. Se reporta del lado contable, no técnico — APIM no factura, simplemente habilita el cobro.</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Cobro por consumo (call-based)</w:t>
            </w:r>
          </w:p>
        </w:tc>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Costo por cada millón de transacciones del cliente, con tarifas escalonadas por volumen.</w:t>
            </w:r>
          </w:p>
        </w:tc>
        <w:tc>
          <w:tcPr>
            <w:tcW w:type="dxa" w:w="4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Stream de Event Hubs alimenta reporte mensual con count de transacciones por workspace × producto × suscripción. ETL aguas abajo materializa el reporte de facturación.</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Cobro por consumo (tier-based / planes)</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 Estándar vs Premium con tarifas distintas (ej. SMS-Premium tiene mayor rate-limit y SLA prioritario, y se cobra más).</w:t>
            </w:r>
          </w:p>
        </w:tc>
        <w:tc>
          <w:tcPr>
            <w:tcW w:type="dxa" w:w="4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Productos APIM con políticas diferenciadas. Suscripciones se asocian al plan elegido por el consumidor.</w:t>
            </w:r>
          </w:p>
        </w:tc>
      </w:tr>
      <w:tr>
        <w:tc>
          <w:tcPr>
            <w:tcW w:type="dxa" w:w="22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Horas de consultoría</w:t>
            </w:r>
          </w:p>
        </w:tc>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Bolsa de horas pre-pagada o facturada mensualmente.</w:t>
            </w:r>
          </w:p>
        </w:tc>
        <w:tc>
          <w:tcPr>
            <w:tcW w:type="dxa" w:w="41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Tracking fuera de APIM (sistema de PMO). Vinculadas a workspace para reporting.</w:t>
            </w:r>
          </w:p>
        </w:tc>
      </w:tr>
      <w:tr>
        <w:tc>
          <w:tcPr>
            <w:tcW w:type="dxa" w:w="22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Cargos de habilitación</w:t>
            </w:r>
          </w:p>
        </w:tc>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Cobro único por onboarding de nuevas APIs o nuevos consumidores.</w:t>
            </w:r>
          </w:p>
        </w:tc>
        <w:tc>
          <w:tcPr>
            <w:tcW w:type="dxa" w:w="41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Tracking por requests al equipo. Se documenta como ítem en la factura inicial del workspace.</w:t>
            </w:r>
          </w:p>
        </w:tc>
      </w:tr>
    </w:tbl>
    <w:p>
      <w:pPr>
        <w:pStyle w:val="Heading2"/>
        <w:spacing w:after="160" w:before="280"/>
      </w:pPr>
      <w:r>
        <w:rPr>
          <w:rFonts w:ascii="Arial" w:cs="Arial" w:eastAsia="Arial" w:hAnsi="Arial"/>
          <w:b/>
          <w:bCs/>
          <w:color w:val="0078D4"/>
          <w:sz w:val="28"/>
          <w:szCs w:val="28"/>
        </w:rPr>
        <w:t xml:space="preserve">14.2 Reporte mensual de facturación — ejemplo de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700"/>
        <w:gridCol w:w="1500"/>
        <w:gridCol w:w="1000"/>
        <w:gridCol w:w="1260"/>
      </w:tblGrid>
      <w:tr>
        <w:trPr>
          <w:tblHeader/>
        </w:trPr>
        <w:tc>
          <w:tcPr>
            <w:tcW w:type="dxa" w:w="1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Workspace</w:t>
            </w:r>
          </w:p>
        </w:tc>
        <w:tc>
          <w:tcPr>
            <w:tcW w:type="dxa" w:w="18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Producto</w:t>
            </w:r>
          </w:p>
        </w:tc>
        <w:tc>
          <w:tcPr>
            <w:tcW w:type="dxa" w:w="27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Suscripción / Consumidor</w:t>
            </w:r>
          </w:p>
        </w:tc>
        <w:tc>
          <w:tcPr>
            <w:tcW w:type="dxa" w:w="1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Transacciones</w:t>
            </w:r>
          </w:p>
        </w:tc>
        <w:tc>
          <w:tcPr>
            <w:tcW w:type="dxa" w:w="1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Tier</w:t>
            </w:r>
          </w:p>
        </w:tc>
        <w:tc>
          <w:tcPr>
            <w:tcW w:type="dxa" w:w="12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Cobro mensual estimado</w:t>
            </w:r>
          </w:p>
        </w:tc>
      </w:tr>
      <w:tr>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SMS-Estándar</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Aplicación Web Marketing</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1,200,000</w:t>
            </w:r>
          </w:p>
        </w:tc>
        <w:tc>
          <w:tcPr>
            <w:tcW w:type="dxa" w:w="1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Estándar</w:t>
            </w:r>
          </w:p>
        </w:tc>
        <w:tc>
          <w:tcPr>
            <w:tcW w:type="dxa" w:w="12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Fee base + uso</w:t>
            </w:r>
          </w:p>
        </w:tc>
      </w:tr>
      <w:tr>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SMS-Estándar</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CRM Operaciones</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850,000</w:t>
            </w:r>
          </w:p>
        </w:tc>
        <w:tc>
          <w:tcPr>
            <w:tcW w:type="dxa" w:w="1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Estándar</w:t>
            </w:r>
          </w:p>
        </w:tc>
        <w:tc>
          <w:tcPr>
            <w:tcW w:type="dxa" w:w="12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Fee base + uso</w:t>
            </w:r>
          </w:p>
        </w:tc>
      </w:tr>
      <w:tr>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w:t>
            </w:r>
          </w:p>
        </w:tc>
        <w:tc>
          <w:tcPr>
            <w:tcW w:type="dxa" w:w="18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SMS-Premium</w:t>
            </w:r>
          </w:p>
        </w:tc>
        <w:tc>
          <w:tcPr>
            <w:tcW w:type="dxa" w:w="27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Plataforma de OTPs</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3,500,000</w:t>
            </w:r>
          </w:p>
        </w:tc>
        <w:tc>
          <w:tcPr>
            <w:tcW w:type="dxa" w:w="1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Premium</w:t>
            </w:r>
          </w:p>
        </w:tc>
        <w:tc>
          <w:tcPr>
            <w:tcW w:type="dxa" w:w="12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Fee base + uso premium</w:t>
            </w:r>
          </w:p>
        </w:tc>
      </w:tr>
      <w:tr>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w:t>
            </w:r>
          </w:p>
        </w:tc>
        <w:tc>
          <w:tcPr>
            <w:tcW w:type="dxa" w:w="18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SMS-Internal</w:t>
            </w:r>
          </w:p>
        </w:tc>
        <w:tc>
          <w:tcPr>
            <w:tcW w:type="dxa" w:w="27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de Notificaciones Internas</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120,000</w:t>
            </w:r>
          </w:p>
        </w:tc>
        <w:tc>
          <w:tcPr>
            <w:tcW w:type="dxa" w:w="1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Internal</w:t>
            </w:r>
          </w:p>
        </w:tc>
        <w:tc>
          <w:tcPr>
            <w:tcW w:type="dxa" w:w="12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Sin cobro / interno</w:t>
            </w:r>
          </w:p>
        </w:tc>
      </w:tr>
      <w:tr>
        <w:tc>
          <w:tcPr>
            <w:tcW w:type="dxa" w:w="11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201F1E"/>
                <w:sz w:val="20"/>
                <w:szCs w:val="20"/>
              </w:rPr>
              <w:t xml:space="preserve">TOTAL workspace SMS</w:t>
            </w:r>
          </w:p>
        </w:tc>
        <w:tc>
          <w:tcPr>
            <w:tcW w:type="dxa" w:w="18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27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5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201F1E"/>
                <w:sz w:val="20"/>
                <w:szCs w:val="20"/>
              </w:rPr>
              <w:t xml:space="preserve">5,670,000</w:t>
            </w:r>
          </w:p>
        </w:tc>
        <w:tc>
          <w:tcPr>
            <w:tcW w:type="dxa" w:w="100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w:r>
          </w:p>
        </w:tc>
        <w:tc>
          <w:tcPr>
            <w:tcW w:type="dxa" w:w="1260"/>
            <w:tcBorders>
              <w:top w:val="single" w:color="D2D0CE" w:sz="1"/>
              <w:left w:val="single" w:color="D2D0CE" w:sz="1"/>
              <w:bottom w:val="single" w:color="D2D0CE" w:sz="1"/>
              <w:right w:val="single" w:color="D2D0CE" w:sz="1"/>
            </w:tcBorders>
            <w:shd w:fill="F3F2F1"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201F1E"/>
                <w:sz w:val="20"/>
                <w:szCs w:val="20"/>
              </w:rPr>
              <w:t xml:space="preserve">Subtotal SMS</w:t>
            </w:r>
          </w:p>
        </w:tc>
      </w:tr>
    </w:tbl>
    <w:p>
      <w:pPr>
        <w:pStyle w:val="Heading2"/>
        <w:spacing w:after="160" w:before="280"/>
      </w:pPr>
      <w:r>
        <w:rPr>
          <w:rFonts w:ascii="Arial" w:cs="Arial" w:eastAsia="Arial" w:hAnsi="Arial"/>
          <w:b/>
          <w:bCs/>
          <w:color w:val="0078D4"/>
          <w:sz w:val="28"/>
          <w:szCs w:val="28"/>
        </w:rPr>
        <w:t xml:space="preserve">14.3 KQL ejemplo para extracción mensual</w:t>
      </w:r>
    </w:p>
    <w:p>
      <w:pPr>
        <w:shd w:fill="F3F2F1" w:val="clear"/>
        <w:spacing w:after="120" w:before="120"/>
      </w:pPr>
      <w:r>
        <w:rPr>
          <w:rFonts w:ascii="Consolas" w:cs="Consolas" w:eastAsia="Consolas" w:hAnsi="Consolas"/>
          <w:color w:val="201F1E"/>
          <w:sz w:val="18"/>
          <w:szCs w:val="18"/>
        </w:rPr>
        <w:t xml:space="preserve">// Reporte de consumo mensual por workspace, producto y suscripción
// Fuente: ApiManagementGatewayLogs en Log Analytics Workspace
ApiManagementGatewayLogs
| where TimeGenerated between (startofmonth(now()) .. endofmonth(now()))
| where ResponseCode &lt; 500   // descartamos errores del gateway
| extend Workspace = tostring(parse_json(Properties).WorkspaceId)
| summarize
    TotalRequests = count(),
    SuccessRate   = countif(ResponseCode &lt; 400) * 100.0 / count(),
    p95Latency_ms = percentile(TotalTime, 95)
    by Workspace, ProductName=ApiId, SubscriptionId
| order by Workspace, TotalRequests desc
| project Workspace, ProductName, SubscriptionId,
          TotalRequests, SuccessRate, p95Latency_ms</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15. API "deber ser" — ejemplo aplicado a SMS</w:t>
      </w:r>
    </w:p>
    <w:p>
      <w:pPr>
        <w:spacing w:after="60" w:before="60" w:line="300"/>
        <w:jc w:val="left"/>
      </w:pPr>
      <w:r>
        <w:rPr>
          <w:rFonts w:ascii="Arial" w:cs="Arial" w:eastAsia="Arial" w:hAnsi="Arial"/>
          <w:color w:val="201F1E"/>
          <w:sz w:val="22"/>
          <w:szCs w:val="22"/>
        </w:rPr>
        <w:t xml:space="preserve">Esta sección concreta cómo debería verse una API publicada a través de APIM una vez completado el onboarding. El ejemplo está construido sobre un caso típico de SMS (envío de mensajes), pero los patrones aplican a cualquier API del cliente ancla.</w:t>
      </w:r>
    </w:p>
    <w:p>
      <w:pPr>
        <w:pStyle w:val="Heading2"/>
        <w:spacing w:after="160" w:before="280"/>
      </w:pPr>
      <w:r>
        <w:rPr>
          <w:rFonts w:ascii="Arial" w:cs="Arial" w:eastAsia="Arial" w:hAnsi="Arial"/>
          <w:b/>
          <w:bCs/>
          <w:color w:val="0078D4"/>
          <w:sz w:val="28"/>
          <w:szCs w:val="28"/>
        </w:rPr>
        <w:t xml:space="preserve">15.1 Caso de uso</w:t>
      </w:r>
    </w:p>
    <w:p>
      <w:pPr>
        <w:spacing w:after="60" w:before="60" w:line="300"/>
        <w:jc w:val="left"/>
      </w:pPr>
      <w:r>
        <w:rPr>
          <w:rFonts w:ascii="Arial" w:cs="Arial" w:eastAsia="Arial" w:hAnsi="Arial"/>
          <w:color w:val="201F1E"/>
          <w:sz w:val="22"/>
          <w:szCs w:val="22"/>
        </w:rPr>
        <w:t xml:space="preserve">Un consumidor interno (por ejemplo, la Plataforma de OTPs) necesita enviar mensajes SMS a clientes finales. La API debe permitir envío individual y por lotes, autenticarse contra la identidad corporativa, soportar diferentes prioridades, ser trazable por correlation ID, y respetar los límites del plan al que el consumidor está suscrito.</w:t>
      </w:r>
    </w:p>
    <w:p>
      <w:pPr>
        <w:pStyle w:val="Heading2"/>
        <w:spacing w:after="160" w:before="280"/>
      </w:pPr>
      <w:r>
        <w:rPr>
          <w:rFonts w:ascii="Arial" w:cs="Arial" w:eastAsia="Arial" w:hAnsi="Arial"/>
          <w:b/>
          <w:bCs/>
          <w:color w:val="0078D4"/>
          <w:sz w:val="28"/>
          <w:szCs w:val="28"/>
        </w:rPr>
        <w:t xml:space="preserve">15.2 Contrato OpenAPI (extracto)</w:t>
      </w:r>
    </w:p>
    <w:p>
      <w:pPr>
        <w:shd w:fill="F3F2F1" w:val="clear"/>
        <w:spacing w:after="120" w:before="120"/>
      </w:pPr>
      <w:r>
        <w:rPr>
          <w:rFonts w:ascii="Consolas" w:cs="Consolas" w:eastAsia="Consolas" w:hAnsi="Consolas"/>
          <w:color w:val="201F1E"/>
          <w:sz w:val="16"/>
          <w:szCs w:val="16"/>
        </w:rPr>
        <w:t xml:space="preserve">openapi: 3.0.3
info:
  title: C3ntro SMS API
  version: "1.0.0"
  description: |
    API de envío de mensajes SMS — gobernada por
    Azure API Management (workspace: sms).
  contact:
    name: Área de Integración y Consultoría — C3ntro
servers:
  - url: https://api.c3ntro.com/sms/v1
security:
  - bearerAuth: []           # OAuth 2.0 / JWT
  - apiKeyAuth: []           # APIM Subscription Key
paths:
  /messages:
    post:
      operationId: sendMessage
      summary: Envía un mensaje SMS
      parameters:
        - in: header
          name: X-Correlation-ID
          required: true
          schema: { type: string, format: uuid }
          description: ID único de correlación para trazabilidad end-to-end.
      requestBody:
        required: true
        content:
          application/json:
            schema:
              $ref: "#/components/schemas/MessageRequest"
      responses:
        "202": { description: Aceptado, en proceso de envío }
        "400": { description: Petición inválida }
        "401": { description: No autenticado }
        "403": { description: No autorizado / fuera de plan }
        "429": { description: Rate limit excedido (Retry-After header) }
        "503": { description: Backend degradado (circuit breaker abierto) }
components:
  securitySchemes:
    bearerAuth:
      type: http
      scheme: bearer
      bearerFormat: JWT
    apiKeyAuth:
      type: apiKey
      in: header
      name: Ocp-Apim-Subscription-Key
  schemas:
    MessageRequest:
      type: object
      required: [to, message]
      properties:
        to:        { type: string, example: "+5215555551234" }
        from:      { type: string, example: "C3NTRO" }
        message:   { type: string, maxLength: 1600 }
        priority:  { type: string, enum: [normal, high], default: normal }
        callbackUrl: { type: string, format: uri }</w:t>
      </w:r>
    </w:p>
    <w:p>
      <w:pPr>
        <w:pStyle w:val="Heading2"/>
        <w:spacing w:after="160" w:before="280"/>
      </w:pPr>
      <w:r>
        <w:rPr>
          <w:rFonts w:ascii="Arial" w:cs="Arial" w:eastAsia="Arial" w:hAnsi="Arial"/>
          <w:b/>
          <w:bCs/>
          <w:color w:val="0078D4"/>
          <w:sz w:val="28"/>
          <w:szCs w:val="28"/>
        </w:rPr>
        <w:t xml:space="preserve">15.3 Política APIM aplicada (extracto)</w:t>
      </w:r>
    </w:p>
    <w:p>
      <w:pPr>
        <w:spacing w:after="60" w:before="60" w:line="300"/>
        <w:jc w:val="left"/>
      </w:pPr>
      <w:r>
        <w:rPr>
          <w:rFonts w:ascii="Arial" w:cs="Arial" w:eastAsia="Arial" w:hAnsi="Arial"/>
          <w:color w:val="201F1E"/>
          <w:sz w:val="22"/>
          <w:szCs w:val="22"/>
        </w:rPr>
        <w:t xml:space="preserve">Toda la lógica transversal — autenticación, rate-limit, observabilidad, resiliencia — vive en la política APIM, no en el backend. El backend solo se ocupa de la lógica de negocio.</w:t>
      </w:r>
    </w:p>
    <w:p>
      <w:pPr>
        <w:shd w:fill="F3F2F1" w:val="clear"/>
        <w:spacing w:after="120" w:before="120"/>
      </w:pPr>
      <w:r>
        <w:rPr>
          <w:rFonts w:ascii="Consolas" w:cs="Consolas" w:eastAsia="Consolas" w:hAnsi="Consolas"/>
          <w:color w:val="201F1E"/>
          <w:sz w:val="14"/>
          <w:szCs w:val="14"/>
        </w:rPr>
        <w:t xml:space="preserve">&lt;policies&gt;
  &lt;inbound&gt;
    &lt;base /&gt;
    &lt;!-- 1. Validar JWT contra Entra ID --&gt;
    &lt;validate-azure-ad-token tenant-id="{{c3ntro-tenant-id}}"
                              header-name="Authorization"
                              failed-validation-httpcode="401"&gt;
      &lt;client-application-ids&gt;
        &lt;application-id&gt;{{sms-consumers-app-id}}&lt;/application-id&gt;
      &lt;/client-application-ids&gt;
      &lt;required-claims&gt;
        &lt;claim name="scope" match="any"&gt;
          &lt;value&gt;sms.send&lt;/value&gt;
        &lt;/claim&gt;
      &lt;/required-claims&gt;
    &lt;/validate-azure-ad-token&gt;
    &lt;!-- 2. Rate limit por suscripción (ventana corta) --&gt;
    &lt;rate-limit-by-key calls="100" renewal-period="60"
                       counter-key="@(context.Subscription.Id)"
                       increment-condition="@(context.Response.StatusCode != 429)" /&gt;
    &lt;!-- 3. Quota mensual por suscripción --&gt;
    &lt;quota-by-key calls="1000000" renewal-period="2592000"
                  counter-key="@(context.Subscription.Id)" /&gt;
    &lt;!-- 4. Forzar correlation ID si no viene --&gt;
    &lt;set-header name="X-Correlation-ID" exists-action="skip"&gt;
      &lt;value&gt;@(Guid.NewGuid().ToString())&lt;/value&gt;
    &lt;/set-header&gt;
    &lt;!-- 5. Propagar identidad del consumidor al backend --&gt;
    &lt;set-header name="X-Consumer-Id" exists-action="override"&gt;
      &lt;value&gt;@(context.Subscription.Id)&lt;/value&gt;
    &lt;/set-header&gt;
    &lt;!-- 6. CORS estándar --&gt;
    &lt;cors allow-credentials="false"&gt;
      &lt;allowed-origins&gt;&lt;origin&gt;*&lt;/origin&gt;&lt;/allowed-origins&gt;
      &lt;allowed-methods&gt;&lt;method&gt;POST&lt;/method&gt;&lt;/allowed-methods&gt;
    &lt;/cors&gt;
  &lt;/inbound&gt;
  &lt;backend&gt;
    &lt;!-- 7. Retry con backoff exponencial ante 5xx transitorios --&gt;
    &lt;retry condition="@(context.Response.StatusCode == 502
                       || context.Response.StatusCode == 503
                       || context.Response.StatusCode == 504)"
           count="3" interval="1" delta="2" max-interval="10"
           first-fast-retry="false"&gt;
      &lt;forward-request timeout="15" /&gt;
    &lt;/retry&gt;
    &lt;!-- circuit breaker se configura en el Backend entity, no en policy --&gt;
  &lt;/backend&gt;
  &lt;outbound&gt;
    &lt;base /&gt;
    &lt;!-- 8. Enmascarar campos sensibles si retornan --&gt;
    &lt;set-body&gt;@{
      var body = context.Response.Body.As&lt;JObject&gt;(preserveContent: true);
      if (body["pin"] != null) body["pin"] = "***";
      return body.ToString();
    }&lt;/set-body&gt;
  &lt;/outbound&gt;
  &lt;on-error&gt;
    &lt;base /&gt;
    &lt;!-- 9. Log enriquecido al Event Hub para auditoría --&gt;
    &lt;log-to-eventhub logger-id="audit-eh"&gt;@{
      return new JObject(
        new JProperty("ts", DateTime.UtcNow),
        new JProperty("correlationId", context.Request.Headers
                       .GetValueOrDefault("X-Correlation-ID","")),
        new JProperty("subscription", context.Subscription.Id),
        new JProperty("api", context.Api.Name),
        new JProperty("operation", context.Operation.Name),
        new JProperty("status", context.Response.StatusCode),
        new JProperty("error", context.LastError?.Message)
      ).ToString();
    }&lt;/log-to-eventhub&gt;
  &lt;/on-error&gt;
&lt;/policies&gt;</w:t>
      </w:r>
    </w:p>
    <w:p>
      <w:pPr>
        <w:pStyle w:val="Heading2"/>
        <w:spacing w:after="160" w:before="280"/>
      </w:pPr>
      <w:r>
        <w:rPr>
          <w:rFonts w:ascii="Arial" w:cs="Arial" w:eastAsia="Arial" w:hAnsi="Arial"/>
          <w:b/>
          <w:bCs/>
          <w:color w:val="0078D4"/>
          <w:sz w:val="28"/>
          <w:szCs w:val="28"/>
        </w:rPr>
        <w:t xml:space="preserve">15.4 Comportamiento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Escenario</w:t>
            </w:r>
          </w:p>
        </w:tc>
        <w:tc>
          <w:tcPr>
            <w:tcW w:type="dxa" w:w="3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Comportamiento del gateway</w:t>
            </w:r>
          </w:p>
        </w:tc>
        <w:tc>
          <w:tcPr>
            <w:tcW w:type="dxa" w:w="29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Evidencia</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Token JWT válido + suscripción activa + dentro de rate limit</w:t>
            </w:r>
          </w:p>
        </w:tc>
        <w:tc>
          <w:tcPr>
            <w:tcW w:type="dxa" w:w="3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Llamada se enruta al backend SMS. Latencia adicional del gateway: &lt; 15 ms p95.</w:t>
            </w:r>
          </w:p>
        </w:tc>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 Insights: trace exitoso. Event Hub: evento con status 200/202.</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Token JWT ausente o inválido</w:t>
            </w:r>
          </w:p>
        </w:tc>
        <w:tc>
          <w:tcPr>
            <w:tcW w:type="dxa" w:w="3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401 inmediato. No hay llamada al backend.</w:t>
            </w:r>
          </w:p>
        </w:tc>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 Insights: trace 401. Event Hub: evento con status 401.</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Suscripción excede 100 calls/min</w:t>
            </w:r>
          </w:p>
        </w:tc>
        <w:tc>
          <w:tcPr>
            <w:tcW w:type="dxa" w:w="3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429 con header Retry-After. No hay llamada al backend.</w:t>
            </w:r>
          </w:p>
        </w:tc>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Event Hub: evento con status 429.</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Suscripción excede 1M calls/mes</w:t>
            </w:r>
          </w:p>
        </w:tc>
        <w:tc>
          <w:tcPr>
            <w:tcW w:type="dxa" w:w="3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429 con header Retry-After explicando quota. No hay llamada al backend.</w:t>
            </w:r>
          </w:p>
        </w:tc>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Event Hub: evento con status 429 y razón quota-monthly.</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retorna 503 una vez</w:t>
            </w:r>
          </w:p>
        </w:tc>
        <w:tc>
          <w:tcPr>
            <w:tcW w:type="dxa" w:w="3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Gateway reintenta con backoff (1s, 3s, 7s).</w:t>
            </w:r>
          </w:p>
        </w:tc>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App Insights: trace con 3 spans. Si finalmente OK, respuesta 200.</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retorna 503 múltiples veces</w:t>
            </w:r>
          </w:p>
        </w:tc>
        <w:tc>
          <w:tcPr>
            <w:tcW w:type="dxa" w:w="3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Circuit breaker abre. Siguientes calls reciben 503 inmediato sin tocar el backend hasta que el breaker pase a half-open.</w:t>
            </w:r>
          </w:p>
        </w:tc>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Métrica circuit-state visible en dashboard.</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Consumidor envía request con campo sensible</w:t>
            </w:r>
          </w:p>
        </w:tc>
        <w:tc>
          <w:tcPr>
            <w:tcW w:type="dxa" w:w="3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Outbound transforma el response enmascarando el campo sensible.</w:t>
            </w:r>
          </w:p>
        </w:tc>
        <w:tc>
          <w:tcPr>
            <w:tcW w:type="dxa" w:w="2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Cuerpo de respuesta muestra "***" donde corresponde.</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Latencia p95 del backend &gt; umbral</w:t>
            </w:r>
          </w:p>
        </w:tc>
        <w:tc>
          <w:tcPr>
            <w:tcW w:type="dxa" w:w="3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Alerta automática vía Action Group al Área. No degradación al consumidor inmediata.</w:t>
            </w:r>
          </w:p>
        </w:tc>
        <w:tc>
          <w:tcPr>
            <w:tcW w:type="dxa" w:w="2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Email/SMS/Teams enviado a la guardia.</w:t>
            </w:r>
          </w:p>
        </w:tc>
      </w:tr>
    </w:tbl>
    <w:p>
      <w:pPr>
        <w:pStyle w:val="Heading2"/>
        <w:spacing w:after="160" w:before="280"/>
      </w:pPr>
      <w:r>
        <w:rPr>
          <w:rFonts w:ascii="Arial" w:cs="Arial" w:eastAsia="Arial" w:hAnsi="Arial"/>
          <w:b/>
          <w:bCs/>
          <w:color w:val="0078D4"/>
          <w:sz w:val="28"/>
          <w:szCs w:val="28"/>
        </w:rPr>
        <w:t xml:space="preserve">15.5 Versionado en la práctica</w:t>
      </w:r>
    </w:p>
    <w:p>
      <w:pPr>
        <w:spacing w:after="60" w:before="60" w:line="300"/>
        <w:jc w:val="left"/>
      </w:pPr>
      <w:r>
        <w:rPr>
          <w:rFonts w:ascii="Arial" w:cs="Arial" w:eastAsia="Arial" w:hAnsi="Arial"/>
          <w:color w:val="201F1E"/>
          <w:sz w:val="22"/>
          <w:szCs w:val="22"/>
        </w:rPr>
        <w:t xml:space="preserve">Cuando se requiera publicar v2 con un breaking change (por ejemplo, formato de "to" cambia para soportar grupos), la operación es:</w:t>
      </w:r>
    </w:p>
    <w:p>
      <w:pPr>
        <w:pStyle w:val="ListParagraph"/>
        <w:numPr>
          <w:ilvl w:val="0"/>
          <w:numId w:val="3"/>
        </w:numPr>
        <w:spacing w:after="40" w:before="40" w:line="280"/>
      </w:pPr>
      <w:r>
        <w:rPr>
          <w:rFonts w:ascii="Arial" w:cs="Arial" w:eastAsia="Arial" w:hAnsi="Arial"/>
          <w:color w:val="201F1E"/>
          <w:sz w:val="22"/>
          <w:szCs w:val="22"/>
        </w:rPr>
        <w:t xml:space="preserve">Crear la versión v2 en APIM apuntando a un backend nuevo (o al mismo backend con un path diferente).</w:t>
      </w:r>
    </w:p>
    <w:p>
      <w:pPr>
        <w:pStyle w:val="ListParagraph"/>
        <w:numPr>
          <w:ilvl w:val="0"/>
          <w:numId w:val="3"/>
        </w:numPr>
        <w:spacing w:after="40" w:before="40" w:line="280"/>
      </w:pPr>
      <w:r>
        <w:rPr>
          <w:rFonts w:ascii="Arial" w:cs="Arial" w:eastAsia="Arial" w:hAnsi="Arial"/>
          <w:color w:val="201F1E"/>
          <w:sz w:val="22"/>
          <w:szCs w:val="22"/>
        </w:rPr>
        <w:t xml:space="preserve">Mantener v1 activa con su política intacta — los consumidores siguen funcionando.</w:t>
      </w:r>
    </w:p>
    <w:p>
      <w:pPr>
        <w:pStyle w:val="ListParagraph"/>
        <w:numPr>
          <w:ilvl w:val="0"/>
          <w:numId w:val="3"/>
        </w:numPr>
        <w:spacing w:after="40" w:before="40" w:line="280"/>
      </w:pPr>
      <w:r>
        <w:rPr>
          <w:rFonts w:ascii="Arial" w:cs="Arial" w:eastAsia="Arial" w:hAnsi="Arial"/>
          <w:color w:val="201F1E"/>
          <w:sz w:val="22"/>
          <w:szCs w:val="22"/>
        </w:rPr>
        <w:t xml:space="preserve">Documentar la diferencia en el developer portal y publicar la fecha de deprecación de v1.</w:t>
      </w:r>
    </w:p>
    <w:p>
      <w:pPr>
        <w:pStyle w:val="ListParagraph"/>
        <w:numPr>
          <w:ilvl w:val="0"/>
          <w:numId w:val="3"/>
        </w:numPr>
        <w:spacing w:after="40" w:before="40" w:line="280"/>
      </w:pPr>
      <w:r>
        <w:rPr>
          <w:rFonts w:ascii="Arial" w:cs="Arial" w:eastAsia="Arial" w:hAnsi="Arial"/>
          <w:color w:val="201F1E"/>
          <w:sz w:val="22"/>
          <w:szCs w:val="22"/>
        </w:rPr>
        <w:t xml:space="preserve">Acompañar a cada consumidor en su migración con tickets de transición.</w:t>
      </w:r>
    </w:p>
    <w:p>
      <w:pPr>
        <w:pStyle w:val="ListParagraph"/>
        <w:numPr>
          <w:ilvl w:val="0"/>
          <w:numId w:val="3"/>
        </w:numPr>
        <w:spacing w:after="40" w:before="40" w:line="280"/>
      </w:pPr>
      <w:r>
        <w:rPr>
          <w:rFonts w:ascii="Arial" w:cs="Arial" w:eastAsia="Arial" w:hAnsi="Arial"/>
          <w:color w:val="201F1E"/>
          <w:sz w:val="22"/>
          <w:szCs w:val="22"/>
        </w:rPr>
        <w:t xml:space="preserve">Al cumplirse la deprecación, aplicar política de "sunset" que retorna 410 Gone con link a documentación de migración antes de retirar la versión.</w:t>
      </w:r>
    </w:p>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16. SLA y modelo de soporte</w:t>
      </w:r>
    </w:p>
    <w:p>
      <w:pPr>
        <w:spacing w:after="60" w:before="60" w:line="300"/>
        <w:jc w:val="left"/>
      </w:pPr>
      <w:r>
        <w:rPr>
          <w:rFonts w:ascii="Arial" w:cs="Arial" w:eastAsia="Arial" w:hAnsi="Arial"/>
          <w:color w:val="201F1E"/>
          <w:sz w:val="22"/>
          <w:szCs w:val="22"/>
        </w:rPr>
        <w:t xml:space="preserve">El modelo de soporte combina (i) el SLA del producto Microsoft Azure API Management, (ii) el soporte de plataforma Microsoft (Unified, ProDirect o equivalente) y (iii) el soporte del proveedor (servicio gestionado opcional).</w:t>
      </w:r>
    </w:p>
    <w:p>
      <w:pPr>
        <w:pStyle w:val="Heading2"/>
        <w:spacing w:after="160" w:before="280"/>
      </w:pPr>
      <w:r>
        <w:rPr>
          <w:rFonts w:ascii="Arial" w:cs="Arial" w:eastAsia="Arial" w:hAnsi="Arial"/>
          <w:b/>
          <w:bCs/>
          <w:color w:val="0078D4"/>
          <w:sz w:val="28"/>
          <w:szCs w:val="28"/>
        </w:rPr>
        <w:t xml:space="preserve">16.1 SLA del producto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Dimensión</w:t>
            </w:r>
          </w:p>
        </w:tc>
        <w:tc>
          <w:tcPr>
            <w:tcW w:type="dxa" w:w="58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Compromiso contractual de Microsoft</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Disponibilidad del gateway APIM</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99.99% mensual cuando se despliega Premium con zone redundancy o multi-región.</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Crédito de servicio si SLA mensual &lt; 99.99% y &gt; 99%</w:t>
            </w:r>
          </w:p>
        </w:tc>
        <w:tc>
          <w:tcPr>
            <w:tcW w:type="dxa" w:w="5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10% del cargo mensual del recurso afectado.</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Crédito de servicio si SLA mensual &lt; 99%</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25% del cargo mensual del recurso afectado.</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Forma de reclamación</w:t>
            </w:r>
          </w:p>
        </w:tc>
        <w:tc>
          <w:tcPr>
            <w:tcW w:type="dxa" w:w="5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 través del portal de soporte Azure dentro de los 2 meses siguientes al período de medición.</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Mantenimientos planificados</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Microsoft notifica con anticipación. Las actualizaciones rolling se aplican zona por zona y, con zone redundancy, no implican downtime visible.</w:t>
            </w:r>
          </w:p>
        </w:tc>
      </w:tr>
    </w:tbl>
    <w:p>
      <w:pPr>
        <w:pStyle w:val="Heading2"/>
        <w:spacing w:after="160" w:before="280"/>
      </w:pPr>
      <w:r>
        <w:rPr>
          <w:rFonts w:ascii="Arial" w:cs="Arial" w:eastAsia="Arial" w:hAnsi="Arial"/>
          <w:b/>
          <w:bCs/>
          <w:color w:val="0078D4"/>
          <w:sz w:val="28"/>
          <w:szCs w:val="28"/>
        </w:rPr>
        <w:t xml:space="preserve">16.2 Soporte de plataforma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2400"/>
        <w:gridCol w:w="2400"/>
      </w:tblGrid>
      <w:tr>
        <w:trPr>
          <w:tblHeader/>
        </w:trPr>
        <w:tc>
          <w:tcPr>
            <w:tcW w:type="dxa" w:w="11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Severidad</w:t>
            </w:r>
          </w:p>
        </w:tc>
        <w:tc>
          <w:tcPr>
            <w:tcW w:type="dxa" w:w="3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Definición</w:t>
            </w:r>
          </w:p>
        </w:tc>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Tiempo de respuesta inicial (Unified / Premier)</w:t>
            </w:r>
          </w:p>
        </w:tc>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Cobertura</w:t>
            </w:r>
          </w:p>
        </w:tc>
      </w:tr>
      <w:tr>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P1 (Crítico)</w:t>
            </w:r>
          </w:p>
        </w:tc>
        <w:tc>
          <w:tcPr>
            <w:tcW w:type="dxa" w:w="3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Sistema completamente inoperativo o degradación severa con impacto en negocio.</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1 hora</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24/7/365</w:t>
            </w:r>
          </w:p>
        </w:tc>
      </w:tr>
      <w:tr>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P2 (Alto)</w:t>
            </w:r>
          </w:p>
        </w:tc>
        <w:tc>
          <w:tcPr>
            <w:tcW w:type="dxa" w:w="3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Funcionalidad importante degradada pero hay workaround.</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2 horas</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24/7/365 (Unified) — horario laboral (otros)</w:t>
            </w:r>
          </w:p>
        </w:tc>
      </w:tr>
      <w:tr>
        <w:tc>
          <w:tcPr>
            <w:tcW w:type="dxa" w:w="11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P3 (Medio)</w:t>
            </w:r>
          </w:p>
        </w:tc>
        <w:tc>
          <w:tcPr>
            <w:tcW w:type="dxa" w:w="3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Funcionalidad menor afectada o pregunta de diseño.</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4 horas</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Horario laboral</w:t>
            </w:r>
          </w:p>
        </w:tc>
      </w:tr>
      <w:tr>
        <w:tc>
          <w:tcPr>
            <w:tcW w:type="dxa" w:w="11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P4 (Bajo)</w:t>
            </w:r>
          </w:p>
        </w:tc>
        <w:tc>
          <w:tcPr>
            <w:tcW w:type="dxa" w:w="3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Pregunta general / mejora.</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 8 horas</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Horario laboral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2"/>
              <w:left w:val="single" w:color="0078D4" w:sz="12"/>
              <w:bottom w:val="single" w:color="0078D4" w:sz="4"/>
              <w:right w:val="single" w:color="0078D4" w:sz="4"/>
            </w:tcBorders>
            <w:shd w:fill="DEECF9" w:val="clear"/>
            <w:tcMar>
              <w:top w:type="dxa" w:w="180"/>
              <w:left w:type="dxa" w:w="220"/>
              <w:bottom w:type="dxa" w:w="180"/>
              <w:right w:type="dxa" w:w="220"/>
            </w:tcMar>
          </w:tcPr>
          <w:p>
            <w:pPr>
              <w:spacing w:after="100" w:before="0" w:line="280"/>
            </w:pPr>
            <w:r>
              <w:rPr>
                <w:rFonts w:ascii="Arial" w:cs="Arial" w:eastAsia="Arial" w:hAnsi="Arial"/>
                <w:b/>
                <w:bCs/>
                <w:color w:val="002050"/>
                <w:sz w:val="22"/>
                <w:szCs w:val="22"/>
              </w:rPr>
              <w:t xml:space="preserve">Sobre soporte en español</w:t>
            </w:r>
          </w:p>
          <w:p>
            <w:pPr>
              <w:spacing w:after="60" w:before="60" w:line="300"/>
              <w:jc w:val="left"/>
            </w:pPr>
            <w:r>
              <w:rPr>
                <w:rFonts w:ascii="Arial" w:cs="Arial" w:eastAsia="Arial" w:hAnsi="Arial"/>
                <w:b w:val="false"/>
                <w:bCs w:val="false"/>
                <w:color w:val="201F1E"/>
                <w:sz w:val="22"/>
                <w:szCs w:val="22"/>
              </w:rPr>
              <w:t xml:space="preserve">Microsoft México ofrece Account Team y soporte en español. Los tiempos de respuesta P1 son atendidos primero en idioma disponible (frecuentemente inglés) para no retrasar el tiempo de respuesta contractual; un Account Manager bilingüe se incorpora a la llamada en cuestión de minutos. La opción de partner local certificado refuerza la cobertura en español desde el primer contacto.</w:t>
            </w:r>
          </w:p>
        </w:tc>
      </w:tr>
    </w:tbl>
    <w:p>
      <w:pPr>
        <w:pStyle w:val="Heading2"/>
        <w:spacing w:after="160" w:before="280"/>
      </w:pPr>
      <w:r>
        <w:rPr>
          <w:rFonts w:ascii="Arial" w:cs="Arial" w:eastAsia="Arial" w:hAnsi="Arial"/>
          <w:b/>
          <w:bCs/>
          <w:color w:val="0078D4"/>
          <w:sz w:val="28"/>
          <w:szCs w:val="28"/>
        </w:rPr>
        <w:t xml:space="preserve">16.3 Soporte del proveedor (servicio gestionado)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Aspecto</w:t>
            </w:r>
          </w:p>
        </w:tc>
        <w:tc>
          <w:tcPr>
            <w:tcW w:type="dxa" w:w="58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Cobertura</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Punto único de contacto</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Service Delivery Manager dedicado al área. Mismo nombre, mismo teléfono, misma persona en cada incidente.</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Respuesta a tickets del Área</w:t>
            </w:r>
          </w:p>
        </w:tc>
        <w:tc>
          <w:tcPr>
            <w:tcW w:type="dxa" w:w="5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P1 ≤ 30 min, P2 ≤ 2 hrs, P3 ≤ 8 hrs, P4 ≤ 24 hrs.</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On-call 24/7 (paquete Premium)</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Guardia rotativa de 2 ingenieros senior APIM para incidentes fuera de horario.</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Escalamiento a Microsoft</w:t>
            </w:r>
          </w:p>
        </w:tc>
        <w:tc>
          <w:tcPr>
            <w:tcW w:type="dxa" w:w="5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Incluido — el proveedor abre, gestiona y da seguimiento al ticket Microsoft a nombre de C3ntro.</w:t>
            </w:r>
          </w:p>
        </w:tc>
      </w:tr>
      <w:tr>
        <w:tc>
          <w:tcPr>
            <w:tcW w:type="dxa" w:w="3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Reporting mensual</w:t>
            </w:r>
          </w:p>
        </w:tc>
        <w:tc>
          <w:tcPr>
            <w:tcW w:type="dxa" w:w="58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Reporte de salud de la plataforma, métricas SLA, incidentes, recomendaciones de optimización.</w:t>
            </w:r>
          </w:p>
        </w:tc>
      </w:tr>
      <w:tr>
        <w:tc>
          <w:tcPr>
            <w:tcW w:type="dxa" w:w="3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Revisiones trimestrales de arquitectura</w:t>
            </w:r>
          </w:p>
        </w:tc>
        <w:tc>
          <w:tcPr>
            <w:tcW w:type="dxa" w:w="58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1 por trimestre incluida en paquete Standard y Premium. Cubre el requerimiento de "revisión proactiva al año" del Mapa de Necesidades, excedido a 4 al año.</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17. Cumplimiento de criterios de evaluación ponderados</w:t>
      </w:r>
    </w:p>
    <w:p>
      <w:pPr>
        <w:spacing w:after="60" w:before="60" w:line="300"/>
        <w:jc w:val="left"/>
      </w:pPr>
      <w:r>
        <w:rPr>
          <w:rFonts w:ascii="Arial" w:cs="Arial" w:eastAsia="Arial" w:hAnsi="Arial"/>
          <w:color w:val="201F1E"/>
          <w:sz w:val="22"/>
          <w:szCs w:val="22"/>
        </w:rPr>
        <w:t xml:space="preserve">El Mapa de Necesidades (sección 6) define criterios ponderados que se aplican una vez superados los filtros eliminatorios. A continuación se contrasta la propuesta contra cada criterio.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Criterio (peso)</w:t>
            </w:r>
          </w:p>
        </w:tc>
        <w:tc>
          <w:tcPr>
            <w:tcW w:type="dxa" w:w="2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Cumplimiento propuesto</w:t>
            </w:r>
          </w:p>
        </w:tc>
        <w:tc>
          <w:tcPr>
            <w:tcW w:type="dxa" w:w="46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Evidencia</w:t>
            </w:r>
          </w:p>
        </w:tc>
      </w:tr>
      <w:tr>
        <w:tc>
          <w:tcPr>
            <w:tcW w:type="dxa" w:w="22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Cumplimiento SaaS puro
[ELIMINATORIO]</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Cumple plenamente.</w:t>
            </w:r>
          </w:p>
        </w:tc>
        <w:tc>
          <w:tcPr>
            <w:tcW w:type="dxa" w:w="4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APIM es PaaS gestionado por Microsoft. Ningún componente requiere instalación o mantenimiento por parte del equipo de infraestructura de C3ntro. Demostrable en sesión técnica y vía Service Description contractual.</w:t>
            </w:r>
          </w:p>
        </w:tc>
      </w:tr>
      <w:tr>
        <w:tc>
          <w:tcPr>
            <w:tcW w:type="dxa" w:w="22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SLA disponibilidad
[ELIMINATORIO]</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Cumple plenamente.</w:t>
            </w:r>
          </w:p>
        </w:tc>
        <w:tc>
          <w:tcPr>
            <w:tcW w:type="dxa" w:w="4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99.99% contractual con zone redundancy. Créditos formales definidos. Visible en el SLA público de Microsoft Azure API Management.</w:t>
            </w:r>
          </w:p>
        </w:tc>
      </w:tr>
      <w:tr>
        <w:tc>
          <w:tcPr>
            <w:tcW w:type="dxa" w:w="2200"/>
            <w:tcBorders>
              <w:top w:val="single" w:color="D2D0CE" w:sz="1"/>
              <w:left w:val="single" w:color="D2D0CE" w:sz="1"/>
              <w:bottom w:val="single" w:color="D2D0CE" w:sz="1"/>
              <w:right w:val="single" w:color="D2D0CE" w:sz="1"/>
            </w:tcBorders>
            <w:shd w:fill="002050"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Soporte enterprise 24/7
[ELIMINATORIO]</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Cumple plenamente.</w:t>
            </w:r>
          </w:p>
        </w:tc>
        <w:tc>
          <w:tcPr>
            <w:tcW w:type="dxa" w:w="4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P1 ≤ 1 hora 24/7/365. Ingeniero especializado (no primer nivel) vía Unified Support o partner certificado. Incluido en el contrato de soporte de Azure, no como add-on de APIM.</w:t>
            </w:r>
          </w:p>
        </w:tc>
      </w:tr>
      <w:t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Capacidades de gobernanza
[35%]</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Cobertura total de los 8 requerimientos.</w:t>
            </w:r>
          </w:p>
        </w:tc>
        <w:tc>
          <w:tcPr>
            <w:tcW w:type="dxa" w:w="4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Sección 4 de esta propuesta detalla el mapeo punto a punto. Los 4 críticos están cubiertos por capacidades nativas y maduras del producto.</w:t>
            </w:r>
          </w:p>
        </w:tc>
      </w:tr>
      <w:t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Analytics y trazabilidad
[20%]</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Triple stack: App Insights + Log Analytics + Event Hubs.</w:t>
            </w:r>
          </w:p>
        </w:tc>
        <w:tc>
          <w:tcPr>
            <w:tcW w:type="dxa" w:w="4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Granularidad por request, KQL para auditoría, stream estructurado consumible por facturación interna sin herramienta externa adicional.</w:t>
            </w:r>
          </w:p>
        </w:tc>
      </w:tr>
      <w:t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Presencia en México
[20%]</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Cumple plenamente.</w:t>
            </w:r>
          </w:p>
        </w:tc>
        <w:tc>
          <w:tcPr>
            <w:tcW w:type="dxa" w:w="4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Region Mexico Central activa. Account Team Microsoft México. Partner local certificado con soporte en español. Residencia de datos en México.</w:t>
            </w:r>
          </w:p>
        </w:tc>
      </w:tr>
      <w:t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Multi-tenancy
[15%]</w:t>
            </w:r>
          </w:p>
        </w:tc>
        <w:tc>
          <w:tcPr>
            <w:tcW w:type="dxa" w:w="2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Workspaces nativos en Premium.</w:t>
            </w:r>
          </w:p>
        </w:tc>
        <w:tc>
          <w:tcPr>
            <w:tcW w:type="dxa" w:w="46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Sin costo adicional por cliente interno. Una sola instancia, múltiples workspaces. Segmentación completa de APIs, productos, suscripciones, RBAC y analytics.</w:t>
            </w:r>
          </w:p>
        </w:tc>
      </w:tr>
      <w:tr>
        <w:tc>
          <w:tcPr>
            <w:tcW w:type="dxa" w:w="22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Costo total y contrato
[10%]</w:t>
            </w:r>
          </w:p>
        </w:tc>
        <w:tc>
          <w:tcPr>
            <w:tcW w:type="dxa" w:w="2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Predecible, sin costos ocultos.</w:t>
            </w:r>
          </w:p>
        </w:tc>
        <w:tc>
          <w:tcPr>
            <w:tcW w:type="dxa" w:w="46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Facturación PAYG transparente por unidades y consumo. Opción de Reserved Instances reduce hasta 55%. No hay infraestructura subyacente oculta (es SaaS puro). Contratos Azure son cancelables sin penalización mensual.</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18. Riesgos y mitigaciones</w:t>
      </w:r>
    </w:p>
    <w:p>
      <w:pPr>
        <w:spacing w:after="60" w:before="60" w:line="300"/>
        <w:jc w:val="left"/>
      </w:pPr>
      <w:r>
        <w:rPr>
          <w:rFonts w:ascii="Arial" w:cs="Arial" w:eastAsia="Arial" w:hAnsi="Arial"/>
          <w:color w:val="201F1E"/>
          <w:sz w:val="22"/>
          <w:szCs w:val="22"/>
        </w:rPr>
        <w:t xml:space="preserve">Toda implementación tiene riesgos. La intención de listarlos abiertamente es alinearse en su gestión antes del kickoff, no después de que se materialicen.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76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Riesgo</w:t>
            </w:r>
          </w:p>
        </w:tc>
        <w:tc>
          <w:tcPr>
            <w:tcW w:type="dxa" w:w="13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Probabilidad</w:t>
            </w:r>
          </w:p>
        </w:tc>
        <w:tc>
          <w:tcPr>
            <w:tcW w:type="dxa" w:w="13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Impacto</w:t>
            </w:r>
          </w:p>
        </w:tc>
        <w:tc>
          <w:tcPr>
            <w:tcW w:type="dxa" w:w="37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Mitigación</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Cuotas regionales insuficientes en Mexico Central al momento del aprovisionamiento.</w:t>
            </w:r>
          </w:p>
        </w:tc>
        <w:tc>
          <w:tcPr>
            <w:tcW w:type="dxa" w:w="130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Baja</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Validación temprana en F1: el proveedor solicita aumento de cuota a Microsoft antes de iniciar F2.</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SMS no soporta el throughput proyectado tras la migración.</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Media</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Pruebas de carga representativas en F3 antes del go-live. APIM aplica rate-limiting para proteger al backend si los consumidores migran agresivamente. Caching configurable.</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Resistencia al cambio por parte de consumidores de SMS (cambio de URL/credenciales).</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Media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Plan de comunicación temprana, ventana de coexistencia con dominio antiguo y nuevo, sesiones de soporte 1-a-1 con consumidores grandes.</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 gateway features evolucionan rápidamente y rompen compatibilidad.</w:t>
            </w:r>
          </w:p>
        </w:tc>
        <w:tc>
          <w:tcPr>
            <w:tcW w:type="dxa" w:w="130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Baja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IaC reproducible permite recrear ambiente si se detecta breaking change. Servicio gestionado del proveedor monitorea release notes mensualmente.</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Falta de definición OpenAPI clara para APIs SMS existentes.</w:t>
            </w:r>
          </w:p>
        </w:tc>
        <w:tc>
          <w:tcPr>
            <w:tcW w:type="dxa" w:w="1300"/>
            <w:tcBorders>
              <w:top w:val="single" w:color="D2D0CE" w:sz="1"/>
              <w:left w:val="single" w:color="D2D0CE" w:sz="1"/>
              <w:bottom w:val="single" w:color="D2D0CE" w:sz="1"/>
              <w:right w:val="single" w:color="D2D0CE" w:sz="1"/>
            </w:tcBorders>
            <w:shd w:fill="FDE7E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A4262C"/>
                <w:sz w:val="20"/>
                <w:szCs w:val="20"/>
              </w:rPr>
              <w:t xml:space="preserve">Alta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El proveedor levanta o normaliza las definiciones en F1-F3 como parte del onboarding. Tiempo presupuestado en el plan.</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Conflicto entre Azure Policies corporativas y necesidades del workspace.</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Media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Revisión de Azure Policies vigentes en F1. Excepciones documentadas y aprobadas antes de F2.</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Costo Azure mensual excede lo proyectado por consumo no previsto.</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Media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Budget alerts configurados en F2. Cost Management visibility para el manager del área. Recomendación de Reserved Instances tras 3 meses estables.</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Rotación de personal clave del proveedor durante el proyecto.</w:t>
            </w:r>
          </w:p>
        </w:tc>
        <w:tc>
          <w:tcPr>
            <w:tcW w:type="dxa" w:w="130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Baja</w:t>
            </w:r>
          </w:p>
        </w:tc>
        <w:tc>
          <w:tcPr>
            <w:tcW w:type="dxa" w:w="1300"/>
            <w:tcBorders>
              <w:top w:val="single" w:color="D2D0CE" w:sz="1"/>
              <w:left w:val="single" w:color="D2D0CE" w:sz="1"/>
              <w:bottom w:val="single" w:color="D2D0CE" w:sz="1"/>
              <w:right w:val="single" w:color="D2D0CE" w:sz="1"/>
            </w:tcBorders>
            <w:shd w:fill="DEECF9"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002050"/>
                <w:sz w:val="20"/>
                <w:szCs w:val="20"/>
              </w:rPr>
              <w:t xml:space="preserve">Medio</w:t>
            </w:r>
          </w:p>
        </w:tc>
        <w:tc>
          <w:tcPr>
            <w:tcW w:type="dxa" w:w="37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Pair-programming y documentación viva reducen dependencia individual. Plan de back-up de personas críticas comprometido por el proveedor.</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Soporte de plataforma Microsoft no disponible al go-live (Unified no contratado).</w:t>
            </w:r>
          </w:p>
        </w:tc>
        <w:tc>
          <w:tcPr>
            <w:tcW w:type="dxa" w:w="1300"/>
            <w:tcBorders>
              <w:top w:val="single" w:color="D2D0CE" w:sz="1"/>
              <w:left w:val="single" w:color="D2D0CE" w:sz="1"/>
              <w:bottom w:val="single" w:color="D2D0CE" w:sz="1"/>
              <w:right w:val="single" w:color="D2D0CE" w:sz="1"/>
            </w:tcBorders>
            <w:shd w:fill="DFF6DD"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107C10"/>
                <w:sz w:val="20"/>
                <w:szCs w:val="20"/>
              </w:rPr>
              <w:t xml:space="preserve">Baja</w:t>
            </w:r>
          </w:p>
        </w:tc>
        <w:tc>
          <w:tcPr>
            <w:tcW w:type="dxa" w:w="1300"/>
            <w:tcBorders>
              <w:top w:val="single" w:color="D2D0CE" w:sz="1"/>
              <w:left w:val="single" w:color="D2D0CE" w:sz="1"/>
              <w:bottom w:val="single" w:color="D2D0CE" w:sz="1"/>
              <w:right w:val="single" w:color="D2D0CE" w:sz="1"/>
            </w:tcBorders>
            <w:shd w:fill="FED9CC" w:val="clear"/>
            <w:tcMar>
              <w:top w:type="dxa" w:w="100"/>
              <w:left w:type="dxa" w:w="140"/>
              <w:bottom w:type="dxa" w:w="100"/>
              <w:right w:type="dxa" w:w="140"/>
            </w:tcMar>
            <w:vAlign w:val="center"/>
          </w:tcPr>
          <w:p>
            <w:pPr>
              <w:spacing w:after="0" w:before="0" w:line="280"/>
              <w:jc w:val="center"/>
            </w:pPr>
            <w:r>
              <w:rPr>
                <w:rFonts w:ascii="Arial" w:cs="Arial" w:eastAsia="Arial" w:hAnsi="Arial"/>
                <w:b/>
                <w:bCs/>
                <w:color w:val="D83B01"/>
                <w:sz w:val="20"/>
                <w:szCs w:val="20"/>
              </w:rPr>
              <w:t xml:space="preserve">Alto</w:t>
            </w:r>
          </w:p>
        </w:tc>
        <w:tc>
          <w:tcPr>
            <w:tcW w:type="dxa" w:w="37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Validación de vehículo de soporte en F1. Si no existe, se contrata ProDirect mínimo antes de F4. El proveedor puede prestar respaldo via su propio contrato Microsoft en caso de gap.</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19. Supuestos y dependencias</w:t>
      </w:r>
    </w:p>
    <w:p>
      <w:pPr>
        <w:pStyle w:val="Heading2"/>
        <w:spacing w:after="160" w:before="280"/>
      </w:pPr>
      <w:r>
        <w:rPr>
          <w:rFonts w:ascii="Arial" w:cs="Arial" w:eastAsia="Arial" w:hAnsi="Arial"/>
          <w:b/>
          <w:bCs/>
          <w:color w:val="0078D4"/>
          <w:sz w:val="28"/>
          <w:szCs w:val="28"/>
        </w:rPr>
        <w:t xml:space="preserve">19.1 Supuestos del proveedor</w:t>
      </w:r>
    </w:p>
    <w:p>
      <w:pPr>
        <w:pStyle w:val="ListParagraph"/>
        <w:numPr>
          <w:ilvl w:val="0"/>
          <w:numId w:val="2"/>
        </w:numPr>
        <w:spacing w:after="40" w:before="40" w:line="280"/>
      </w:pPr>
      <w:r>
        <w:rPr>
          <w:rFonts w:ascii="Arial" w:cs="Arial" w:eastAsia="Arial" w:hAnsi="Arial"/>
          <w:color w:val="201F1E"/>
          <w:sz w:val="22"/>
          <w:szCs w:val="22"/>
        </w:rPr>
        <w:t xml:space="preserve">C3ntro dispone de una suscripción Azure productiva con capacidad de pagar consumo PAYG en USD o MXN.</w:t>
      </w:r>
    </w:p>
    <w:p>
      <w:pPr>
        <w:pStyle w:val="ListParagraph"/>
        <w:numPr>
          <w:ilvl w:val="0"/>
          <w:numId w:val="2"/>
        </w:numPr>
        <w:spacing w:after="40" w:before="40" w:line="280"/>
      </w:pPr>
      <w:r>
        <w:rPr>
          <w:rFonts w:ascii="Arial" w:cs="Arial" w:eastAsia="Arial" w:hAnsi="Arial"/>
          <w:color w:val="201F1E"/>
          <w:sz w:val="22"/>
          <w:szCs w:val="22"/>
        </w:rPr>
        <w:t xml:space="preserve">El equipo de identidad corporativa de C3ntro está disponible para colaborar en la federación con Entra ID durante las semanas 4-5.</w:t>
      </w:r>
    </w:p>
    <w:p>
      <w:pPr>
        <w:pStyle w:val="ListParagraph"/>
        <w:numPr>
          <w:ilvl w:val="0"/>
          <w:numId w:val="2"/>
        </w:numPr>
        <w:spacing w:after="40" w:before="40" w:line="280"/>
      </w:pPr>
      <w:r>
        <w:rPr>
          <w:rFonts w:ascii="Arial" w:cs="Arial" w:eastAsia="Arial" w:hAnsi="Arial"/>
          <w:color w:val="201F1E"/>
          <w:sz w:val="22"/>
          <w:szCs w:val="22"/>
        </w:rPr>
        <w:t xml:space="preserve">El equipo del producto SMS está disponible para sesiones de inventario y validación durante las semanas 1-3 y 8-12.</w:t>
      </w:r>
    </w:p>
    <w:p>
      <w:pPr>
        <w:pStyle w:val="ListParagraph"/>
        <w:numPr>
          <w:ilvl w:val="0"/>
          <w:numId w:val="2"/>
        </w:numPr>
        <w:spacing w:after="40" w:before="40" w:line="280"/>
      </w:pPr>
      <w:r>
        <w:rPr>
          <w:rFonts w:ascii="Arial" w:cs="Arial" w:eastAsia="Arial" w:hAnsi="Arial"/>
          <w:color w:val="201F1E"/>
          <w:sz w:val="22"/>
          <w:szCs w:val="22"/>
        </w:rPr>
        <w:t xml:space="preserve">Las APIs SMS a migrar están actualmente operativas y accesibles desde Azure (red pública o vía VNet privada que se documentará).</w:t>
      </w:r>
    </w:p>
    <w:p>
      <w:pPr>
        <w:pStyle w:val="ListParagraph"/>
        <w:numPr>
          <w:ilvl w:val="0"/>
          <w:numId w:val="2"/>
        </w:numPr>
        <w:spacing w:after="40" w:before="40" w:line="280"/>
      </w:pPr>
      <w:r>
        <w:rPr>
          <w:rFonts w:ascii="Arial" w:cs="Arial" w:eastAsia="Arial" w:hAnsi="Arial"/>
          <w:color w:val="201F1E"/>
          <w:sz w:val="22"/>
          <w:szCs w:val="22"/>
        </w:rPr>
        <w:t xml:space="preserve">C3ntro ha decidido (o decidirá en F1) el dominio público bajo el que se expondrá la plataforma (api.&lt;dominio&gt;.com).</w:t>
      </w:r>
    </w:p>
    <w:p>
      <w:pPr>
        <w:pStyle w:val="ListParagraph"/>
        <w:numPr>
          <w:ilvl w:val="0"/>
          <w:numId w:val="2"/>
        </w:numPr>
        <w:spacing w:after="40" w:before="40" w:line="280"/>
      </w:pPr>
      <w:r>
        <w:rPr>
          <w:rFonts w:ascii="Arial" w:cs="Arial" w:eastAsia="Arial" w:hAnsi="Arial"/>
          <w:color w:val="201F1E"/>
          <w:sz w:val="22"/>
          <w:szCs w:val="22"/>
        </w:rPr>
        <w:t xml:space="preserve">Los precios de Azure no sufren incrementos &gt; 10% durante la vigencia de la propuesta. En caso contrario, se notifica antes de la facturación del primer hito.</w:t>
      </w:r>
    </w:p>
    <w:p>
      <w:pPr>
        <w:pStyle w:val="ListParagraph"/>
        <w:numPr>
          <w:ilvl w:val="0"/>
          <w:numId w:val="2"/>
        </w:numPr>
        <w:spacing w:after="40" w:before="40" w:line="280"/>
      </w:pPr>
      <w:r>
        <w:rPr>
          <w:rFonts w:ascii="Arial" w:cs="Arial" w:eastAsia="Arial" w:hAnsi="Arial"/>
          <w:color w:val="201F1E"/>
          <w:sz w:val="22"/>
          <w:szCs w:val="22"/>
        </w:rPr>
        <w:t xml:space="preserve">El proyecto se ejecuta de forma remota desde Ciudad de México (proveedor). Visitas presenciales puntuales para workshops están incluidas en el costo.</w:t>
      </w:r>
    </w:p>
    <w:p>
      <w:pPr>
        <w:pStyle w:val="ListParagraph"/>
        <w:numPr>
          <w:ilvl w:val="0"/>
          <w:numId w:val="2"/>
        </w:numPr>
        <w:spacing w:after="40" w:before="40" w:line="280"/>
      </w:pPr>
      <w:r>
        <w:rPr>
          <w:rFonts w:ascii="Arial" w:cs="Arial" w:eastAsia="Arial" w:hAnsi="Arial"/>
          <w:color w:val="201F1E"/>
          <w:sz w:val="22"/>
          <w:szCs w:val="22"/>
        </w:rPr>
        <w:t xml:space="preserve">La moneda de facturación de servicios profesionales se acuerda en el contrato (USD o equivalente MXN al tipo de cambio del Banxico el día de la facturación).</w:t>
      </w:r>
    </w:p>
    <w:p>
      <w:pPr>
        <w:pStyle w:val="Heading2"/>
        <w:spacing w:after="160" w:before="280"/>
      </w:pPr>
      <w:r>
        <w:rPr>
          <w:rFonts w:ascii="Arial" w:cs="Arial" w:eastAsia="Arial" w:hAnsi="Arial"/>
          <w:b/>
          <w:bCs/>
          <w:color w:val="0078D4"/>
          <w:sz w:val="28"/>
          <w:szCs w:val="28"/>
        </w:rPr>
        <w:t xml:space="preserve">19.2 Dependencias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400"/>
        <w:gridCol w:w="1500"/>
      </w:tblGrid>
      <w:tr>
        <w:trPr>
          <w:tblHeader/>
        </w:trPr>
        <w:tc>
          <w:tcPr>
            <w:tcW w:type="dxa" w:w="54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Dependencia</w:t>
            </w:r>
          </w:p>
        </w:tc>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Responsable</w:t>
            </w:r>
          </w:p>
        </w:tc>
        <w:tc>
          <w:tcPr>
            <w:tcW w:type="dxa" w:w="15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Plazo</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Aprobación de la propuesta y firma de contrato</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Antes de iniciar F1</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Acceso al portal Azure y RBAC para el equipo proveedor</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Semana 1</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Definición del subdominio y delegación DNS</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Semana 2</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Inventario de APIs SMS</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Equipo SMS</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Fin de semana 2</w:t>
            </w:r>
          </w:p>
        </w:tc>
      </w:tr>
      <w:tr>
        <w:tc>
          <w:tcPr>
            <w:tcW w:type="dxa" w:w="54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Vehículo de soporte Microsoft activo</w:t>
            </w:r>
          </w:p>
        </w:tc>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c>
          <w:tcPr>
            <w:tcW w:type="dxa" w:w="15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Antes de F4</w:t>
            </w:r>
          </w:p>
        </w:tc>
      </w:tr>
      <w:tr>
        <w:tc>
          <w:tcPr>
            <w:tcW w:type="dxa" w:w="54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Compromiso del ingeniero designado del Área (50% de tiempo)</w:t>
            </w:r>
          </w:p>
        </w:tc>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C3ntro</w:t>
            </w:r>
          </w:p>
        </w:tc>
        <w:tc>
          <w:tcPr>
            <w:tcW w:type="dxa" w:w="15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Desde semana 1</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20. Próximos pasos</w:t>
      </w:r>
    </w:p>
    <w:p>
      <w:pPr>
        <w:spacing w:after="60" w:before="60" w:line="300"/>
        <w:jc w:val="left"/>
      </w:pPr>
      <w:r>
        <w:rPr>
          <w:rFonts w:ascii="Arial" w:cs="Arial" w:eastAsia="Arial" w:hAnsi="Arial"/>
          <w:color w:val="201F1E"/>
          <w:sz w:val="22"/>
          <w:szCs w:val="22"/>
        </w:rPr>
        <w:t xml:space="preserve">Para activar esta propuesta, el camino sugerido es el siguiente:</w:t>
      </w:r>
    </w:p>
    <w:p>
      <w:pPr>
        <w:pStyle w:val="ListParagraph"/>
        <w:numPr>
          <w:ilvl w:val="0"/>
          <w:numId w:val="3"/>
        </w:numPr>
        <w:spacing w:after="40" w:before="40" w:line="280"/>
      </w:pPr>
      <w:r>
        <w:rPr>
          <w:rFonts w:ascii="Arial" w:cs="Arial" w:eastAsia="Arial" w:hAnsi="Arial"/>
          <w:color w:val="201F1E"/>
          <w:sz w:val="22"/>
          <w:szCs w:val="22"/>
        </w:rPr>
        <w:t xml:space="preserve">Revisión interna de la propuesta por el manager del Área y stakeholders relevantes (sugerido: 5 días hábiles).</w:t>
      </w:r>
    </w:p>
    <w:p>
      <w:pPr>
        <w:pStyle w:val="ListParagraph"/>
        <w:numPr>
          <w:ilvl w:val="0"/>
          <w:numId w:val="3"/>
        </w:numPr>
        <w:spacing w:after="40" w:before="40" w:line="280"/>
      </w:pPr>
      <w:r>
        <w:rPr>
          <w:rFonts w:ascii="Arial" w:cs="Arial" w:eastAsia="Arial" w:hAnsi="Arial"/>
          <w:color w:val="201F1E"/>
          <w:sz w:val="22"/>
          <w:szCs w:val="22"/>
        </w:rPr>
        <w:t xml:space="preserve">Sesión de Q&amp;A entre el proveedor y C3ntro para resolver dudas técnicas y comerciales (1-2 sesiones de 90 minutos).</w:t>
      </w:r>
    </w:p>
    <w:p>
      <w:pPr>
        <w:pStyle w:val="ListParagraph"/>
        <w:numPr>
          <w:ilvl w:val="0"/>
          <w:numId w:val="3"/>
        </w:numPr>
        <w:spacing w:after="40" w:before="40" w:line="280"/>
      </w:pPr>
      <w:r>
        <w:rPr>
          <w:rFonts w:ascii="Arial" w:cs="Arial" w:eastAsia="Arial" w:hAnsi="Arial"/>
          <w:color w:val="201F1E"/>
          <w:sz w:val="22"/>
          <w:szCs w:val="22"/>
        </w:rPr>
        <w:t xml:space="preserve">Ajustes finales — la propuesta es base y admite negociación en: número de APIs incluidas en F3, paquete de soporte gestionado, esquema de pagos por hitos.</w:t>
      </w:r>
    </w:p>
    <w:p>
      <w:pPr>
        <w:pStyle w:val="ListParagraph"/>
        <w:numPr>
          <w:ilvl w:val="0"/>
          <w:numId w:val="3"/>
        </w:numPr>
        <w:spacing w:after="40" w:before="40" w:line="280"/>
      </w:pPr>
      <w:r>
        <w:rPr>
          <w:rFonts w:ascii="Arial" w:cs="Arial" w:eastAsia="Arial" w:hAnsi="Arial"/>
          <w:color w:val="201F1E"/>
          <w:sz w:val="22"/>
          <w:szCs w:val="22"/>
        </w:rPr>
        <w:t xml:space="preserve">Demo técnica del producto APIM con el caso de uso SMS sobre un sandbox del proveedor (incluida sin costo).</w:t>
      </w:r>
    </w:p>
    <w:p>
      <w:pPr>
        <w:pStyle w:val="ListParagraph"/>
        <w:numPr>
          <w:ilvl w:val="0"/>
          <w:numId w:val="3"/>
        </w:numPr>
        <w:spacing w:after="40" w:before="40" w:line="280"/>
      </w:pPr>
      <w:r>
        <w:rPr>
          <w:rFonts w:ascii="Arial" w:cs="Arial" w:eastAsia="Arial" w:hAnsi="Arial"/>
          <w:color w:val="201F1E"/>
          <w:sz w:val="22"/>
          <w:szCs w:val="22"/>
        </w:rPr>
        <w:t xml:space="preserve">Generación de la corrida formal en Azure Pricing Calculator firmada por Microsoft o partner Microsoft.</w:t>
      </w:r>
    </w:p>
    <w:p>
      <w:pPr>
        <w:pStyle w:val="ListParagraph"/>
        <w:numPr>
          <w:ilvl w:val="0"/>
          <w:numId w:val="3"/>
        </w:numPr>
        <w:spacing w:after="40" w:before="40" w:line="280"/>
      </w:pPr>
      <w:r>
        <w:rPr>
          <w:rFonts w:ascii="Arial" w:cs="Arial" w:eastAsia="Arial" w:hAnsi="Arial"/>
          <w:color w:val="201F1E"/>
          <w:sz w:val="22"/>
          <w:szCs w:val="22"/>
        </w:rPr>
        <w:t xml:space="preserve">Firma de contrato y orden de compra.</w:t>
      </w:r>
    </w:p>
    <w:p>
      <w:pPr>
        <w:pStyle w:val="ListParagraph"/>
        <w:numPr>
          <w:ilvl w:val="0"/>
          <w:numId w:val="3"/>
        </w:numPr>
        <w:spacing w:after="40" w:before="40" w:line="280"/>
      </w:pPr>
      <w:r>
        <w:rPr>
          <w:rFonts w:ascii="Arial" w:cs="Arial" w:eastAsia="Arial" w:hAnsi="Arial"/>
          <w:color w:val="201F1E"/>
          <w:sz w:val="22"/>
          <w:szCs w:val="22"/>
        </w:rPr>
        <w:t xml:space="preserve">Kickoff oficial en máximo 5 días hábiles tras la firma.</w:t>
      </w:r>
    </w:p>
    <w:p>
      <w:pPr>
        <w:spacing w:after="2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2"/>
              <w:left w:val="single" w:color="0078D4" w:sz="12"/>
              <w:bottom w:val="single" w:color="0078D4" w:sz="4"/>
              <w:right w:val="single" w:color="0078D4" w:sz="4"/>
            </w:tcBorders>
            <w:shd w:fill="DEECF9" w:val="clear"/>
            <w:tcMar>
              <w:top w:type="dxa" w:w="180"/>
              <w:left w:type="dxa" w:w="220"/>
              <w:bottom w:type="dxa" w:w="180"/>
              <w:right w:type="dxa" w:w="220"/>
            </w:tcMar>
          </w:tcPr>
          <w:p>
            <w:pPr>
              <w:spacing w:after="100" w:before="0" w:line="280"/>
            </w:pPr>
            <w:r>
              <w:rPr>
                <w:rFonts w:ascii="Arial" w:cs="Arial" w:eastAsia="Arial" w:hAnsi="Arial"/>
                <w:b/>
                <w:bCs/>
                <w:color w:val="002050"/>
                <w:sz w:val="22"/>
                <w:szCs w:val="22"/>
              </w:rPr>
              <w:t xml:space="preserve">Contacto para activar</w:t>
            </w:r>
          </w:p>
          <w:p>
            <w:pPr>
              <w:spacing w:after="60" w:before="60" w:line="300"/>
              <w:jc w:val="left"/>
            </w:pPr>
            <w:r>
              <w:rPr>
                <w:rFonts w:ascii="Arial" w:cs="Arial" w:eastAsia="Arial" w:hAnsi="Arial"/>
                <w:b w:val="false"/>
                <w:bCs w:val="false"/>
                <w:color w:val="201F1E"/>
                <w:sz w:val="22"/>
                <w:szCs w:val="22"/>
              </w:rPr>
              <w:t xml:space="preserve">Cualquier solicitud de aclaración, ajuste o demo se canaliza a través del Account Manager designado del proveedor. La respuesta a consultas escritas se garantiza en 24 horas hábiles durante el periodo de evaluación.</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Anexo A — Políticas APIM de referencia</w:t>
      </w:r>
    </w:p>
    <w:p>
      <w:pPr>
        <w:spacing w:after="60" w:before="60" w:line="300"/>
        <w:jc w:val="left"/>
      </w:pPr>
      <w:r>
        <w:rPr>
          <w:rFonts w:ascii="Arial" w:cs="Arial" w:eastAsia="Arial" w:hAnsi="Arial"/>
          <w:color w:val="201F1E"/>
          <w:sz w:val="22"/>
          <w:szCs w:val="22"/>
        </w:rPr>
        <w:t xml:space="preserve">Inventario inicial de políticas que se entregan en la biblioteca compartida al cierre del proyecto. Cada política incluye documentación, parámetros configurables y ejemplos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Política</w:t>
            </w:r>
          </w:p>
        </w:tc>
        <w:tc>
          <w:tcPr>
            <w:tcW w:type="dxa" w:w="43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Propósito</w:t>
            </w:r>
          </w:p>
        </w:tc>
        <w:tc>
          <w:tcPr>
            <w:tcW w:type="dxa" w:w="20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Scope sugerido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validate-azure-ad-token</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Validar JWT emitido por Entra ID</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Global, API o operación</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validate-jwt</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Validar JWT emitido por IdP externo</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 o operación</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rate-limit-by-key</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Rate limit por suscripción/IP/claim, ventana corta</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 API u operación</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quota-by-key</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Quota mensual por suscripción</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set-header</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Adición/modificación de headers (correlation, identidad)</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Global, API u operación</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cors</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Configuración de CORS</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ip-filter</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Allow / deny por rango de IP</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 o API</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retry + forward-request</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Reintentos con backoff exponencial</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section por API</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circuit-breaker (Backend entity)</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Apertura automática ante backend degradado</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 entity</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log-to-eventhub</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Stream de eventos a Event Hub para auditoría/facturación</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Global / on-error</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set-body (con Liquid)</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Transformación de payload</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Outbound de operación específica</w:t>
            </w:r>
          </w:p>
        </w:tc>
      </w:tr>
      <w:tr>
        <w:tc>
          <w:tcPr>
            <w:tcW w:type="dxa" w:w="3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mock-response</w:t>
            </w:r>
          </w:p>
        </w:tc>
        <w:tc>
          <w:tcPr>
            <w:tcW w:type="dxa" w:w="43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Simulación de respuesta sin tocar backend (útil en F1/F2)</w:t>
            </w:r>
          </w:p>
        </w:tc>
        <w:tc>
          <w:tcPr>
            <w:tcW w:type="dxa" w:w="20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Operación específica</w:t>
            </w:r>
          </w:p>
        </w:tc>
      </w:tr>
      <w:tr>
        <w:tc>
          <w:tcPr>
            <w:tcW w:type="dxa" w:w="3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return-response</w:t>
            </w:r>
          </w:p>
        </w:tc>
        <w:tc>
          <w:tcPr>
            <w:tcW w:type="dxa" w:w="43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Respuesta inmediata controlada (sunset de versiones)</w:t>
            </w:r>
          </w:p>
        </w:tc>
        <w:tc>
          <w:tcPr>
            <w:tcW w:type="dxa" w:w="20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Operación específica</w:t>
            </w:r>
          </w:p>
        </w:tc>
      </w:tr>
    </w:tbl>
    <w:p>
      <w:r>
        <w:br w:type="page"/>
      </w:r>
    </w:p>
    <w:p>
      <w:pPr>
        <w:pStyle w:val="Heading1"/>
        <w:pBdr>
          <w:bottom w:val="single" w:color="0078D4" w:sz="12" w:space="4"/>
        </w:pBdr>
        <w:spacing w:after="200" w:before="360"/>
      </w:pPr>
      <w:r>
        <w:rPr>
          <w:rFonts w:ascii="Arial" w:cs="Arial" w:eastAsia="Arial" w:hAnsi="Arial"/>
          <w:b/>
          <w:bCs/>
          <w:color w:val="002050"/>
          <w:sz w:val="36"/>
          <w:szCs w:val="36"/>
        </w:rPr>
        <w:t xml:space="preserve">Anexo B —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Término</w:t>
            </w:r>
          </w:p>
        </w:tc>
        <w:tc>
          <w:tcPr>
            <w:tcW w:type="dxa" w:w="6960"/>
            <w:tcBorders>
              <w:top w:val="single" w:color="D2D0CE" w:sz="1"/>
              <w:left w:val="single" w:color="D2D0CE" w:sz="1"/>
              <w:bottom w:val="single" w:color="D2D0CE" w:sz="1"/>
              <w:right w:val="single" w:color="D2D0CE" w:sz="1"/>
            </w:tcBorders>
            <w:shd w:fill="0078D4" w:val="clear"/>
            <w:tcMar>
              <w:top w:type="dxa" w:w="100"/>
              <w:left w:type="dxa" w:w="140"/>
              <w:bottom w:type="dxa" w:w="100"/>
              <w:right w:type="dxa" w:w="140"/>
            </w:tcMar>
            <w:vAlign w:val="center"/>
          </w:tcPr>
          <w:p>
            <w:pPr>
              <w:spacing w:after="0" w:before="0" w:line="280"/>
              <w:jc w:val="left"/>
            </w:pPr>
            <w:r>
              <w:rPr>
                <w:rFonts w:ascii="Arial" w:cs="Arial" w:eastAsia="Arial" w:hAnsi="Arial"/>
                <w:b/>
                <w:bCs/>
                <w:color w:val="FFFFFF"/>
                <w:sz w:val="20"/>
                <w:szCs w:val="20"/>
              </w:rPr>
              <w:t xml:space="preserve">Definición</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APIM</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Azure API Management — servicio gestionado de Microsoft Azure para publicar, asegurar y observar APIs.</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API Gateway</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Componente que recibe llamadas de los consumidores, aplica políticas y enruta al backend correspondiente.</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Backend</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Servicio que finalmente ejecuta la lógica de negocio detrás del gateway (por ejemplo, el sistema SMS).</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Workspace</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Sub-ámbito lógico dentro de una instancia APIM Premium que segmenta APIs, productos, suscripciones, políticas y RBAC.</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Producto APIM</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Agrupación de APIs publicada con condiciones específicas (planes, políticas). Los consumidores se suscriben al producto.</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Suscripción APIM</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Vínculo entre un consumidor y un producto. Genera claves de acceso y permite políticas por consumidor.</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Política APIM</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Fragmento XML/Liquid que ejecuta lógica transversal (auth, transformación, rate-limit, logging) sobre el tráfico.</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Revisión vs Versión</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Revisión: cambio no disruptivo (se prueba sin afectar a consumidores). Versión: cambio disruptivo (coexiste con versión anterior).</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Zone redundancy</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Despliegue replicado en múltiples zonas de disponibilidad dentro de una región. Habilita SLA 99.99% en APIM Premium.</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Entra ID</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Identidad y acceso de Microsoft (anteriormente Azure AD). Proveedor OAuth/OIDC corporativo.</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JWT</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JSON Web Token. Mecanismo estándar para transportar claims de identidad y autorización.</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OAuth 2.0</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Protocolo estándar de autorización delegada. Soportado nativamente por APIM via validate-jwt y validate-azure-ad-token.</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Event Hubs</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Servicio de Azure para ingestión de eventos a escala. Canal de auditoría y facturación en este diseño.</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KQL</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Kusto Query Language. Lenguaje de consulta de Log Analytics / App Insights.</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IaC</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Infrastructure as Code. Gestión de infraestructura mediante archivos versionados (Bicep / Terraform / ARM).</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SaaS / PaaS</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Modelos de servicio donde el proveedor opera la infraestructura subyacente. APIM califica como PaaS gestionado, equivalente operativamente al concepto de SaaS puro descrito en el Mapa de Necesidades.</w:t>
            </w:r>
          </w:p>
        </w:tc>
      </w:tr>
      <w:tr>
        <w:tc>
          <w:tcPr>
            <w:tcW w:type="dxa" w:w="240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RBAC</w:t>
            </w:r>
          </w:p>
        </w:tc>
        <w:tc>
          <w:tcPr>
            <w:tcW w:type="dxa" w:w="6960"/>
            <w:tcBorders>
              <w:top w:val="single" w:color="D2D0CE" w:sz="1"/>
              <w:left w:val="single" w:color="D2D0CE" w:sz="1"/>
              <w:bottom w:val="single" w:color="D2D0CE" w:sz="1"/>
              <w:right w:val="single" w:color="D2D0CE" w:sz="1"/>
            </w:tcBorders>
            <w:shd w:fill="FFFFFF"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Role-Based Access Control. Modelo de permisos por roles aplicado en Azure y en APIM.</w:t>
            </w:r>
          </w:p>
        </w:tc>
      </w:tr>
      <w:tr>
        <w:tc>
          <w:tcPr>
            <w:tcW w:type="dxa" w:w="240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p95 / p99</w:t>
            </w:r>
          </w:p>
        </w:tc>
        <w:tc>
          <w:tcPr>
            <w:tcW w:type="dxa" w:w="6960"/>
            <w:tcBorders>
              <w:top w:val="single" w:color="D2D0CE" w:sz="1"/>
              <w:left w:val="single" w:color="D2D0CE" w:sz="1"/>
              <w:bottom w:val="single" w:color="D2D0CE" w:sz="1"/>
              <w:right w:val="single" w:color="D2D0CE" w:sz="1"/>
            </w:tcBorders>
            <w:shd w:fill="FAFAFA" w:val="clear"/>
            <w:tcMar>
              <w:top w:type="dxa" w:w="100"/>
              <w:left w:type="dxa" w:w="140"/>
              <w:bottom w:type="dxa" w:w="100"/>
              <w:right w:type="dxa" w:w="140"/>
            </w:tcMar>
            <w:vAlign w:val="center"/>
          </w:tcPr>
          <w:p>
            <w:pPr>
              <w:spacing w:after="0" w:before="0" w:line="280"/>
              <w:jc w:val="left"/>
            </w:pPr>
            <w:r>
              <w:rPr>
                <w:rFonts w:ascii="Arial" w:cs="Arial" w:eastAsia="Arial" w:hAnsi="Arial"/>
                <w:color w:val="201F1E"/>
                <w:sz w:val="20"/>
                <w:szCs w:val="20"/>
              </w:rPr>
              <w:t xml:space="preserve">Percentiles 95 y 99 de latencia — métricas estándar para evaluar performance del gateway o el backend.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20"/>
      <w:outlineLvl w:val="0"/>
    </w:pPr>
    <w:rPr>
      <w:rFonts w:ascii="Arial" w:cs="Arial" w:eastAsia="Arial" w:hAnsi="Arial"/>
      <w:b/>
      <w:bCs/>
      <w:color w:val="002050"/>
      <w:sz w:val="32"/>
      <w:szCs w:val="32"/>
    </w:rPr>
  </w:style>
  <w:style w:type="paragraph" w:styleId="Heading2">
    <w:name w:val="Heading 2"/>
    <w:basedOn w:val="Normal"/>
    <w:next w:val="Normal"/>
    <w:qFormat/>
    <w:pPr>
      <w:spacing w:after="140" w:before="280" w:line="320"/>
      <w:outlineLvl w:val="1"/>
    </w:pPr>
    <w:rPr>
      <w:rFonts w:ascii="Arial" w:cs="Arial" w:eastAsia="Arial" w:hAnsi="Arial"/>
      <w:b/>
      <w:bCs/>
      <w:color w:val="0078D4"/>
      <w:sz w:val="26"/>
      <w:szCs w:val="26"/>
    </w:rPr>
  </w:style>
  <w:style w:type="paragraph" w:styleId="Heading3">
    <w:name w:val="Heading 3"/>
    <w:basedOn w:val="Normal"/>
    <w:next w:val="Normal"/>
    <w:qFormat/>
    <w:pPr>
      <w:spacing w:after="110" w:before="220" w:line="300"/>
      <w:outlineLvl w:val="2"/>
    </w:pPr>
    <w:rPr>
      <w:rFonts w:ascii="Arial" w:cs="Arial" w:eastAsia="Arial" w:hAnsi="Arial"/>
      <w:b/>
      <w:bCs/>
      <w:color w:val="002050"/>
      <w:sz w:val="24"/>
      <w:szCs w:val="24"/>
    </w:rPr>
  </w:style>
  <w:style w:type="paragraph" w:styleId="Heading4">
    <w:name w:val="Heading 4"/>
    <w:basedOn w:val="Normal"/>
    <w:next w:val="Normal"/>
    <w:qFormat/>
    <w:pPr>
      <w:spacing w:after="90" w:before="180" w:line="280"/>
      <w:outlineLvl w:val="3"/>
    </w:pPr>
    <w:rPr>
      <w:rFonts w:ascii="Arial" w:cs="Arial" w:eastAsia="Arial" w:hAnsi="Arial"/>
      <w:b/>
      <w:bCs/>
      <w:color w:val="605E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Azure API Management</dc:title>
  <dc:creator>C3ntro - Integración y Consultoría</dc:creator>
  <dc:description>Propuesta técnico-comercial para la plataforma de gobernanza de APIs</dc:description>
  <cp:lastModifiedBy>Un-named</cp:lastModifiedBy>
  <cp:revision>1</cp:revision>
  <dcterms:created xsi:type="dcterms:W3CDTF">2026-06-07T06:12:57.979Z</dcterms:created>
  <dcterms:modified xsi:type="dcterms:W3CDTF">2026-06-07T06:12:57.979Z</dcterms:modified>
</cp:coreProperties>
</file>

<file path=docProps/custom.xml><?xml version="1.0" encoding="utf-8"?>
<Properties xmlns="http://schemas.openxmlformats.org/officeDocument/2006/custom-properties" xmlns:vt="http://schemas.openxmlformats.org/officeDocument/2006/docPropsVTypes"/>
</file>