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PROPUESTA DE SERVICIOS</w:t>
      </w:r>
    </w:p>
    <w:p>
      <w:pPr>
        <w:spacing w:after="100" w:before="200"/>
        <w:jc w:val="center"/>
      </w:pPr>
      <w:r>
        <w:rPr>
          <w:b/>
          <w:bCs/>
          <w:color w:val="2E74B5"/>
          <w:sz w:val="28"/>
          <w:szCs w:val="28"/>
        </w:rPr>
        <w:t xml:space="preserve">Migración de Aplicación Legacy de Gestión de Muestras de Sangre a Google Cloud Platform (IaaS)</w:t>
      </w:r>
    </w:p>
    <w:p>
      <w:pPr>
        <w:spacing w:after="100" w:before="100"/>
        <w:jc w:val="center"/>
      </w:pPr>
      <w:r>
        <w:rPr>
          <w:i/>
          <w:iCs/>
          <w:color w:val="595959"/>
          <w:sz w:val="22"/>
          <w:szCs w:val="22"/>
        </w:rPr>
        <w:t xml:space="preserve">Acceso remoto multiusuario mediante Remote Desktop Services (RDS) y seguridad reforzada con políticas locales de Windows Server</w:t>
      </w:r>
    </w:p>
    <w:p>
      <w:pPr>
        <w:spacing w:before="600"/>
        <w:jc w:val="center"/>
      </w:pPr>
      <w:r>
        <w:rPr>
          <w:sz w:val="20"/>
          <w:szCs w:val="20"/>
        </w:rPr>
        <w:t xml:space="preserve">Documento preparado para: [Nombre del Cliente]</w:t>
      </w:r>
    </w:p>
    <w:p>
      <w:pPr>
        <w:spacing w:before="80"/>
        <w:jc w:val="center"/>
      </w:pPr>
      <w:r>
        <w:rPr>
          <w:sz w:val="20"/>
          <w:szCs w:val="20"/>
        </w:rPr>
        <w:t xml:space="preserve">Fecha: 09 de septiembre de 2026</w:t>
      </w:r>
    </w:p>
    <w:p>
      <w:pPr>
        <w:spacing w:before="80"/>
        <w:jc w:val="center"/>
      </w:pPr>
      <w:r>
        <w:rPr>
          <w:sz w:val="20"/>
          <w:szCs w:val="20"/>
        </w:rPr>
        <w:t xml:space="preserve">Versión: 1.0</w:t>
      </w:r>
    </w:p>
    <w:p>
      <w:r>
        <w:br w:type="page"/>
      </w:r>
    </w:p>
    <w:p>
      <w:pPr>
        <w:pStyle w:val="Heading1"/>
        <w:pBdr>
          <w:bottom w:val="single" w:color="1F3864" w:sz="6" w:space="4"/>
        </w:pBdr>
        <w:spacing w:after="160" w:before="360"/>
      </w:pPr>
      <w:r>
        <w:rPr>
          <w:b/>
          <w:bCs/>
          <w:color w:val="1F3864"/>
          <w:sz w:val="28"/>
          <w:szCs w:val="28"/>
        </w:rPr>
        <w:t xml:space="preserve">1. Situación Actual</w:t>
      </w:r>
    </w:p>
    <w:p>
      <w:pPr>
        <w:spacing w:after="140" w:line="276"/>
      </w:pPr>
      <w:r>
        <w:rPr>
          <w:sz w:val="21"/>
          <w:szCs w:val="21"/>
        </w:rPr>
        <w:t xml:space="preserve">El cliente opera una aplicación crítica de tipo legacy utilizada para el registro y la administración de muestras de sangre. La aplicación se ejecuta sobre un servidor con Windows Server Datacenter 2022 y motor de base de datos MySQL, y actualmente no se apoya en un directorio activo (Active Directory) ni en ningún otro repositorio centralizado de identidades.</w:t>
      </w:r>
    </w:p>
    <w:p>
      <w:pPr>
        <w:spacing w:after="140" w:line="276"/>
      </w:pPr>
      <w:r>
        <w:rPr>
          <w:sz w:val="21"/>
          <w:szCs w:val="21"/>
        </w:rPr>
        <w:t xml:space="preserve">El cliente ha decidido migrar este ambiente hacia un esquema de Infraestructura como Servicio (IaaS) en Google Cloud Platform, conservando el mismo modelo de aplicación y base de datos (migración tipo “lift-and-shift”), pero requiere resolver el acceso remoto concurrente de sus usuarios y reforzar la seguridad del entorno.</w:t>
      </w:r>
    </w:p>
    <w:p>
      <w:pPr>
        <w:spacing w:after="140" w:line="276"/>
      </w:pPr>
      <w:r>
        <w:rPr>
          <w:sz w:val="21"/>
          <w:szCs w:val="21"/>
        </w:rPr>
        <w:t xml:space="preserve">Características actuales reportadas del servidor:</w:t>
      </w:r>
    </w:p>
    <w:p>
      <w:pPr>
        <w:pStyle w:val="ListParagraph"/>
        <w:numPr>
          <w:ilvl w:val="0"/>
          <w:numId w:val="2"/>
        </w:numPr>
        <w:spacing w:after="80"/>
      </w:pPr>
      <w:r>
        <w:rPr>
          <w:sz w:val="21"/>
          <w:szCs w:val="21"/>
        </w:rPr>
        <w:t xml:space="preserve">Sistema operativo: Windows Server Datacenter 2022.</w:t>
      </w:r>
    </w:p>
    <w:p>
      <w:pPr>
        <w:pStyle w:val="ListParagraph"/>
        <w:numPr>
          <w:ilvl w:val="0"/>
          <w:numId w:val="2"/>
        </w:numPr>
        <w:spacing w:after="80"/>
      </w:pPr>
      <w:r>
        <w:rPr>
          <w:sz w:val="21"/>
          <w:szCs w:val="21"/>
        </w:rPr>
        <w:t xml:space="preserve">Motor de base de datos: MySQL (instalado localmente en el servidor).</w:t>
      </w:r>
    </w:p>
    <w:p>
      <w:pPr>
        <w:pStyle w:val="ListParagraph"/>
        <w:numPr>
          <w:ilvl w:val="0"/>
          <w:numId w:val="2"/>
        </w:numPr>
        <w:spacing w:after="80"/>
      </w:pPr>
      <w:r>
        <w:rPr>
          <w:sz w:val="21"/>
          <w:szCs w:val="21"/>
        </w:rPr>
        <w:t xml:space="preserve">Memoria RAM: 64 GB.</w:t>
      </w:r>
    </w:p>
    <w:p>
      <w:pPr>
        <w:pStyle w:val="ListParagraph"/>
        <w:numPr>
          <w:ilvl w:val="0"/>
          <w:numId w:val="2"/>
        </w:numPr>
        <w:spacing w:after="80"/>
      </w:pPr>
      <w:r>
        <w:rPr>
          <w:sz w:val="21"/>
          <w:szCs w:val="21"/>
        </w:rPr>
        <w:t xml:space="preserve">CPU: 2.6 GHz (pendiente de confirmar número de núcleos/vCPUs; ver sección 8, Supuestos).</w:t>
      </w:r>
    </w:p>
    <w:p>
      <w:pPr>
        <w:pStyle w:val="ListParagraph"/>
        <w:numPr>
          <w:ilvl w:val="0"/>
          <w:numId w:val="2"/>
        </w:numPr>
        <w:spacing w:after="80"/>
      </w:pPr>
      <w:r>
        <w:rPr>
          <w:sz w:val="21"/>
          <w:szCs w:val="21"/>
        </w:rPr>
        <w:t xml:space="preserve">Almacenamiento: 512 GB en disco.</w:t>
      </w:r>
    </w:p>
    <w:p>
      <w:pPr>
        <w:spacing w:after="140" w:line="276"/>
      </w:pPr>
      <w:r>
        <w:rPr>
          <w:sz w:val="21"/>
          <w:szCs w:val="21"/>
        </w:rPr>
        <w:t xml:space="preserve">Perfil de usuarios a conectar:</w:t>
      </w:r>
    </w:p>
    <w:p>
      <w:pPr>
        <w:pStyle w:val="ListParagraph"/>
        <w:numPr>
          <w:ilvl w:val="0"/>
          <w:numId w:val="2"/>
        </w:numPr>
        <w:spacing w:after="80"/>
      </w:pPr>
      <w:r>
        <w:rPr>
          <w:sz w:val="21"/>
          <w:szCs w:val="21"/>
        </w:rPr>
        <w:t xml:space="preserve">20 usuarios en total requieren acceso al servidor de aplicaciones.</w:t>
      </w:r>
    </w:p>
    <w:p>
      <w:pPr>
        <w:pStyle w:val="ListParagraph"/>
        <w:numPr>
          <w:ilvl w:val="0"/>
          <w:numId w:val="2"/>
        </w:numPr>
        <w:spacing w:after="80"/>
      </w:pPr>
      <w:r>
        <w:rPr>
          <w:sz w:val="21"/>
          <w:szCs w:val="21"/>
        </w:rPr>
        <w:t xml:space="preserve">15 usuarios se conectarán de forma concurrente (simultánea) en el horario operativo.</w:t>
      </w:r>
    </w:p>
    <w:p>
      <w:pPr>
        <w:pStyle w:val="ListParagraph"/>
        <w:numPr>
          <w:ilvl w:val="0"/>
          <w:numId w:val="2"/>
        </w:numPr>
        <w:spacing w:after="80"/>
      </w:pPr>
      <w:r>
        <w:rPr>
          <w:sz w:val="21"/>
          <w:szCs w:val="21"/>
        </w:rPr>
        <w:t xml:space="preserve">5 usuarios se conectarán de forma ocasional (esporádica).</w:t>
      </w:r>
    </w:p>
    <w:p>
      <w:pPr>
        <w:pStyle w:val="ListParagraph"/>
        <w:numPr>
          <w:ilvl w:val="0"/>
          <w:numId w:val="2"/>
        </w:numPr>
        <w:spacing w:after="80"/>
      </w:pPr>
      <w:r>
        <w:rPr>
          <w:sz w:val="21"/>
          <w:szCs w:val="21"/>
        </w:rPr>
        <w:t xml:space="preserve">De los 15 usuarios concurrentes, 3 requieren el uso de recursos/periféricos locales: lector biométrico de huella dactilar, biométrico facial e impresoras.</w:t>
      </w:r>
    </w:p>
    <w:p>
      <w:pPr>
        <w:spacing w:after="140" w:line="276"/>
      </w:pPr>
      <w:r>
        <w:rPr>
          <w:sz w:val="21"/>
          <w:szCs w:val="21"/>
        </w:rPr>
        <w:t xml:space="preserve">No existe actualmente un dominio de Active Directory, por lo que cualquier esquema de control de acceso, perfiles y restricciones debe resolverse con mecanismos locales (cuentas de usuario locales y Directiva de Grupo Local) en el propio servidor.</w:t>
      </w:r>
    </w:p>
    <w:p>
      <w:pPr>
        <w:pStyle w:val="Heading1"/>
        <w:pBdr>
          <w:bottom w:val="single" w:color="1F3864" w:sz="6" w:space="4"/>
        </w:pBdr>
        <w:spacing w:after="160" w:before="360"/>
      </w:pPr>
      <w:r>
        <w:rPr>
          <w:b/>
          <w:bCs/>
          <w:color w:val="1F3864"/>
          <w:sz w:val="28"/>
          <w:szCs w:val="28"/>
        </w:rPr>
        <w:t xml:space="preserve">2. Objetivo</w:t>
      </w:r>
    </w:p>
    <w:p>
      <w:pPr>
        <w:spacing w:after="140" w:line="276"/>
      </w:pPr>
      <w:r>
        <w:rPr>
          <w:sz w:val="21"/>
          <w:szCs w:val="21"/>
        </w:rPr>
        <w:t xml:space="preserve">Diseñar e implementar una arquitectura en Google Cloud Platform que permita migrar la aplicación legacy de administración de muestras de sangre y su base de datos MySQL hacia un ambiente IaaS, garantizando:</w:t>
      </w:r>
    </w:p>
    <w:p>
      <w:pPr>
        <w:pStyle w:val="ListParagraph"/>
        <w:numPr>
          <w:ilvl w:val="0"/>
          <w:numId w:val="2"/>
        </w:numPr>
        <w:spacing w:after="80"/>
      </w:pPr>
      <w:r>
        <w:rPr>
          <w:sz w:val="21"/>
          <w:szCs w:val="21"/>
        </w:rPr>
        <w:t xml:space="preserve">Acceso remoto seguro y estable para 20 usuarios (15 concurrentes + 5 ocasionales) mediante Remote Desktop Services (RDS).</w:t>
      </w:r>
    </w:p>
    <w:p>
      <w:pPr>
        <w:pStyle w:val="ListParagraph"/>
        <w:numPr>
          <w:ilvl w:val="0"/>
          <w:numId w:val="2"/>
        </w:numPr>
        <w:spacing w:after="80"/>
      </w:pPr>
      <w:r>
        <w:rPr>
          <w:sz w:val="21"/>
          <w:szCs w:val="21"/>
        </w:rPr>
        <w:t xml:space="preserve">Redirección funcional de dispositivos locales (biométrico de huella, biométrico facial e impresoras) para los 3 usuarios que lo requieren.</w:t>
      </w:r>
    </w:p>
    <w:p>
      <w:pPr>
        <w:pStyle w:val="ListParagraph"/>
        <w:numPr>
          <w:ilvl w:val="0"/>
          <w:numId w:val="2"/>
        </w:numPr>
        <w:spacing w:after="80"/>
      </w:pPr>
      <w:r>
        <w:rPr>
          <w:sz w:val="21"/>
          <w:szCs w:val="21"/>
        </w:rPr>
        <w:t xml:space="preserve">Un esquema de escritorio restringido (“kiosco”) por perfil local, que limite al usuario de consulta/operación a ver únicamente el ícono/acceso directo de la aplicación, sin poder navegar el sistema de archivos, modificar configuraciones o acceder a Internet.</w:t>
      </w:r>
    </w:p>
    <w:p>
      <w:pPr>
        <w:pStyle w:val="ListParagraph"/>
        <w:numPr>
          <w:ilvl w:val="0"/>
          <w:numId w:val="2"/>
        </w:numPr>
        <w:spacing w:after="80"/>
      </w:pPr>
      <w:r>
        <w:rPr>
          <w:sz w:val="21"/>
          <w:szCs w:val="21"/>
        </w:rPr>
        <w:t xml:space="preserve">Correcto dimensionamiento de la instancia de cómputo en GCP en función de la carga real de usuarios concurrentes.</w:t>
      </w:r>
    </w:p>
    <w:p>
      <w:pPr>
        <w:pStyle w:val="ListParagraph"/>
        <w:numPr>
          <w:ilvl w:val="0"/>
          <w:numId w:val="2"/>
        </w:numPr>
        <w:spacing w:after="80"/>
      </w:pPr>
      <w:r>
        <w:rPr>
          <w:sz w:val="21"/>
          <w:szCs w:val="21"/>
        </w:rPr>
        <w:t xml:space="preserve">Determinación y cumplimiento del licenciamiento de Microsoft requerido (Windows Server CAL y RDS CAL), y evaluación de la edición de Windows Server más adecuada en costo-beneficio.</w:t>
      </w:r>
    </w:p>
    <w:p>
      <w:pPr>
        <w:pStyle w:val="ListParagraph"/>
        <w:numPr>
          <w:ilvl w:val="0"/>
          <w:numId w:val="2"/>
        </w:numPr>
        <w:spacing w:after="80"/>
      </w:pPr>
      <w:r>
        <w:rPr>
          <w:sz w:val="21"/>
          <w:szCs w:val="21"/>
        </w:rPr>
        <w:t xml:space="preserve">Una base de seguridad reforzada mediante políticas locales de Windows Server, dado que el ambiente operará en modo grupo de trabajo (workgroup), sin Active Directory.</w:t>
      </w:r>
    </w:p>
    <w:p>
      <w:pPr>
        <w:pStyle w:val="Heading1"/>
        <w:pBdr>
          <w:bottom w:val="single" w:color="1F3864" w:sz="6" w:space="4"/>
        </w:pBdr>
        <w:spacing w:after="160" w:before="360"/>
      </w:pPr>
      <w:r>
        <w:rPr>
          <w:b/>
          <w:bCs/>
          <w:color w:val="1F3864"/>
          <w:sz w:val="28"/>
          <w:szCs w:val="28"/>
        </w:rPr>
        <w:t xml:space="preserve">3. Arquitectura Propuesta</w:t>
      </w:r>
    </w:p>
    <w:p>
      <w:pPr>
        <w:pStyle w:val="Heading2"/>
        <w:spacing w:after="120" w:before="240"/>
      </w:pPr>
      <w:r>
        <w:rPr>
          <w:b/>
          <w:bCs/>
          <w:color w:val="2E74B5"/>
          <w:sz w:val="24"/>
          <w:szCs w:val="24"/>
        </w:rPr>
        <w:t xml:space="preserve">3.1 Visión general</w:t>
      </w:r>
    </w:p>
    <w:p>
      <w:pPr>
        <w:spacing w:after="140" w:line="276"/>
      </w:pPr>
      <w:r>
        <w:rPr>
          <w:sz w:val="21"/>
          <w:szCs w:val="21"/>
        </w:rPr>
        <w:t xml:space="preserve">Se propone un esquema de escritorio remoto centralizado (RDS – Remote Desktop Session Host) sobre una única instancia de Compute Engine en GCP, dado el tamaño del ambiente (20 usuarios). Este modelo permite que todos los usuarios ejecuten la aplicación y accedan a la base de datos MySQL de forma local al servidor, minimizando latencia y evitando instalar la aplicación en cada estación de trabajo.</w:t>
      </w:r>
    </w:p>
    <w:p>
      <w:pPr>
        <w:pStyle w:val="ListParagraph"/>
        <w:numPr>
          <w:ilvl w:val="0"/>
          <w:numId w:val="2"/>
        </w:numPr>
        <w:spacing w:after="80"/>
      </w:pPr>
      <w:r>
        <w:rPr>
          <w:sz w:val="21"/>
          <w:szCs w:val="21"/>
        </w:rPr>
        <w:t xml:space="preserve">Capa de cómputo: 1 VM en Compute Engine con Windows Server 2022 (ver recomendación de edición en la sección 10), con el rol Remote Desktop Session Host (RDSH) habilitado.</w:t>
      </w:r>
    </w:p>
    <w:p>
      <w:pPr>
        <w:pStyle w:val="ListParagraph"/>
        <w:numPr>
          <w:ilvl w:val="0"/>
          <w:numId w:val="2"/>
        </w:numPr>
        <w:spacing w:after="80"/>
      </w:pPr>
      <w:r>
        <w:rPr>
          <w:sz w:val="21"/>
          <w:szCs w:val="21"/>
        </w:rPr>
        <w:t xml:space="preserve">Capa de licenciamiento RDS: rol RD Licensing instalado en modo “workgroup” (sin AD) en el mismo servidor, dado el tamaño reducido del ambiente.</w:t>
      </w:r>
    </w:p>
    <w:p>
      <w:pPr>
        <w:pStyle w:val="ListParagraph"/>
        <w:numPr>
          <w:ilvl w:val="0"/>
          <w:numId w:val="2"/>
        </w:numPr>
        <w:spacing w:after="80"/>
      </w:pPr>
      <w:r>
        <w:rPr>
          <w:sz w:val="21"/>
          <w:szCs w:val="21"/>
        </w:rPr>
        <w:t xml:space="preserve">Capa de datos: MySQL Server en la misma instancia en la Fase 1 (lift-and-shift); se documenta como recomendación futura, fuera de alcance, la migración a Cloud SQL for MySQL administrado.</w:t>
      </w:r>
    </w:p>
    <w:p>
      <w:pPr>
        <w:pStyle w:val="ListParagraph"/>
        <w:numPr>
          <w:ilvl w:val="0"/>
          <w:numId w:val="2"/>
        </w:numPr>
        <w:spacing w:after="80"/>
      </w:pPr>
      <w:r>
        <w:rPr>
          <w:sz w:val="21"/>
          <w:szCs w:val="21"/>
        </w:rPr>
        <w:t xml:space="preserve">Capa de identidad: cuentas de usuario locales, sin Active Directory. Un perfil local por usuario/estación, aplicando Directiva de Grupo Local (Local GPO) y AppLocker para restringir la sesión.</w:t>
      </w:r>
    </w:p>
    <w:p>
      <w:pPr>
        <w:pStyle w:val="ListParagraph"/>
        <w:numPr>
          <w:ilvl w:val="0"/>
          <w:numId w:val="2"/>
        </w:numPr>
        <w:spacing w:after="80"/>
      </w:pPr>
      <w:r>
        <w:rPr>
          <w:sz w:val="21"/>
          <w:szCs w:val="21"/>
        </w:rPr>
        <w:t xml:space="preserve">Capa de red: VPC dedicada y reglas de firewall restrictivas. Se recomienda NO exponer el puerto 3389 (RDP) directamente a Internet; en su lugar usar Cloud Identity-Aware Proxy (IAP) para TCP forwarding, o un túnel VPN site-to-site hacia la red del cliente.</w:t>
      </w:r>
    </w:p>
    <w:p>
      <w:pPr>
        <w:pStyle w:val="ListParagraph"/>
        <w:numPr>
          <w:ilvl w:val="0"/>
          <w:numId w:val="2"/>
        </w:numPr>
        <w:spacing w:after="80"/>
      </w:pPr>
      <w:r>
        <w:rPr>
          <w:sz w:val="21"/>
          <w:szCs w:val="21"/>
        </w:rPr>
        <w:t xml:space="preserve">Capa de periféricos: redirección de impresoras mediante RDP Printer Redirection (nativo); redirección de dispositivos biométricos (huella y facial) mediante USB Device Redirection de RDP, o mediante el agente/SDK del fabricante que exponga el dispositivo vía TCP/IP (a validar en la fase de descubrimiento; ver Riesgos).</w:t>
      </w:r>
    </w:p>
    <w:p>
      <w:pPr>
        <w:pStyle w:val="ListParagraph"/>
        <w:numPr>
          <w:ilvl w:val="0"/>
          <w:numId w:val="2"/>
        </w:numPr>
        <w:spacing w:after="80"/>
      </w:pPr>
      <w:r>
        <w:rPr>
          <w:sz w:val="21"/>
          <w:szCs w:val="21"/>
        </w:rPr>
        <w:t xml:space="preserve">Respaldo: snapshots programados del disco persistente (Persistent Disk) y respaldo lógico de la base de datos MySQL (mysqldump o Percona XtraBackup) hacia Cloud Storage.</w:t>
      </w:r>
    </w:p>
    <w:p>
      <w:pPr>
        <w:pStyle w:val="ListParagraph"/>
        <w:numPr>
          <w:ilvl w:val="0"/>
          <w:numId w:val="2"/>
        </w:numPr>
        <w:spacing w:after="80"/>
      </w:pPr>
      <w:r>
        <w:rPr>
          <w:sz w:val="21"/>
          <w:szCs w:val="21"/>
        </w:rPr>
        <w:t xml:space="preserve">Monitoreo: Cloud Monitoring / Cloud Logging para métricas de CPU, memoria, disco y sesiones RDS activas.</w:t>
      </w:r>
    </w:p>
    <w:p>
      <w:pPr>
        <w:pStyle w:val="Heading2"/>
        <w:spacing w:after="120" w:before="240"/>
      </w:pPr>
      <w:r>
        <w:rPr>
          <w:b/>
          <w:bCs/>
          <w:color w:val="2E74B5"/>
          <w:sz w:val="24"/>
          <w:szCs w:val="24"/>
        </w:rPr>
        <w:t xml:space="preserve">3.2 Dimensionamiento sugerido de la instancia (Compute Engine)</w:t>
      </w:r>
    </w:p>
    <w:p>
      <w:pPr>
        <w:spacing w:after="140" w:line="276"/>
      </w:pPr>
      <w:r>
        <w:rPr>
          <w:sz w:val="21"/>
          <w:szCs w:val="21"/>
        </w:rPr>
        <w:t xml:space="preserve">Con base en las características actuales del servidor (64 GB RAM, 512 GB de disco, CPU base de 2.6 GHz) y una carga de 15 sesiones RDS concurrentes ejecutando una aplicación de escritorio ligera, se sugiere como punto de partida:</w:t>
      </w:r>
    </w:p>
    <w:p>
      <w:pPr>
        <w:pStyle w:val="ListParagraph"/>
        <w:numPr>
          <w:ilvl w:val="0"/>
          <w:numId w:val="2"/>
        </w:numPr>
        <w:spacing w:after="80"/>
      </w:pPr>
      <w:r>
        <w:rPr>
          <w:sz w:val="21"/>
          <w:szCs w:val="21"/>
        </w:rPr>
        <w:t xml:space="preserve">Tipo de máquina: n2-standard-16 (16 vCPU / 64 GB RAM). La familia N2 de GCP trabaja con una frecuencia base cercana a 2.6–2.8 GHz, consistente con lo reportado por el cliente.</w:t>
      </w:r>
    </w:p>
    <w:p>
      <w:pPr>
        <w:pStyle w:val="ListParagraph"/>
        <w:numPr>
          <w:ilvl w:val="0"/>
          <w:numId w:val="2"/>
        </w:numPr>
        <w:spacing w:after="80"/>
      </w:pPr>
      <w:r>
        <w:rPr>
          <w:sz w:val="21"/>
          <w:szCs w:val="21"/>
        </w:rPr>
        <w:t xml:space="preserve">Disco: Persistent Disk SSD de 512 GB (balance entre rendimiento y costo para MySQL y perfiles de usuario).</w:t>
      </w:r>
    </w:p>
    <w:p>
      <w:pPr>
        <w:pStyle w:val="ListParagraph"/>
        <w:numPr>
          <w:ilvl w:val="0"/>
          <w:numId w:val="2"/>
        </w:numPr>
        <w:spacing w:after="80"/>
      </w:pPr>
      <w:r>
        <w:rPr>
          <w:sz w:val="21"/>
          <w:szCs w:val="21"/>
        </w:rPr>
        <w:t xml:space="preserve">Se recomienda validar con el cliente el número real de vCPUs/núcleos del servidor actual, ya que “2.6 GHz” describe la frecuencia del procesador, no la cantidad de núcleos disponibles; este dato es indispensable para confirmar el dimensionamiento (ver Supuestos).</w:t>
      </w:r>
    </w:p>
    <w:p>
      <w:pPr>
        <w:pStyle w:val="ListParagraph"/>
        <w:numPr>
          <w:ilvl w:val="0"/>
          <w:numId w:val="2"/>
        </w:numPr>
        <w:spacing w:after="80"/>
      </w:pPr>
      <w:r>
        <w:rPr>
          <w:sz w:val="21"/>
          <w:szCs w:val="21"/>
        </w:rPr>
        <w:t xml:space="preserve">Se recomienda una prueba de carga con las 15 sesiones concurrentes reales antes de pasar a producción, para ajustar el tipo de máquina si es necesario. Al usar modalidad de licenciamiento PAYG (pago por uso), el escalamiento vertical en GCP no implica renegociar licencias por núcleo.</w:t>
      </w:r>
    </w:p>
    <w:p>
      <w:pPr>
        <w:pStyle w:val="Heading2"/>
        <w:spacing w:after="120" w:before="240"/>
      </w:pPr>
      <w:r>
        <w:rPr>
          <w:b/>
          <w:bCs/>
          <w:color w:val="2E74B5"/>
          <w:sz w:val="24"/>
          <w:szCs w:val="24"/>
        </w:rPr>
        <w:t xml:space="preserve">3.3 Escritorio restringido por perfil (“modo kiosco”) sin Active Directory</w:t>
      </w:r>
    </w:p>
    <w:p>
      <w:pPr>
        <w:spacing w:after="140" w:line="276"/>
      </w:pPr>
      <w:r>
        <w:rPr>
          <w:sz w:val="21"/>
          <w:szCs w:val="21"/>
        </w:rPr>
        <w:t xml:space="preserve">Sí es técnicamente viable implementar un escritorio restringido por perfil local sin necesidad de Active Directory. Esto se logra combinando varios mecanismos nativos de Windows Server, aplicados de forma local a cada cuenta de usuario:</w:t>
      </w:r>
    </w:p>
    <w:p>
      <w:pPr>
        <w:pStyle w:val="ListParagraph"/>
        <w:numPr>
          <w:ilvl w:val="0"/>
          <w:numId w:val="2"/>
        </w:numPr>
        <w:spacing w:after="80"/>
      </w:pPr>
      <w:r>
        <w:rPr>
          <w:sz w:val="21"/>
          <w:szCs w:val="21"/>
        </w:rPr>
        <w:t xml:space="preserve">Shell alternativo por usuario: modificar la clave de registro del shell (HKEY_CURRENT_USER \ Software\Microsoft\Windows NT\CurrentVersion\Winlogon\Shell) para que, en lugar de iniciar el Explorador de Windows, se lance directamente el ejecutable de la aplicación al iniciar sesión.</w:t>
      </w:r>
    </w:p>
    <w:p>
      <w:pPr>
        <w:pStyle w:val="ListParagraph"/>
        <w:numPr>
          <w:ilvl w:val="0"/>
          <w:numId w:val="2"/>
        </w:numPr>
        <w:spacing w:after="80"/>
      </w:pPr>
      <w:r>
        <w:rPr>
          <w:sz w:val="21"/>
          <w:szCs w:val="21"/>
        </w:rPr>
        <w:t xml:space="preserve">Directiva de Grupo Local por usuario (Multiple Local Group Policy Objects): Windows Server permite crear objetos de directiva de grupo local específicos por cuenta de usuario, no solo la directiva única del equipo; esto funciona sin dominio.</w:t>
      </w:r>
    </w:p>
    <w:p>
      <w:pPr>
        <w:pStyle w:val="ListParagraph"/>
        <w:numPr>
          <w:ilvl w:val="0"/>
          <w:numId w:val="2"/>
        </w:numPr>
        <w:spacing w:after="80"/>
      </w:pPr>
      <w:r>
        <w:rPr>
          <w:sz w:val="21"/>
          <w:szCs w:val="21"/>
        </w:rPr>
        <w:t xml:space="preserve">Restricciones aplicables vía Local GPO: ocultar unidades en el Explorador, deshabilitar el Panel de Control y Configuración, deshabilitar el Administrador de Tareas, deshabilitar el cuadro “Ejecutar”, bloquear el acceso a símbolo del sistema y PowerShell, y restringir el uso de navegador de Internet.</w:t>
      </w:r>
    </w:p>
    <w:p>
      <w:pPr>
        <w:pStyle w:val="ListParagraph"/>
        <w:numPr>
          <w:ilvl w:val="0"/>
          <w:numId w:val="2"/>
        </w:numPr>
        <w:spacing w:after="80"/>
      </w:pPr>
      <w:r>
        <w:rPr>
          <w:sz w:val="21"/>
          <w:szCs w:val="21"/>
        </w:rPr>
        <w:t xml:space="preserve">AppLocker (disponible tanto en Standard como en Datacenter): lista de aplicaciones permitidas (allow-list) por perfil, de forma que únicamente el ejecutable de la aplicación de muestras de sangre pueda ejecutarse en las sesiones de los perfiles restringidos.</w:t>
      </w:r>
    </w:p>
    <w:p>
      <w:pPr>
        <w:pStyle w:val="ListParagraph"/>
        <w:numPr>
          <w:ilvl w:val="0"/>
          <w:numId w:val="2"/>
        </w:numPr>
        <w:spacing w:after="80"/>
      </w:pPr>
      <w:r>
        <w:rPr>
          <w:sz w:val="21"/>
          <w:szCs w:val="21"/>
        </w:rPr>
        <w:t xml:space="preserve">Perfiles diferenciados: se recomienda un perfil “administrador local” sin restricciones para soporte técnico, y perfiles “operativos” restringidos para los usuarios finales, con variantes específicas para los 3 usuarios que usan biométricos/impresoras (con las directivas de redirección de dispositivos habilitadas).</w:t>
      </w:r>
    </w:p>
    <w:p>
      <w:pPr>
        <w:spacing w:after="140" w:line="276"/>
      </w:pPr>
      <w:r>
        <w:rPr>
          <w:sz w:val="21"/>
          <w:szCs w:val="21"/>
        </w:rPr>
        <w:t xml:space="preserve">Este esquema refuerza la seguridad solicitada por el cliente. Conviene dejar explícito que administrar 20 perfiles locales de forma manual (sin AD) implica mayor esfuerzo operativo de mantenimiento —altas, bajas, cambios de contraseña, aplicación de directivas— frente a un esquema centralizado; este trade-off se documenta en la matriz de riesgos (sección 9).</w:t>
      </w:r>
    </w:p>
    <w:p>
      <w:pPr>
        <w:pStyle w:val="Heading1"/>
        <w:pBdr>
          <w:bottom w:val="single" w:color="1F3864" w:sz="6" w:space="4"/>
        </w:pBdr>
        <w:spacing w:after="160" w:before="360"/>
      </w:pPr>
      <w:r>
        <w:rPr>
          <w:b/>
          <w:bCs/>
          <w:color w:val="1F3864"/>
          <w:sz w:val="28"/>
          <w:szCs w:val="28"/>
        </w:rPr>
        <w:t xml:space="preserve">4. Requerimientos Técnicos y Equipo de Trabajo</w:t>
      </w:r>
    </w:p>
    <w:p>
      <w:pPr>
        <w:pStyle w:val="Heading2"/>
        <w:spacing w:after="120" w:before="240"/>
      </w:pPr>
      <w:r>
        <w:rPr>
          <w:b/>
          <w:bCs/>
          <w:color w:val="2E74B5"/>
          <w:sz w:val="24"/>
          <w:szCs w:val="24"/>
        </w:rPr>
        <w:t xml:space="preserve">4.1 Requerimientos técnicos</w:t>
      </w:r>
    </w:p>
    <w:p>
      <w:pPr>
        <w:pStyle w:val="ListParagraph"/>
        <w:numPr>
          <w:ilvl w:val="0"/>
          <w:numId w:val="2"/>
        </w:numPr>
        <w:spacing w:after="80"/>
      </w:pPr>
      <w:r>
        <w:rPr>
          <w:sz w:val="21"/>
          <w:szCs w:val="21"/>
        </w:rPr>
        <w:t xml:space="preserve">Cuenta y proyecto de Google Cloud Platform con facturación habilitada, provista por el cliente.</w:t>
      </w:r>
    </w:p>
    <w:p>
      <w:pPr>
        <w:pStyle w:val="ListParagraph"/>
        <w:numPr>
          <w:ilvl w:val="0"/>
          <w:numId w:val="2"/>
        </w:numPr>
        <w:spacing w:after="80"/>
      </w:pPr>
      <w:r>
        <w:rPr>
          <w:sz w:val="21"/>
          <w:szCs w:val="21"/>
        </w:rPr>
        <w:t xml:space="preserve">Acceso administrativo (VPN o IAP) para la configuración remota del servidor.</w:t>
      </w:r>
    </w:p>
    <w:p>
      <w:pPr>
        <w:pStyle w:val="ListParagraph"/>
        <w:numPr>
          <w:ilvl w:val="0"/>
          <w:numId w:val="2"/>
        </w:numPr>
        <w:spacing w:after="80"/>
      </w:pPr>
      <w:r>
        <w:rPr>
          <w:sz w:val="21"/>
          <w:szCs w:val="21"/>
        </w:rPr>
        <w:t xml:space="preserve">Instalador de la aplicación legacy y sus dependencias (runtime, licencias propias de la aplicación, drivers de los dispositivos biométricos).</w:t>
      </w:r>
    </w:p>
    <w:p>
      <w:pPr>
        <w:pStyle w:val="ListParagraph"/>
        <w:numPr>
          <w:ilvl w:val="0"/>
          <w:numId w:val="2"/>
        </w:numPr>
        <w:spacing w:after="80"/>
      </w:pPr>
      <w:r>
        <w:rPr>
          <w:sz w:val="21"/>
          <w:szCs w:val="21"/>
        </w:rPr>
        <w:t xml:space="preserve">Especificaciones/SDK de los dispositivos biométricos (huella y facial) y de las impresoras, para validar compatibilidad con redirección RDP.</w:t>
      </w:r>
    </w:p>
    <w:p>
      <w:pPr>
        <w:pStyle w:val="ListParagraph"/>
        <w:numPr>
          <w:ilvl w:val="0"/>
          <w:numId w:val="2"/>
        </w:numPr>
        <w:spacing w:after="80"/>
      </w:pPr>
      <w:r>
        <w:rPr>
          <w:sz w:val="21"/>
          <w:szCs w:val="21"/>
        </w:rPr>
        <w:t xml:space="preserve">Licencias de Windows Server CAL y RDS CAL (ver secciones 10 y 11) a adquirir por el cliente, salvo que se acuerde modalidad PAYG.</w:t>
      </w:r>
    </w:p>
    <w:p>
      <w:pPr>
        <w:pStyle w:val="ListParagraph"/>
        <w:numPr>
          <w:ilvl w:val="0"/>
          <w:numId w:val="2"/>
        </w:numPr>
        <w:spacing w:after="80"/>
      </w:pPr>
      <w:r>
        <w:rPr>
          <w:sz w:val="21"/>
          <w:szCs w:val="21"/>
        </w:rPr>
        <w:t xml:space="preserve">Listado nominal de los 20 usuarios y de cuáles 3 usarán biométricos/impresoras.</w:t>
      </w:r>
    </w:p>
    <w:p>
      <w:pPr>
        <w:pStyle w:val="Heading2"/>
        <w:spacing w:after="120" w:before="240"/>
      </w:pPr>
      <w:r>
        <w:rPr>
          <w:b/>
          <w:bCs/>
          <w:color w:val="2E74B5"/>
          <w:sz w:val="24"/>
          <w:szCs w:val="24"/>
        </w:rPr>
        <w:t xml:space="preserve">4.2 Equipo de trabajo propuesto</w:t>
      </w:r>
    </w:p>
    <w:p>
      <w:pPr>
        <w:pStyle w:val="ListParagraph"/>
        <w:numPr>
          <w:ilvl w:val="0"/>
          <w:numId w:val="2"/>
        </w:numPr>
        <w:spacing w:after="80"/>
      </w:pPr>
      <w:r>
        <w:rPr>
          <w:sz w:val="21"/>
          <w:szCs w:val="21"/>
        </w:rPr>
        <w:t xml:space="preserve">Arquitecto de nube (GCP): diseño de arquitectura, redes, seguridad y dimensionamiento.</w:t>
      </w:r>
    </w:p>
    <w:p>
      <w:pPr>
        <w:pStyle w:val="ListParagraph"/>
        <w:numPr>
          <w:ilvl w:val="0"/>
          <w:numId w:val="2"/>
        </w:numPr>
        <w:spacing w:after="80"/>
      </w:pPr>
      <w:r>
        <w:rPr>
          <w:sz w:val="21"/>
          <w:szCs w:val="21"/>
        </w:rPr>
        <w:t xml:space="preserve">Ingeniero de sistemas Windows Server / RDS: instalación de roles, RD Licensing, políticas locales y AppLocker.</w:t>
      </w:r>
    </w:p>
    <w:p>
      <w:pPr>
        <w:pStyle w:val="ListParagraph"/>
        <w:numPr>
          <w:ilvl w:val="0"/>
          <w:numId w:val="2"/>
        </w:numPr>
        <w:spacing w:after="80"/>
      </w:pPr>
      <w:r>
        <w:rPr>
          <w:sz w:val="21"/>
          <w:szCs w:val="21"/>
        </w:rPr>
        <w:t xml:space="preserve">Administrador de base de datos (DBA) MySQL: migración y validación de la base de datos.</w:t>
      </w:r>
    </w:p>
    <w:p>
      <w:pPr>
        <w:pStyle w:val="ListParagraph"/>
        <w:numPr>
          <w:ilvl w:val="0"/>
          <w:numId w:val="2"/>
        </w:numPr>
        <w:spacing w:after="80"/>
      </w:pPr>
      <w:r>
        <w:rPr>
          <w:sz w:val="21"/>
          <w:szCs w:val="21"/>
        </w:rPr>
        <w:t xml:space="preserve">Especialista en seguridad: hardening del servidor, reglas de firewall, revisión de exposición de RDP.</w:t>
      </w:r>
    </w:p>
    <w:p>
      <w:pPr>
        <w:pStyle w:val="ListParagraph"/>
        <w:numPr>
          <w:ilvl w:val="0"/>
          <w:numId w:val="2"/>
        </w:numPr>
        <w:spacing w:after="80"/>
      </w:pPr>
      <w:r>
        <w:rPr>
          <w:sz w:val="21"/>
          <w:szCs w:val="21"/>
        </w:rPr>
        <w:t xml:space="preserve">Líder de proyecto (PM): coordinación, cronograma, comunicación con el cliente.</w:t>
      </w:r>
    </w:p>
    <w:p>
      <w:pPr>
        <w:pStyle w:val="ListParagraph"/>
        <w:numPr>
          <w:ilvl w:val="0"/>
          <w:numId w:val="2"/>
        </w:numPr>
        <w:spacing w:after="80"/>
      </w:pPr>
      <w:r>
        <w:rPr>
          <w:sz w:val="21"/>
          <w:szCs w:val="21"/>
        </w:rPr>
        <w:t xml:space="preserve">Contacto técnico del cliente: conocimiento funcional de la aplicación legacy y de los dispositivos biométricos.</w:t>
      </w:r>
    </w:p>
    <w:p>
      <w:pPr>
        <w:pStyle w:val="Heading1"/>
        <w:pBdr>
          <w:bottom w:val="single" w:color="1F3864" w:sz="6" w:space="4"/>
        </w:pBdr>
        <w:spacing w:after="160" w:before="360"/>
      </w:pPr>
      <w:r>
        <w:rPr>
          <w:b/>
          <w:bCs/>
          <w:color w:val="1F3864"/>
          <w:sz w:val="28"/>
          <w:szCs w:val="28"/>
        </w:rPr>
        <w:t xml:space="preserve">5. Alcances</w:t>
      </w:r>
    </w:p>
    <w:p>
      <w:pPr>
        <w:pStyle w:val="ListParagraph"/>
        <w:numPr>
          <w:ilvl w:val="0"/>
          <w:numId w:val="2"/>
        </w:numPr>
        <w:spacing w:after="80"/>
      </w:pPr>
      <w:r>
        <w:rPr>
          <w:sz w:val="21"/>
          <w:szCs w:val="21"/>
        </w:rPr>
        <w:t xml:space="preserve">Levantamiento técnico del ambiente actual (servidor, aplicación, base de datos, dispositivos).</w:t>
      </w:r>
    </w:p>
    <w:p>
      <w:pPr>
        <w:pStyle w:val="ListParagraph"/>
        <w:numPr>
          <w:ilvl w:val="0"/>
          <w:numId w:val="2"/>
        </w:numPr>
        <w:spacing w:after="80"/>
      </w:pPr>
      <w:r>
        <w:rPr>
          <w:sz w:val="21"/>
          <w:szCs w:val="21"/>
        </w:rPr>
        <w:t xml:space="preserve">Aprovisionamiento de la VM en GCP conforme al dimensionamiento propuesto.</w:t>
      </w:r>
    </w:p>
    <w:p>
      <w:pPr>
        <w:pStyle w:val="ListParagraph"/>
        <w:numPr>
          <w:ilvl w:val="0"/>
          <w:numId w:val="2"/>
        </w:numPr>
        <w:spacing w:after="80"/>
      </w:pPr>
      <w:r>
        <w:rPr>
          <w:sz w:val="21"/>
          <w:szCs w:val="21"/>
        </w:rPr>
        <w:t xml:space="preserve">Migración tipo lift-and-shift de la aplicación legacy y de la base de datos MySQL al nuevo servidor en GCP.</w:t>
      </w:r>
    </w:p>
    <w:p>
      <w:pPr>
        <w:pStyle w:val="ListParagraph"/>
        <w:numPr>
          <w:ilvl w:val="0"/>
          <w:numId w:val="2"/>
        </w:numPr>
        <w:spacing w:after="80"/>
      </w:pPr>
      <w:r>
        <w:rPr>
          <w:sz w:val="21"/>
          <w:szCs w:val="21"/>
        </w:rPr>
        <w:t xml:space="preserve">Instalación y configuración del rol Remote Desktop Session Host (RDSH) y RD Licensing en modo workgroup.</w:t>
      </w:r>
    </w:p>
    <w:p>
      <w:pPr>
        <w:pStyle w:val="ListParagraph"/>
        <w:numPr>
          <w:ilvl w:val="0"/>
          <w:numId w:val="2"/>
        </w:numPr>
        <w:spacing w:after="80"/>
      </w:pPr>
      <w:r>
        <w:rPr>
          <w:sz w:val="21"/>
          <w:szCs w:val="21"/>
        </w:rPr>
        <w:t xml:space="preserve">Configuración de red (VPC, firewall, acceso remoto seguro vía IAP o VPN).</w:t>
      </w:r>
    </w:p>
    <w:p>
      <w:pPr>
        <w:pStyle w:val="ListParagraph"/>
        <w:numPr>
          <w:ilvl w:val="0"/>
          <w:numId w:val="2"/>
        </w:numPr>
        <w:spacing w:after="80"/>
      </w:pPr>
      <w:r>
        <w:rPr>
          <w:sz w:val="21"/>
          <w:szCs w:val="21"/>
        </w:rPr>
        <w:t xml:space="preserve">Creación de hasta 20 perfiles/cuentas de usuario locales, incluidos los 3 perfiles con redirección de dispositivos biométricos e impresoras.</w:t>
      </w:r>
    </w:p>
    <w:p>
      <w:pPr>
        <w:pStyle w:val="ListParagraph"/>
        <w:numPr>
          <w:ilvl w:val="0"/>
          <w:numId w:val="2"/>
        </w:numPr>
        <w:spacing w:after="80"/>
      </w:pPr>
      <w:r>
        <w:rPr>
          <w:sz w:val="21"/>
          <w:szCs w:val="21"/>
        </w:rPr>
        <w:t xml:space="preserve">Aplicación de Directiva de Grupo Local (Local GPO) y AppLocker para restringir el escritorio a la aplicación autorizada.</w:t>
      </w:r>
    </w:p>
    <w:p>
      <w:pPr>
        <w:pStyle w:val="ListParagraph"/>
        <w:numPr>
          <w:ilvl w:val="0"/>
          <w:numId w:val="2"/>
        </w:numPr>
        <w:spacing w:after="80"/>
      </w:pPr>
      <w:r>
        <w:rPr>
          <w:sz w:val="21"/>
          <w:szCs w:val="21"/>
        </w:rPr>
        <w:t xml:space="preserve">Pruebas funcionales de conectividad concurrente (15 sesiones simultáneas) y de los 3 perfiles con periféricos.</w:t>
      </w:r>
    </w:p>
    <w:p>
      <w:pPr>
        <w:pStyle w:val="ListParagraph"/>
        <w:numPr>
          <w:ilvl w:val="0"/>
          <w:numId w:val="2"/>
        </w:numPr>
        <w:spacing w:after="80"/>
      </w:pPr>
      <w:r>
        <w:rPr>
          <w:sz w:val="21"/>
          <w:szCs w:val="21"/>
        </w:rPr>
        <w:t xml:space="preserve">Configuración de respaldo (snapshots de disco y respaldo lógico de MySQL).</w:t>
      </w:r>
    </w:p>
    <w:p>
      <w:pPr>
        <w:pStyle w:val="ListParagraph"/>
        <w:numPr>
          <w:ilvl w:val="0"/>
          <w:numId w:val="2"/>
        </w:numPr>
        <w:spacing w:after="80"/>
      </w:pPr>
      <w:r>
        <w:rPr>
          <w:sz w:val="21"/>
          <w:szCs w:val="21"/>
        </w:rPr>
        <w:t xml:space="preserve">Documentación técnica de la arquitectura implementada y manual básico de administración.</w:t>
      </w:r>
    </w:p>
    <w:p>
      <w:pPr>
        <w:pStyle w:val="ListParagraph"/>
        <w:numPr>
          <w:ilvl w:val="0"/>
          <w:numId w:val="2"/>
        </w:numPr>
        <w:spacing w:after="80"/>
      </w:pPr>
      <w:r>
        <w:rPr>
          <w:sz w:val="21"/>
          <w:szCs w:val="21"/>
        </w:rPr>
        <w:t xml:space="preserve">Capacitación de hasta 4 horas al personal técnico del cliente.</w:t>
      </w:r>
    </w:p>
    <w:p>
      <w:pPr>
        <w:pStyle w:val="Heading1"/>
        <w:pBdr>
          <w:bottom w:val="single" w:color="1F3864" w:sz="6" w:space="4"/>
        </w:pBdr>
        <w:spacing w:after="160" w:before="360"/>
      </w:pPr>
      <w:r>
        <w:rPr>
          <w:b/>
          <w:bCs/>
          <w:color w:val="1F3864"/>
          <w:sz w:val="28"/>
          <w:szCs w:val="28"/>
        </w:rPr>
        <w:t xml:space="preserve">6. Fuera de Alcance</w:t>
      </w:r>
    </w:p>
    <w:p>
      <w:pPr>
        <w:pStyle w:val="ListParagraph"/>
        <w:numPr>
          <w:ilvl w:val="0"/>
          <w:numId w:val="2"/>
        </w:numPr>
        <w:spacing w:after="80"/>
      </w:pPr>
      <w:r>
        <w:rPr>
          <w:sz w:val="21"/>
          <w:szCs w:val="21"/>
        </w:rPr>
        <w:t xml:space="preserve">Implementación de Active Directory / Entra ID (la solución se entrega en modo workgroup, conforme a lo solicitado).</w:t>
      </w:r>
    </w:p>
    <w:p>
      <w:pPr>
        <w:pStyle w:val="ListParagraph"/>
        <w:numPr>
          <w:ilvl w:val="0"/>
          <w:numId w:val="2"/>
        </w:numPr>
        <w:spacing w:after="80"/>
      </w:pPr>
      <w:r>
        <w:rPr>
          <w:sz w:val="21"/>
          <w:szCs w:val="21"/>
        </w:rPr>
        <w:t xml:space="preserve">Migración del motor de base de datos a Cloud SQL for MySQL administrado (se documenta como recomendación futura).</w:t>
      </w:r>
    </w:p>
    <w:p>
      <w:pPr>
        <w:pStyle w:val="ListParagraph"/>
        <w:numPr>
          <w:ilvl w:val="0"/>
          <w:numId w:val="2"/>
        </w:numPr>
        <w:spacing w:after="80"/>
      </w:pPr>
      <w:r>
        <w:rPr>
          <w:sz w:val="21"/>
          <w:szCs w:val="21"/>
        </w:rPr>
        <w:t xml:space="preserve">Desarrollo, modificación o soporte del código fuente de la aplicación legacy.</w:t>
      </w:r>
    </w:p>
    <w:p>
      <w:pPr>
        <w:pStyle w:val="ListParagraph"/>
        <w:numPr>
          <w:ilvl w:val="0"/>
          <w:numId w:val="2"/>
        </w:numPr>
        <w:spacing w:after="80"/>
      </w:pPr>
      <w:r>
        <w:rPr>
          <w:sz w:val="21"/>
          <w:szCs w:val="21"/>
        </w:rPr>
        <w:t xml:space="preserve">Integración de dispositivos biométricos o modelos de impresoras no validados en la fase de descubrimiento.</w:t>
      </w:r>
    </w:p>
    <w:p>
      <w:pPr>
        <w:pStyle w:val="ListParagraph"/>
        <w:numPr>
          <w:ilvl w:val="0"/>
          <w:numId w:val="2"/>
        </w:numPr>
        <w:spacing w:after="80"/>
      </w:pPr>
      <w:r>
        <w:rPr>
          <w:sz w:val="21"/>
          <w:szCs w:val="21"/>
        </w:rPr>
        <w:t xml:space="preserve">Adquisición de las licencias de Microsoft (Windows Server CAL, RDS CAL): se entrega la recomendación y el dimensionamiento; la compra es responsabilidad del cliente, salvo acuerdo distinto.</w:t>
      </w:r>
    </w:p>
    <w:p>
      <w:pPr>
        <w:pStyle w:val="ListParagraph"/>
        <w:numPr>
          <w:ilvl w:val="0"/>
          <w:numId w:val="2"/>
        </w:numPr>
        <w:spacing w:after="80"/>
      </w:pPr>
      <w:r>
        <w:rPr>
          <w:sz w:val="21"/>
          <w:szCs w:val="21"/>
        </w:rPr>
        <w:t xml:space="preserve">Soporte operativo posterior a la puesta en marcha, más allá del periodo de garantía definido en el cronograma.</w:t>
      </w:r>
    </w:p>
    <w:p>
      <w:pPr>
        <w:pStyle w:val="ListParagraph"/>
        <w:numPr>
          <w:ilvl w:val="0"/>
          <w:numId w:val="2"/>
        </w:numPr>
        <w:spacing w:after="80"/>
      </w:pPr>
      <w:r>
        <w:rPr>
          <w:sz w:val="21"/>
          <w:szCs w:val="21"/>
        </w:rPr>
        <w:t xml:space="preserve">Alta disponibilidad multi-servidor (clúster de RDS, balanceo de carga entre varios RDSH); la arquitectura propuesta contempla un único servidor, adecuada para 20 usuarios.</w:t>
      </w:r>
    </w:p>
    <w:p>
      <w:pPr>
        <w:pStyle w:val="ListParagraph"/>
        <w:numPr>
          <w:ilvl w:val="0"/>
          <w:numId w:val="2"/>
        </w:numPr>
        <w:spacing w:after="80"/>
      </w:pPr>
      <w:r>
        <w:rPr>
          <w:sz w:val="21"/>
          <w:szCs w:val="21"/>
        </w:rPr>
        <w:t xml:space="preserve">Pruebas de penetración (pentest) formales; se entrega únicamente hardening base.</w:t>
      </w:r>
    </w:p>
    <w:p>
      <w:pPr>
        <w:pStyle w:val="Heading1"/>
        <w:pBdr>
          <w:bottom w:val="single" w:color="1F3864" w:sz="6" w:space="4"/>
        </w:pBdr>
        <w:spacing w:after="160" w:before="360"/>
      </w:pPr>
      <w:r>
        <w:rPr>
          <w:b/>
          <w:bCs/>
          <w:color w:val="1F3864"/>
          <w:sz w:val="28"/>
          <w:szCs w:val="28"/>
        </w:rPr>
        <w:t xml:space="preserve">7. Tiempos de Ejecución</w:t>
      </w:r>
    </w:p>
    <w:p>
      <w:pPr>
        <w:spacing w:after="140" w:line="276"/>
      </w:pPr>
      <w:r>
        <w:rPr>
          <w:sz w:val="21"/>
          <w:szCs w:val="21"/>
        </w:rPr>
        <w:t xml:space="preserve">Duración estimada total: 6 a 8 semanas calendario, sujeto a la disponibilidad de accesos, información y decisiones oportunas por parte del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900"/>
      </w:tblGrid>
      <w:tr>
        <w:tc>
          <w:tcPr>
            <w:tcW w:type="dxa" w:w="2600"/>
            <w:shd w:fill="1F3864" w:val="clear"/>
            <w:tcMar>
              <w:top w:type="dxa" w:w="80"/>
              <w:left w:type="dxa" w:w="100"/>
              <w:bottom w:type="dxa" w:w="80"/>
              <w:right w:type="dxa" w:w="100"/>
            </w:tcMar>
            <w:vAlign w:val="center"/>
          </w:tcPr>
          <w:p>
            <w:r>
              <w:rPr>
                <w:b/>
                <w:bCs/>
                <w:color w:val="FFFFFF"/>
                <w:sz w:val="19"/>
                <w:szCs w:val="19"/>
              </w:rPr>
              <w:t xml:space="preserve">Fase</w:t>
            </w:r>
          </w:p>
        </w:tc>
        <w:tc>
          <w:tcPr>
            <w:tcW w:type="dxa" w:w="5100"/>
            <w:shd w:fill="1F3864" w:val="clear"/>
            <w:tcMar>
              <w:top w:type="dxa" w:w="80"/>
              <w:left w:type="dxa" w:w="100"/>
              <w:bottom w:type="dxa" w:w="80"/>
              <w:right w:type="dxa" w:w="100"/>
            </w:tcMar>
            <w:vAlign w:val="center"/>
          </w:tcPr>
          <w:p>
            <w:r>
              <w:rPr>
                <w:b/>
                <w:bCs/>
                <w:color w:val="FFFFFF"/>
                <w:sz w:val="19"/>
                <w:szCs w:val="19"/>
              </w:rPr>
              <w:t xml:space="preserve">Actividad principal</w:t>
            </w:r>
          </w:p>
        </w:tc>
        <w:tc>
          <w:tcPr>
            <w:tcW w:type="dxa" w:w="1900"/>
            <w:shd w:fill="1F3864" w:val="clear"/>
            <w:tcMar>
              <w:top w:type="dxa" w:w="80"/>
              <w:left w:type="dxa" w:w="100"/>
              <w:bottom w:type="dxa" w:w="80"/>
              <w:right w:type="dxa" w:w="100"/>
            </w:tcMar>
            <w:vAlign w:val="center"/>
          </w:tcPr>
          <w:p>
            <w:pPr>
              <w:jc w:val="center"/>
            </w:pPr>
            <w:r>
              <w:rPr>
                <w:b/>
                <w:bCs/>
                <w:color w:val="FFFFFF"/>
                <w:sz w:val="19"/>
                <w:szCs w:val="19"/>
              </w:rPr>
              <w:t xml:space="preserve">Duración estimada</w:t>
            </w:r>
          </w:p>
        </w:tc>
      </w:tr>
      <w:tr>
        <w:tc>
          <w:tcPr>
            <w:tcW w:type="dxa" w:w="2600"/>
            <w:shd w:fill="FFFFFF" w:val="clear"/>
            <w:tcMar>
              <w:top w:type="dxa" w:w="80"/>
              <w:left w:type="dxa" w:w="100"/>
              <w:bottom w:type="dxa" w:w="80"/>
              <w:right w:type="dxa" w:w="100"/>
            </w:tcMar>
            <w:vAlign w:val="center"/>
          </w:tcPr>
          <w:p>
            <w:r>
              <w:rPr>
                <w:b/>
                <w:bCs/>
                <w:color w:val="000000"/>
                <w:sz w:val="18"/>
                <w:szCs w:val="18"/>
              </w:rPr>
              <w:t xml:space="preserve">1. Descubrimiento y validación</w:t>
            </w:r>
          </w:p>
        </w:tc>
        <w:tc>
          <w:tcPr>
            <w:tcW w:type="dxa" w:w="5100"/>
            <w:shd w:fill="FFFFFF" w:val="clear"/>
            <w:tcMar>
              <w:top w:type="dxa" w:w="80"/>
              <w:left w:type="dxa" w:w="100"/>
              <w:bottom w:type="dxa" w:w="80"/>
              <w:right w:type="dxa" w:w="100"/>
            </w:tcMar>
            <w:vAlign w:val="center"/>
          </w:tcPr>
          <w:p>
            <w:r>
              <w:rPr>
                <w:b w:val="false"/>
                <w:bCs w:val="false"/>
                <w:color w:val="000000"/>
                <w:sz w:val="18"/>
                <w:szCs w:val="18"/>
              </w:rPr>
              <w:t xml:space="preserve">Levantamiento de detalle (núcleos/vCPU reales, modelos de biométricos, impresoras), definición de usuarios y perfiles.</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1 semana</w:t>
            </w:r>
          </w:p>
        </w:tc>
      </w:tr>
      <w:tr>
        <w:tc>
          <w:tcPr>
            <w:tcW w:type="dxa" w:w="2600"/>
            <w:shd w:fill="F2F2F2" w:val="clear"/>
            <w:tcMar>
              <w:top w:type="dxa" w:w="80"/>
              <w:left w:type="dxa" w:w="100"/>
              <w:bottom w:type="dxa" w:w="80"/>
              <w:right w:type="dxa" w:w="100"/>
            </w:tcMar>
            <w:vAlign w:val="center"/>
          </w:tcPr>
          <w:p>
            <w:r>
              <w:rPr>
                <w:b/>
                <w:bCs/>
                <w:color w:val="000000"/>
                <w:sz w:val="18"/>
                <w:szCs w:val="18"/>
              </w:rPr>
              <w:t xml:space="preserve">2. Aprovisionamiento en GCP</w:t>
            </w:r>
          </w:p>
        </w:tc>
        <w:tc>
          <w:tcPr>
            <w:tcW w:type="dxa" w:w="5100"/>
            <w:shd w:fill="F2F2F2" w:val="clear"/>
            <w:tcMar>
              <w:top w:type="dxa" w:w="80"/>
              <w:left w:type="dxa" w:w="100"/>
              <w:bottom w:type="dxa" w:w="80"/>
              <w:right w:type="dxa" w:w="100"/>
            </w:tcMar>
            <w:vAlign w:val="center"/>
          </w:tcPr>
          <w:p>
            <w:r>
              <w:rPr>
                <w:b w:val="false"/>
                <w:bCs w:val="false"/>
                <w:color w:val="000000"/>
                <w:sz w:val="18"/>
                <w:szCs w:val="18"/>
              </w:rPr>
              <w:t xml:space="preserve">Creación de VPC, reglas de firewall, IAP/VPN, instancia Compute Engine, discos.</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 semana</w:t>
            </w:r>
          </w:p>
        </w:tc>
      </w:tr>
      <w:tr>
        <w:tc>
          <w:tcPr>
            <w:tcW w:type="dxa" w:w="2600"/>
            <w:shd w:fill="FFFFFF" w:val="clear"/>
            <w:tcMar>
              <w:top w:type="dxa" w:w="80"/>
              <w:left w:type="dxa" w:w="100"/>
              <w:bottom w:type="dxa" w:w="80"/>
              <w:right w:type="dxa" w:w="100"/>
            </w:tcMar>
            <w:vAlign w:val="center"/>
          </w:tcPr>
          <w:p>
            <w:r>
              <w:rPr>
                <w:b/>
                <w:bCs/>
                <w:color w:val="000000"/>
                <w:sz w:val="18"/>
                <w:szCs w:val="18"/>
              </w:rPr>
              <w:t xml:space="preserve">3. Migración de aplicación y BD</w:t>
            </w:r>
          </w:p>
        </w:tc>
        <w:tc>
          <w:tcPr>
            <w:tcW w:type="dxa" w:w="5100"/>
            <w:shd w:fill="FFFFFF" w:val="clear"/>
            <w:tcMar>
              <w:top w:type="dxa" w:w="80"/>
              <w:left w:type="dxa" w:w="100"/>
              <w:bottom w:type="dxa" w:w="80"/>
              <w:right w:type="dxa" w:w="100"/>
            </w:tcMar>
            <w:vAlign w:val="center"/>
          </w:tcPr>
          <w:p>
            <w:r>
              <w:rPr>
                <w:b w:val="false"/>
                <w:bCs w:val="false"/>
                <w:color w:val="000000"/>
                <w:sz w:val="18"/>
                <w:szCs w:val="18"/>
              </w:rPr>
              <w:t xml:space="preserve">Instalación de la app legacy, migración de MySQL, pruebas de conectividad básica.</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1 a 2 semanas</w:t>
            </w:r>
          </w:p>
        </w:tc>
      </w:tr>
      <w:tr>
        <w:tc>
          <w:tcPr>
            <w:tcW w:type="dxa" w:w="2600"/>
            <w:shd w:fill="F2F2F2" w:val="clear"/>
            <w:tcMar>
              <w:top w:type="dxa" w:w="80"/>
              <w:left w:type="dxa" w:w="100"/>
              <w:bottom w:type="dxa" w:w="80"/>
              <w:right w:type="dxa" w:w="100"/>
            </w:tcMar>
            <w:vAlign w:val="center"/>
          </w:tcPr>
          <w:p>
            <w:r>
              <w:rPr>
                <w:b/>
                <w:bCs/>
                <w:color w:val="000000"/>
                <w:sz w:val="18"/>
                <w:szCs w:val="18"/>
              </w:rPr>
              <w:t xml:space="preserve">4. Configuración RDS y seguridad</w:t>
            </w:r>
          </w:p>
        </w:tc>
        <w:tc>
          <w:tcPr>
            <w:tcW w:type="dxa" w:w="5100"/>
            <w:shd w:fill="F2F2F2" w:val="clear"/>
            <w:tcMar>
              <w:top w:type="dxa" w:w="80"/>
              <w:left w:type="dxa" w:w="100"/>
              <w:bottom w:type="dxa" w:w="80"/>
              <w:right w:type="dxa" w:w="100"/>
            </w:tcMar>
            <w:vAlign w:val="center"/>
          </w:tcPr>
          <w:p>
            <w:r>
              <w:rPr>
                <w:b w:val="false"/>
                <w:bCs w:val="false"/>
                <w:color w:val="000000"/>
                <w:sz w:val="18"/>
                <w:szCs w:val="18"/>
              </w:rPr>
              <w:t xml:space="preserve">Rol RDSH, RD Licensing (workgroup), perfiles locales, Local GPO, AppLocker, redirección de periféricos.</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 a 2 semanas</w:t>
            </w:r>
          </w:p>
        </w:tc>
      </w:tr>
      <w:tr>
        <w:tc>
          <w:tcPr>
            <w:tcW w:type="dxa" w:w="2600"/>
            <w:shd w:fill="FFFFFF" w:val="clear"/>
            <w:tcMar>
              <w:top w:type="dxa" w:w="80"/>
              <w:left w:type="dxa" w:w="100"/>
              <w:bottom w:type="dxa" w:w="80"/>
              <w:right w:type="dxa" w:w="100"/>
            </w:tcMar>
            <w:vAlign w:val="center"/>
          </w:tcPr>
          <w:p>
            <w:r>
              <w:rPr>
                <w:b/>
                <w:bCs/>
                <w:color w:val="000000"/>
                <w:sz w:val="18"/>
                <w:szCs w:val="18"/>
              </w:rPr>
              <w:t xml:space="preserve">5. Pruebas integrales</w:t>
            </w:r>
          </w:p>
        </w:tc>
        <w:tc>
          <w:tcPr>
            <w:tcW w:type="dxa" w:w="5100"/>
            <w:shd w:fill="FFFFFF" w:val="clear"/>
            <w:tcMar>
              <w:top w:type="dxa" w:w="80"/>
              <w:left w:type="dxa" w:w="100"/>
              <w:bottom w:type="dxa" w:w="80"/>
              <w:right w:type="dxa" w:w="100"/>
            </w:tcMar>
            <w:vAlign w:val="center"/>
          </w:tcPr>
          <w:p>
            <w:r>
              <w:rPr>
                <w:b w:val="false"/>
                <w:bCs w:val="false"/>
                <w:color w:val="000000"/>
                <w:sz w:val="18"/>
                <w:szCs w:val="18"/>
              </w:rPr>
              <w:t xml:space="preserve">Pruebas de carga con 15 sesiones concurrentes, pruebas de biométricos e impresoras, pruebas de restricción de escritorio.</w:t>
            </w:r>
          </w:p>
        </w:tc>
        <w:tc>
          <w:tcPr>
            <w:tcW w:type="dxa" w:w="1900"/>
            <w:shd w:fill="FFFFFF" w:val="clear"/>
            <w:tcMar>
              <w:top w:type="dxa" w:w="80"/>
              <w:left w:type="dxa" w:w="100"/>
              <w:bottom w:type="dxa" w:w="80"/>
              <w:right w:type="dxa" w:w="100"/>
            </w:tcMar>
            <w:vAlign w:val="center"/>
          </w:tcPr>
          <w:p>
            <w:pPr>
              <w:jc w:val="center"/>
            </w:pPr>
            <w:r>
              <w:rPr>
                <w:b w:val="false"/>
                <w:bCs w:val="false"/>
                <w:color w:val="000000"/>
                <w:sz w:val="18"/>
                <w:szCs w:val="18"/>
              </w:rPr>
              <w:t xml:space="preserve">1 semana</w:t>
            </w:r>
          </w:p>
        </w:tc>
      </w:tr>
      <w:tr>
        <w:tc>
          <w:tcPr>
            <w:tcW w:type="dxa" w:w="2600"/>
            <w:shd w:fill="F2F2F2" w:val="clear"/>
            <w:tcMar>
              <w:top w:type="dxa" w:w="80"/>
              <w:left w:type="dxa" w:w="100"/>
              <w:bottom w:type="dxa" w:w="80"/>
              <w:right w:type="dxa" w:w="100"/>
            </w:tcMar>
            <w:vAlign w:val="center"/>
          </w:tcPr>
          <w:p>
            <w:r>
              <w:rPr>
                <w:b/>
                <w:bCs/>
                <w:color w:val="000000"/>
                <w:sz w:val="18"/>
                <w:szCs w:val="18"/>
              </w:rPr>
              <w:t xml:space="preserve">6. Puesta en marcha y garantía</w:t>
            </w:r>
          </w:p>
        </w:tc>
        <w:tc>
          <w:tcPr>
            <w:tcW w:type="dxa" w:w="5100"/>
            <w:shd w:fill="F2F2F2" w:val="clear"/>
            <w:tcMar>
              <w:top w:type="dxa" w:w="80"/>
              <w:left w:type="dxa" w:w="100"/>
              <w:bottom w:type="dxa" w:w="80"/>
              <w:right w:type="dxa" w:w="100"/>
            </w:tcMar>
            <w:vAlign w:val="center"/>
          </w:tcPr>
          <w:p>
            <w:r>
              <w:rPr>
                <w:b w:val="false"/>
                <w:bCs w:val="false"/>
                <w:color w:val="000000"/>
                <w:sz w:val="18"/>
                <w:szCs w:val="18"/>
              </w:rPr>
              <w:t xml:space="preserve">Go-live, acompañamiento y periodo de garantía.</w:t>
            </w:r>
          </w:p>
        </w:tc>
        <w:tc>
          <w:tcPr>
            <w:tcW w:type="dxa" w:w="1900"/>
            <w:shd w:fill="F2F2F2" w:val="clear"/>
            <w:tcMar>
              <w:top w:type="dxa" w:w="80"/>
              <w:left w:type="dxa" w:w="100"/>
              <w:bottom w:type="dxa" w:w="80"/>
              <w:right w:type="dxa" w:w="100"/>
            </w:tcMar>
            <w:vAlign w:val="center"/>
          </w:tcPr>
          <w:p>
            <w:pPr>
              <w:jc w:val="center"/>
            </w:pPr>
            <w:r>
              <w:rPr>
                <w:b w:val="false"/>
                <w:bCs w:val="false"/>
                <w:color w:val="000000"/>
                <w:sz w:val="18"/>
                <w:szCs w:val="18"/>
              </w:rPr>
              <w:t xml:space="preserve">1 semana</w:t>
            </w:r>
          </w:p>
        </w:tc>
      </w:tr>
    </w:tbl>
    <w:p>
      <w:pPr>
        <w:spacing w:after="140"/>
      </w:pPr>
    </w:p>
    <w:p>
      <w:pPr>
        <w:pStyle w:val="Heading1"/>
        <w:pBdr>
          <w:bottom w:val="single" w:color="1F3864" w:sz="6" w:space="4"/>
        </w:pBdr>
        <w:spacing w:after="160" w:before="360"/>
      </w:pPr>
      <w:r>
        <w:rPr>
          <w:b/>
          <w:bCs/>
          <w:color w:val="1F3864"/>
          <w:sz w:val="28"/>
          <w:szCs w:val="28"/>
        </w:rPr>
        <w:t xml:space="preserve">8. Supuestos</w:t>
      </w:r>
    </w:p>
    <w:p>
      <w:pPr>
        <w:pStyle w:val="ListParagraph"/>
        <w:numPr>
          <w:ilvl w:val="0"/>
          <w:numId w:val="2"/>
        </w:numPr>
        <w:spacing w:after="80"/>
      </w:pPr>
      <w:r>
        <w:rPr>
          <w:sz w:val="21"/>
          <w:szCs w:val="21"/>
        </w:rPr>
        <w:t xml:space="preserve">El cliente confirmará el número real de vCPUs/núcleos del servidor actual (el dato de “2.6 GHz” se toma como frecuencia base, no como cantidad de núcleos).</w:t>
      </w:r>
    </w:p>
    <w:p>
      <w:pPr>
        <w:pStyle w:val="ListParagraph"/>
        <w:numPr>
          <w:ilvl w:val="0"/>
          <w:numId w:val="2"/>
        </w:numPr>
        <w:spacing w:after="80"/>
      </w:pPr>
      <w:r>
        <w:rPr>
          <w:sz w:val="21"/>
          <w:szCs w:val="21"/>
        </w:rPr>
        <w:t xml:space="preserve">No se requiere Active Directory; la solución operará en modo grupo de trabajo (workgroup), conforme a lo solicitado por el cliente.</w:t>
      </w:r>
    </w:p>
    <w:p>
      <w:pPr>
        <w:pStyle w:val="ListParagraph"/>
        <w:numPr>
          <w:ilvl w:val="0"/>
          <w:numId w:val="2"/>
        </w:numPr>
        <w:spacing w:after="80"/>
      </w:pPr>
      <w:r>
        <w:rPr>
          <w:sz w:val="21"/>
          <w:szCs w:val="21"/>
        </w:rPr>
        <w:t xml:space="preserve">El cliente cuenta con o adquirirá las licencias de Windows Server CAL y RDS CAL necesarias (o se opta por el modelo PAYG descrito en la sección 10).</w:t>
      </w:r>
    </w:p>
    <w:p>
      <w:pPr>
        <w:pStyle w:val="ListParagraph"/>
        <w:numPr>
          <w:ilvl w:val="0"/>
          <w:numId w:val="2"/>
        </w:numPr>
        <w:spacing w:after="80"/>
      </w:pPr>
      <w:r>
        <w:rPr>
          <w:sz w:val="21"/>
          <w:szCs w:val="21"/>
        </w:rPr>
        <w:t xml:space="preserve">Los dispositivos biométricos (huella y facial) cuentan con soporte de redirección USB sobre RDP o con un agente/SDK compatible con conexión vía TCP/IP; esto se validará en la fase de descubrimiento.</w:t>
      </w:r>
    </w:p>
    <w:p>
      <w:pPr>
        <w:pStyle w:val="ListParagraph"/>
        <w:numPr>
          <w:ilvl w:val="0"/>
          <w:numId w:val="2"/>
        </w:numPr>
        <w:spacing w:after="80"/>
      </w:pPr>
      <w:r>
        <w:rPr>
          <w:sz w:val="21"/>
          <w:szCs w:val="21"/>
        </w:rPr>
        <w:t xml:space="preserve">El ancho de banda y la latencia de la red del cliente hacia GCP son suficientes para sesiones RDS con redirección de periféricos (se recomienda mínimo 1–2 Mbps por sesión activa, sujeto a validación).</w:t>
      </w:r>
    </w:p>
    <w:p>
      <w:pPr>
        <w:pStyle w:val="ListParagraph"/>
        <w:numPr>
          <w:ilvl w:val="0"/>
          <w:numId w:val="2"/>
        </w:numPr>
        <w:spacing w:after="80"/>
      </w:pPr>
      <w:r>
        <w:rPr>
          <w:sz w:val="21"/>
          <w:szCs w:val="21"/>
        </w:rPr>
        <w:t xml:space="preserve">El cliente administra la cuenta de facturación de GCP y autoriza los costos de consumo de la infraestructura.</w:t>
      </w:r>
    </w:p>
    <w:p>
      <w:pPr>
        <w:pStyle w:val="ListParagraph"/>
        <w:numPr>
          <w:ilvl w:val="0"/>
          <w:numId w:val="2"/>
        </w:numPr>
        <w:spacing w:after="80"/>
      </w:pPr>
      <w:r>
        <w:rPr>
          <w:sz w:val="21"/>
          <w:szCs w:val="21"/>
        </w:rPr>
        <w:t xml:space="preserve">La aplicación legacy es compatible con ejecución multiusuario en modo sesión RDS (multi-instancia por usuario) sin bloqueos de licenciamiento propio del software.</w:t>
      </w:r>
    </w:p>
    <w:p>
      <w:pPr>
        <w:pStyle w:val="ListParagraph"/>
        <w:numPr>
          <w:ilvl w:val="0"/>
          <w:numId w:val="2"/>
        </w:numPr>
        <w:spacing w:after="80"/>
      </w:pPr>
      <w:r>
        <w:rPr>
          <w:sz w:val="21"/>
          <w:szCs w:val="21"/>
        </w:rPr>
        <w:t xml:space="preserve">El listado nominal de usuarios y la asignación de los 3 perfiles con biométricos/impresoras será entregado por el cliente antes de iniciar la fase 3.</w:t>
      </w:r>
    </w:p>
    <w:p>
      <w:pPr>
        <w:pStyle w:val="ListParagraph"/>
        <w:numPr>
          <w:ilvl w:val="0"/>
          <w:numId w:val="2"/>
        </w:numPr>
        <w:spacing w:after="80"/>
      </w:pPr>
      <w:r>
        <w:rPr>
          <w:sz w:val="21"/>
          <w:szCs w:val="21"/>
        </w:rPr>
        <w:t xml:space="preserve">Los precios y condiciones de licenciamiento de Microsoft mostrados en este documento son referenciales; deben confirmarse con un partner autorizado (CSP) o con Microsoft al momento de la compra, ya que pueden variar por región y periodo.</w:t>
      </w:r>
    </w:p>
    <w:p>
      <w:pPr>
        <w:pStyle w:val="Heading1"/>
        <w:pBdr>
          <w:bottom w:val="single" w:color="1F3864" w:sz="6" w:space="4"/>
        </w:pBdr>
        <w:spacing w:after="160" w:before="360"/>
      </w:pPr>
      <w:r>
        <w:rPr>
          <w:b/>
          <w:bCs/>
          <w:color w:val="1F3864"/>
          <w:sz w:val="28"/>
          <w:szCs w:val="28"/>
        </w:rPr>
        <w:t xml:space="preserve">9. Matriz de Riesgos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200"/>
        <w:gridCol w:w="41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Riesgo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Probabilidad</w:t>
            </w:r>
          </w:p>
        </w:tc>
        <w:tc>
          <w:tcPr>
            <w:tcW w:type="dxa" w:w="1200"/>
            <w:shd w:fill="1F3864" w:val="clear"/>
            <w:tcMar>
              <w:top w:type="dxa" w:w="80"/>
              <w:left w:type="dxa" w:w="100"/>
              <w:bottom w:type="dxa" w:w="80"/>
              <w:right w:type="dxa" w:w="100"/>
            </w:tcMar>
            <w:vAlign w:val="center"/>
          </w:tcPr>
          <w:p>
            <w:pPr>
              <w:jc w:val="center"/>
            </w:pPr>
            <w:r>
              <w:rPr>
                <w:b/>
                <w:bCs/>
                <w:color w:val="FFFFFF"/>
                <w:sz w:val="19"/>
                <w:szCs w:val="19"/>
              </w:rPr>
              <w:t xml:space="preserve">Impacto</w:t>
            </w:r>
          </w:p>
        </w:tc>
        <w:tc>
          <w:tcPr>
            <w:tcW w:type="dxa" w:w="4100"/>
            <w:shd w:fill="1F3864" w:val="clear"/>
            <w:tcMar>
              <w:top w:type="dxa" w:w="80"/>
              <w:left w:type="dxa" w:w="100"/>
              <w:bottom w:type="dxa" w:w="80"/>
              <w:right w:type="dxa" w:w="100"/>
            </w:tcMar>
            <w:vAlign w:val="center"/>
          </w:tcPr>
          <w:p>
            <w:pPr>
              <w:jc w:val="center"/>
            </w:pPr>
            <w:r>
              <w:rPr>
                <w:b/>
                <w:bCs/>
                <w:color w:val="FFFFFF"/>
                <w:sz w:val="19"/>
                <w:szCs w:val="19"/>
              </w:rPr>
              <w:t xml:space="preserve">Mitigación</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Los dispositivos biométricos (huella/facial) no sean compatibles con redirección USB estándar de RDP.</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Media</w:t>
            </w:r>
          </w:p>
        </w:tc>
        <w:tc>
          <w:tcPr>
            <w:tcW w:type="dxa" w:w="1200"/>
            <w:shd w:fill="F2DCDB" w:val="clear"/>
            <w:tcMar>
              <w:top w:type="dxa" w:w="80"/>
              <w:left w:type="dxa" w:w="100"/>
              <w:bottom w:type="dxa" w:w="80"/>
              <w:right w:type="dxa" w:w="100"/>
            </w:tcMar>
            <w:vAlign w:val="center"/>
          </w:tcPr>
          <w:p>
            <w:pPr>
              <w:jc w:val="center"/>
            </w:pPr>
            <w:r>
              <w:rPr>
                <w:b/>
                <w:bCs/>
                <w:color w:val="000000"/>
                <w:sz w:val="18"/>
                <w:szCs w:val="18"/>
              </w:rPr>
              <w:t xml:space="preserve">Alto</w:t>
            </w:r>
          </w:p>
        </w:tc>
        <w:tc>
          <w:tcPr>
            <w:tcW w:type="dxa" w:w="4100"/>
            <w:tcMar>
              <w:top w:type="dxa" w:w="80"/>
              <w:left w:type="dxa" w:w="100"/>
              <w:bottom w:type="dxa" w:w="80"/>
              <w:right w:type="dxa" w:w="100"/>
            </w:tcMar>
            <w:vAlign w:val="center"/>
          </w:tcPr>
          <w:p>
            <w:r>
              <w:rPr>
                <w:b w:val="false"/>
                <w:bCs w:val="false"/>
                <w:color w:val="000000"/>
                <w:sz w:val="18"/>
                <w:szCs w:val="18"/>
              </w:rPr>
              <w:t xml:space="preserve">Validar en fase de descubrimiento con el fabricante; usar agente/SDK con conexión TCP/IP directa como alternativa; realizar prueba de concepto antes de firmar alcance final.</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Exposición del puerto RDP (3389) directamente a Internet.</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Media</w:t>
            </w:r>
          </w:p>
        </w:tc>
        <w:tc>
          <w:tcPr>
            <w:tcW w:type="dxa" w:w="1200"/>
            <w:shd w:fill="F2DCDB" w:val="clear"/>
            <w:tcMar>
              <w:top w:type="dxa" w:w="80"/>
              <w:left w:type="dxa" w:w="100"/>
              <w:bottom w:type="dxa" w:w="80"/>
              <w:right w:type="dxa" w:w="100"/>
            </w:tcMar>
            <w:vAlign w:val="center"/>
          </w:tcPr>
          <w:p>
            <w:pPr>
              <w:jc w:val="center"/>
            </w:pPr>
            <w:r>
              <w:rPr>
                <w:b/>
                <w:bCs/>
                <w:color w:val="000000"/>
                <w:sz w:val="18"/>
                <w:szCs w:val="18"/>
              </w:rPr>
              <w:t xml:space="preserve">Alto</w:t>
            </w:r>
          </w:p>
        </w:tc>
        <w:tc>
          <w:tcPr>
            <w:tcW w:type="dxa" w:w="4100"/>
            <w:tcMar>
              <w:top w:type="dxa" w:w="80"/>
              <w:left w:type="dxa" w:w="100"/>
              <w:bottom w:type="dxa" w:w="80"/>
              <w:right w:type="dxa" w:w="100"/>
            </w:tcMar>
            <w:vAlign w:val="center"/>
          </w:tcPr>
          <w:p>
            <w:r>
              <w:rPr>
                <w:b w:val="false"/>
                <w:bCs w:val="false"/>
                <w:color w:val="000000"/>
                <w:sz w:val="18"/>
                <w:szCs w:val="18"/>
              </w:rPr>
              <w:t xml:space="preserve">Usar Cloud IAP o VPN en lugar de exponer 3389 públicamente; habilitar MFA/NLA y bloqueo de intentos fallidos.</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Licenciamiento de Windows Server/RDS insuficiente o mal aplicado (incumplimiento).</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Media</w:t>
            </w:r>
          </w:p>
        </w:tc>
        <w:tc>
          <w:tcPr>
            <w:tcW w:type="dxa" w:w="1200"/>
            <w:shd w:fill="F2DCDB" w:val="clear"/>
            <w:tcMar>
              <w:top w:type="dxa" w:w="80"/>
              <w:left w:type="dxa" w:w="100"/>
              <w:bottom w:type="dxa" w:w="80"/>
              <w:right w:type="dxa" w:w="100"/>
            </w:tcMar>
            <w:vAlign w:val="center"/>
          </w:tcPr>
          <w:p>
            <w:pPr>
              <w:jc w:val="center"/>
            </w:pPr>
            <w:r>
              <w:rPr>
                <w:b/>
                <w:bCs/>
                <w:color w:val="000000"/>
                <w:sz w:val="18"/>
                <w:szCs w:val="18"/>
              </w:rPr>
              <w:t xml:space="preserve">Alto</w:t>
            </w:r>
          </w:p>
        </w:tc>
        <w:tc>
          <w:tcPr>
            <w:tcW w:type="dxa" w:w="4100"/>
            <w:tcMar>
              <w:top w:type="dxa" w:w="80"/>
              <w:left w:type="dxa" w:w="100"/>
              <w:bottom w:type="dxa" w:w="80"/>
              <w:right w:type="dxa" w:w="100"/>
            </w:tcMar>
            <w:vAlign w:val="center"/>
          </w:tcPr>
          <w:p>
            <w:r>
              <w:rPr>
                <w:b w:val="false"/>
                <w:bCs w:val="false"/>
                <w:color w:val="000000"/>
                <w:sz w:val="18"/>
                <w:szCs w:val="18"/>
              </w:rPr>
              <w:t xml:space="preserve">Confirmar conteo exacto de usuarios/dispositivos con el cliente; asesoría con partner licenciado (CSP) antes del go-live.</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Concurrencia real supera los 15 usuarios simultáneos estimados.</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Baja-Media</w:t>
            </w:r>
          </w:p>
        </w:tc>
        <w:tc>
          <w:tcPr>
            <w:tcW w:type="dxa" w:w="1200"/>
            <w:shd w:fill="FDE9D9" w:val="clear"/>
            <w:tcMar>
              <w:top w:type="dxa" w:w="80"/>
              <w:left w:type="dxa" w:w="100"/>
              <w:bottom w:type="dxa" w:w="80"/>
              <w:right w:type="dxa" w:w="100"/>
            </w:tcMar>
            <w:vAlign w:val="center"/>
          </w:tcPr>
          <w:p>
            <w:pPr>
              <w:jc w:val="center"/>
            </w:pPr>
            <w:r>
              <w:rPr>
                <w:b/>
                <w:bCs/>
                <w:color w:val="000000"/>
                <w:sz w:val="18"/>
                <w:szCs w:val="18"/>
              </w:rPr>
              <w:t xml:space="preserve">Medio</w:t>
            </w:r>
          </w:p>
        </w:tc>
        <w:tc>
          <w:tcPr>
            <w:tcW w:type="dxa" w:w="4100"/>
            <w:tcMar>
              <w:top w:type="dxa" w:w="80"/>
              <w:left w:type="dxa" w:w="100"/>
              <w:bottom w:type="dxa" w:w="80"/>
              <w:right w:type="dxa" w:w="100"/>
            </w:tcMar>
            <w:vAlign w:val="center"/>
          </w:tcPr>
          <w:p>
            <w:r>
              <w:rPr>
                <w:b w:val="false"/>
                <w:bCs w:val="false"/>
                <w:color w:val="000000"/>
                <w:sz w:val="18"/>
                <w:szCs w:val="18"/>
              </w:rPr>
              <w:t xml:space="preserve">Monitoreo continuo de sesiones; escalamiento vertical sencillo de la VM en GCP (PAYG) sin relicenciamiento por núcleo.</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Latencia o ancho de banda insuficiente afecta la experiencia de los biométricos en sesión remota.</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Media</w:t>
            </w:r>
          </w:p>
        </w:tc>
        <w:tc>
          <w:tcPr>
            <w:tcW w:type="dxa" w:w="1200"/>
            <w:shd w:fill="FDE9D9" w:val="clear"/>
            <w:tcMar>
              <w:top w:type="dxa" w:w="80"/>
              <w:left w:type="dxa" w:w="100"/>
              <w:bottom w:type="dxa" w:w="80"/>
              <w:right w:type="dxa" w:w="100"/>
            </w:tcMar>
            <w:vAlign w:val="center"/>
          </w:tcPr>
          <w:p>
            <w:pPr>
              <w:jc w:val="center"/>
            </w:pPr>
            <w:r>
              <w:rPr>
                <w:b/>
                <w:bCs/>
                <w:color w:val="000000"/>
                <w:sz w:val="18"/>
                <w:szCs w:val="18"/>
              </w:rPr>
              <w:t xml:space="preserve">Medio</w:t>
            </w:r>
          </w:p>
        </w:tc>
        <w:tc>
          <w:tcPr>
            <w:tcW w:type="dxa" w:w="4100"/>
            <w:tcMar>
              <w:top w:type="dxa" w:w="80"/>
              <w:left w:type="dxa" w:w="100"/>
              <w:bottom w:type="dxa" w:w="80"/>
              <w:right w:type="dxa" w:w="100"/>
            </w:tcMar>
            <w:vAlign w:val="center"/>
          </w:tcPr>
          <w:p>
            <w:r>
              <w:rPr>
                <w:b w:val="false"/>
                <w:bCs w:val="false"/>
                <w:color w:val="000000"/>
                <w:sz w:val="18"/>
                <w:szCs w:val="18"/>
              </w:rPr>
              <w:t xml:space="preserve">Prueba de ancho de banda y latencia antes de producción; considerar QoS o mejora de enlace del cliente.</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Administración manual de 20 perfiles locales (sin AD) genera carga operativa y riesgo de inconsistencias.</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Media</w:t>
            </w:r>
          </w:p>
        </w:tc>
        <w:tc>
          <w:tcPr>
            <w:tcW w:type="dxa" w:w="1200"/>
            <w:shd w:fill="FDE9D9" w:val="clear"/>
            <w:tcMar>
              <w:top w:type="dxa" w:w="80"/>
              <w:left w:type="dxa" w:w="100"/>
              <w:bottom w:type="dxa" w:w="80"/>
              <w:right w:type="dxa" w:w="100"/>
            </w:tcMar>
            <w:vAlign w:val="center"/>
          </w:tcPr>
          <w:p>
            <w:pPr>
              <w:jc w:val="center"/>
            </w:pPr>
            <w:r>
              <w:rPr>
                <w:b/>
                <w:bCs/>
                <w:color w:val="000000"/>
                <w:sz w:val="18"/>
                <w:szCs w:val="18"/>
              </w:rPr>
              <w:t xml:space="preserve">Medio</w:t>
            </w:r>
          </w:p>
        </w:tc>
        <w:tc>
          <w:tcPr>
            <w:tcW w:type="dxa" w:w="4100"/>
            <w:tcMar>
              <w:top w:type="dxa" w:w="80"/>
              <w:left w:type="dxa" w:w="100"/>
              <w:bottom w:type="dxa" w:w="80"/>
              <w:right w:type="dxa" w:w="100"/>
            </w:tcMar>
            <w:vAlign w:val="center"/>
          </w:tcPr>
          <w:p>
            <w:r>
              <w:rPr>
                <w:b w:val="false"/>
                <w:bCs w:val="false"/>
                <w:color w:val="000000"/>
                <w:sz w:val="18"/>
                <w:szCs w:val="18"/>
              </w:rPr>
              <w:t xml:space="preserve">Documentar procedimiento estándar de alta/baja de usuarios; evaluar a futuro migración a AD/Entra ID si el ambiente crece.</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Falla o corrupción de la única instancia (punto único de falla, no hay clúster RDS).</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Baja</w:t>
            </w:r>
          </w:p>
        </w:tc>
        <w:tc>
          <w:tcPr>
            <w:tcW w:type="dxa" w:w="1200"/>
            <w:shd w:fill="F2DCDB" w:val="clear"/>
            <w:tcMar>
              <w:top w:type="dxa" w:w="80"/>
              <w:left w:type="dxa" w:w="100"/>
              <w:bottom w:type="dxa" w:w="80"/>
              <w:right w:type="dxa" w:w="100"/>
            </w:tcMar>
            <w:vAlign w:val="center"/>
          </w:tcPr>
          <w:p>
            <w:pPr>
              <w:jc w:val="center"/>
            </w:pPr>
            <w:r>
              <w:rPr>
                <w:b/>
                <w:bCs/>
                <w:color w:val="000000"/>
                <w:sz w:val="18"/>
                <w:szCs w:val="18"/>
              </w:rPr>
              <w:t xml:space="preserve">Alto</w:t>
            </w:r>
          </w:p>
        </w:tc>
        <w:tc>
          <w:tcPr>
            <w:tcW w:type="dxa" w:w="4100"/>
            <w:tcMar>
              <w:top w:type="dxa" w:w="80"/>
              <w:left w:type="dxa" w:w="100"/>
              <w:bottom w:type="dxa" w:w="80"/>
              <w:right w:type="dxa" w:w="100"/>
            </w:tcMar>
            <w:vAlign w:val="center"/>
          </w:tcPr>
          <w:p>
            <w:r>
              <w:rPr>
                <w:b w:val="false"/>
                <w:bCs w:val="false"/>
                <w:color w:val="000000"/>
                <w:sz w:val="18"/>
                <w:szCs w:val="18"/>
              </w:rPr>
              <w:t xml:space="preserve">Snapshots automatizados frecuentes del disco; respaldo lógico de MySQL; plan de recuperación documentado.</w:t>
            </w:r>
          </w:p>
        </w:tc>
      </w:tr>
      <w:tr>
        <w:tc>
          <w:tcPr>
            <w:tcW w:type="dxa" w:w="3000"/>
            <w:tcMar>
              <w:top w:type="dxa" w:w="80"/>
              <w:left w:type="dxa" w:w="100"/>
              <w:bottom w:type="dxa" w:w="80"/>
              <w:right w:type="dxa" w:w="100"/>
            </w:tcMar>
            <w:vAlign w:val="center"/>
          </w:tcPr>
          <w:p>
            <w:r>
              <w:rPr>
                <w:b w:val="false"/>
                <w:bCs w:val="false"/>
                <w:color w:val="000000"/>
                <w:sz w:val="18"/>
                <w:szCs w:val="18"/>
              </w:rPr>
              <w:t xml:space="preserve">Incompatibilidad de la aplicación legacy con Windows Server 2022 o con ejecución multisesión.</w:t>
            </w:r>
          </w:p>
        </w:tc>
        <w:tc>
          <w:tcPr>
            <w:tcW w:type="dxa" w:w="1300"/>
            <w:tcMar>
              <w:top w:type="dxa" w:w="80"/>
              <w:left w:type="dxa" w:w="100"/>
              <w:bottom w:type="dxa" w:w="80"/>
              <w:right w:type="dxa" w:w="100"/>
            </w:tcMar>
            <w:vAlign w:val="center"/>
          </w:tcPr>
          <w:p>
            <w:pPr>
              <w:jc w:val="center"/>
            </w:pPr>
            <w:r>
              <w:rPr>
                <w:b w:val="false"/>
                <w:bCs w:val="false"/>
                <w:color w:val="000000"/>
                <w:sz w:val="18"/>
                <w:szCs w:val="18"/>
              </w:rPr>
              <w:t xml:space="preserve">Baja</w:t>
            </w:r>
          </w:p>
        </w:tc>
        <w:tc>
          <w:tcPr>
            <w:tcW w:type="dxa" w:w="1200"/>
            <w:shd w:fill="F2DCDB" w:val="clear"/>
            <w:tcMar>
              <w:top w:type="dxa" w:w="80"/>
              <w:left w:type="dxa" w:w="100"/>
              <w:bottom w:type="dxa" w:w="80"/>
              <w:right w:type="dxa" w:w="100"/>
            </w:tcMar>
            <w:vAlign w:val="center"/>
          </w:tcPr>
          <w:p>
            <w:pPr>
              <w:jc w:val="center"/>
            </w:pPr>
            <w:r>
              <w:rPr>
                <w:b/>
                <w:bCs/>
                <w:color w:val="000000"/>
                <w:sz w:val="18"/>
                <w:szCs w:val="18"/>
              </w:rPr>
              <w:t xml:space="preserve">Alto</w:t>
            </w:r>
          </w:p>
        </w:tc>
        <w:tc>
          <w:tcPr>
            <w:tcW w:type="dxa" w:w="4100"/>
            <w:tcMar>
              <w:top w:type="dxa" w:w="80"/>
              <w:left w:type="dxa" w:w="100"/>
              <w:bottom w:type="dxa" w:w="80"/>
              <w:right w:type="dxa" w:w="100"/>
            </w:tcMar>
            <w:vAlign w:val="center"/>
          </w:tcPr>
          <w:p>
            <w:r>
              <w:rPr>
                <w:b w:val="false"/>
                <w:bCs w:val="false"/>
                <w:color w:val="000000"/>
                <w:sz w:val="18"/>
                <w:szCs w:val="18"/>
              </w:rPr>
              <w:t xml:space="preserve">Prueba funcional completa de la aplicación en el nuevo servidor antes del corte productivo.</w:t>
            </w:r>
          </w:p>
        </w:tc>
      </w:tr>
    </w:tbl>
    <w:p>
      <w:pPr>
        <w:spacing w:after="140"/>
      </w:pPr>
    </w:p>
    <w:p>
      <w:pPr>
        <w:pStyle w:val="Heading1"/>
        <w:pBdr>
          <w:bottom w:val="single" w:color="1F3864" w:sz="6" w:space="4"/>
        </w:pBdr>
        <w:spacing w:after="160" w:before="360"/>
      </w:pPr>
      <w:r>
        <w:rPr>
          <w:b/>
          <w:bCs/>
          <w:color w:val="1F3864"/>
          <w:sz w:val="28"/>
          <w:szCs w:val="28"/>
        </w:rPr>
        <w:t xml:space="preserve">10. Licenciamiento de Windows Server y Recomendación de Edición</w:t>
      </w:r>
    </w:p>
    <w:p>
      <w:pPr>
        <w:pStyle w:val="Heading2"/>
        <w:spacing w:after="120" w:before="240"/>
      </w:pPr>
      <w:r>
        <w:rPr>
          <w:b/>
          <w:bCs/>
          <w:color w:val="2E74B5"/>
          <w:sz w:val="24"/>
          <w:szCs w:val="24"/>
        </w:rPr>
        <w:t xml:space="preserve">10.1 ¿Datacenter es necesario o conviene una edición menos costosa?</w:t>
      </w:r>
    </w:p>
    <w:p>
      <w:pPr>
        <w:spacing w:after="140" w:line="276"/>
      </w:pPr>
      <w:r>
        <w:rPr>
          <w:sz w:val="21"/>
          <w:szCs w:val="21"/>
        </w:rPr>
        <w:t xml:space="preserve">Windows Server Datacenter está diseñado para escenarios de virtualización intensiva: permite ejecutar un número ilimitado de máquinas virtuales por servidor físico licenciado y habilita funcionalidades orientadas a nube privada (Storage Spaces Direct, Shielded VMs como host, redes definidas por software). Ninguna de estas capacidades es requerida por el caso de uso del cliente, que consiste en una sola instancia (VM) en modo IaaS ejecutando una aplicación y una base de datos.</w:t>
      </w:r>
    </w:p>
    <w:p>
      <w:pPr>
        <w:spacing w:after="140" w:line="276"/>
      </w:pPr>
      <w:r>
        <w:rPr>
          <w:sz w:val="21"/>
          <w:szCs w:val="21"/>
        </w:rPr>
        <w:t xml:space="preserve">Windows Server Standard incluye el rol de Remote Desktop Session Host, RD Licensing, AppLocker y Directiva de Grupo Local —es decir, todas las capacidades técnicas requeridas por esta arquitectura— con derecho de virtualización de hasta 2 instancias por licencia (irrelevante aquí, ya que se despliega 1 sola VM en GCP).</w:t>
      </w:r>
    </w:p>
    <w:p>
      <w:pPr>
        <w:spacing w:after="140" w:line="276"/>
      </w:pPr>
      <w:r>
        <w:rPr>
          <w:sz w:val="21"/>
          <w:szCs w:val="21"/>
        </w:rPr>
        <w:t xml:space="preserve">Recomendación: migrar/desplegar la nueva VM con Windows Server 2022 Standard en lugar de Datacenter. No existe una limitación técnica que impida ejecutar RDS, MySQL, AppLocker o las políticas locales descritas en la sección 3.3 sobre la edición Standard. El cambio de edición representa un ahorro relevante de licenciamiento (la edición Datacenter puede costar del orden de 3 a 4 veces más que Standard por el mismo número de núcleos) sin ninguna pérdida funcional para este caso de uso.</w:t>
      </w:r>
    </w:p>
    <w:p>
      <w:pPr>
        <w:spacing w:after="140" w:line="276"/>
      </w:pPr>
      <w:r>
        <w:rPr>
          <w:sz w:val="21"/>
          <w:szCs w:val="21"/>
        </w:rPr>
        <w:t xml:space="preserve">Nota sobre licenciamiento en GCP: Compute Engine ofrece imágenes de Windows Server en modalidad “pago por uso” (PAYG), donde el costo de la licencia del sistema operativo se incluye en la facturación por hora de la VM, sin necesidad de que el cliente adquiera y administre la licencia del sistema operativo por separado. Esta modalidad ya diferencia el costo entre Standard y Datacenter (Standard es más económico por hora). Alternativamente, existe la modalidad BYOL (traer licencia propia con Software Assurance), pero esta requiere nodos de Sole-Tenancy en GCP, lo que añade complejidad y costo de infraestructura dedicada, por lo que no se recomienda para este ambiente de 20 usuarios.</w:t>
      </w:r>
    </w:p>
    <w:p>
      <w:pPr>
        <w:pStyle w:val="Heading2"/>
        <w:spacing w:after="120" w:before="240"/>
      </w:pPr>
      <w:r>
        <w:rPr>
          <w:b/>
          <w:bCs/>
          <w:color w:val="2E74B5"/>
          <w:sz w:val="24"/>
          <w:szCs w:val="24"/>
        </w:rPr>
        <w:t xml:space="preserve">10.2 Windows Server CALs</w:t>
      </w:r>
    </w:p>
    <w:p>
      <w:pPr>
        <w:spacing w:after="140" w:line="276"/>
      </w:pPr>
      <w:r>
        <w:rPr>
          <w:sz w:val="21"/>
          <w:szCs w:val="21"/>
        </w:rPr>
        <w:t xml:space="preserve">Independientemente de la edición (Standard o Datacenter), todo usuario o dispositivo que se conecte a los servicios del servidor —más allá de las 2 sesiones administrativas gratuitas— requiere una Client Access License (CAL) de Windows Server, además de la propia licencia del sistema operativo.</w:t>
      </w:r>
    </w:p>
    <w:p>
      <w:pPr>
        <w:pStyle w:val="ListParagraph"/>
        <w:numPr>
          <w:ilvl w:val="0"/>
          <w:numId w:val="2"/>
        </w:numPr>
        <w:spacing w:after="80"/>
      </w:pPr>
      <w:r>
        <w:rPr>
          <w:sz w:val="21"/>
          <w:szCs w:val="21"/>
        </w:rPr>
        <w:t xml:space="preserve">Usuarios a licenciar: 20 (15 concurrentes + 5 ocasionales). La CAL no se calcula por concurrencia sino por el total de usuarios/dispositivos únicos que accederán, aunque no lo hagan al mismo tiempo.</w:t>
      </w:r>
    </w:p>
    <w:p>
      <w:pPr>
        <w:pStyle w:val="ListParagraph"/>
        <w:numPr>
          <w:ilvl w:val="0"/>
          <w:numId w:val="2"/>
        </w:numPr>
        <w:spacing w:after="80"/>
      </w:pPr>
      <w:r>
        <w:rPr>
          <w:sz w:val="21"/>
          <w:szCs w:val="21"/>
        </w:rPr>
        <w:t xml:space="preserve">Modalidad recomendada: Windows Server 2022 CAL por Usuario (User CAL), ya que permite que cada uno de los 20 usuarios acceda desde cualquier dispositivo autorizado, lo cual es más flexible para los 5 usuarios ocasionales.</w:t>
      </w:r>
    </w:p>
    <w:p>
      <w:pPr>
        <w:pStyle w:val="ListParagraph"/>
        <w:numPr>
          <w:ilvl w:val="0"/>
          <w:numId w:val="2"/>
        </w:numPr>
        <w:spacing w:after="80"/>
      </w:pPr>
      <w:r>
        <w:rPr>
          <w:sz w:val="21"/>
          <w:szCs w:val="21"/>
        </w:rPr>
        <w:t xml:space="preserve">Cantidad requerida: 20 Windows Server 2022 User CAL.</w:t>
      </w:r>
    </w:p>
    <w:p>
      <w:pPr>
        <w:pStyle w:val="Heading2"/>
        <w:spacing w:after="120" w:before="240"/>
      </w:pPr>
      <w:r>
        <w:rPr>
          <w:b/>
          <w:bCs/>
          <w:color w:val="2E74B5"/>
          <w:sz w:val="24"/>
          <w:szCs w:val="24"/>
        </w:rPr>
        <w:t xml:space="preserve">10.3 Resumen de licenciamiento de Windows Server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00"/>
      </w:tblGrid>
      <w:tr>
        <w:tc>
          <w:tcPr>
            <w:tcW w:type="dxa" w:w="3400"/>
            <w:shd w:fill="1F3864" w:val="clear"/>
            <w:tcMar>
              <w:top w:type="dxa" w:w="80"/>
              <w:left w:type="dxa" w:w="100"/>
              <w:bottom w:type="dxa" w:w="80"/>
              <w:right w:type="dxa" w:w="100"/>
            </w:tcMar>
            <w:vAlign w:val="center"/>
          </w:tcPr>
          <w:p>
            <w:r>
              <w:rPr>
                <w:b/>
                <w:bCs/>
                <w:color w:val="FFFFFF"/>
                <w:sz w:val="19"/>
                <w:szCs w:val="19"/>
              </w:rPr>
              <w:t xml:space="preserve">Concepto</w:t>
            </w:r>
          </w:p>
        </w:tc>
        <w:tc>
          <w:tcPr>
            <w:tcW w:type="dxa" w:w="2600"/>
            <w:shd w:fill="1F3864" w:val="clear"/>
            <w:tcMar>
              <w:top w:type="dxa" w:w="80"/>
              <w:left w:type="dxa" w:w="100"/>
              <w:bottom w:type="dxa" w:w="80"/>
              <w:right w:type="dxa" w:w="100"/>
            </w:tcMar>
            <w:vAlign w:val="center"/>
          </w:tcPr>
          <w:p>
            <w:r>
              <w:rPr>
                <w:b/>
                <w:bCs/>
                <w:color w:val="FFFFFF"/>
                <w:sz w:val="19"/>
                <w:szCs w:val="19"/>
              </w:rPr>
              <w:t xml:space="preserve">Cantidad recomendada</w:t>
            </w:r>
          </w:p>
        </w:tc>
        <w:tc>
          <w:tcPr>
            <w:tcW w:type="dxa" w:w="3600"/>
            <w:shd w:fill="1F3864" w:val="clear"/>
            <w:tcMar>
              <w:top w:type="dxa" w:w="80"/>
              <w:left w:type="dxa" w:w="100"/>
              <w:bottom w:type="dxa" w:w="80"/>
              <w:right w:type="dxa" w:w="100"/>
            </w:tcMar>
            <w:vAlign w:val="center"/>
          </w:tcPr>
          <w:p>
            <w:r>
              <w:rPr>
                <w:b/>
                <w:bCs/>
                <w:color w:val="FFFFFF"/>
                <w:sz w:val="19"/>
                <w:szCs w:val="19"/>
              </w:rPr>
              <w:t xml:space="preserve">Comentario</w:t>
            </w:r>
          </w:p>
        </w:tc>
      </w:tr>
      <w:tr>
        <w:tc>
          <w:tcPr>
            <w:tcW w:type="dxa" w:w="3400"/>
            <w:shd w:fill="FFFFFF" w:val="clear"/>
            <w:tcMar>
              <w:top w:type="dxa" w:w="80"/>
              <w:left w:type="dxa" w:w="100"/>
              <w:bottom w:type="dxa" w:w="80"/>
              <w:right w:type="dxa" w:w="100"/>
            </w:tcMar>
            <w:vAlign w:val="center"/>
          </w:tcPr>
          <w:p>
            <w:r>
              <w:rPr>
                <w:b w:val="false"/>
                <w:bCs w:val="false"/>
                <w:color w:val="000000"/>
                <w:sz w:val="18"/>
                <w:szCs w:val="18"/>
              </w:rPr>
              <w:t xml:space="preserve">Licencia de Windows Server 2022 Standard (VM)</w:t>
            </w:r>
          </w:p>
        </w:tc>
        <w:tc>
          <w:tcPr>
            <w:tcW w:type="dxa" w:w="2600"/>
            <w:shd w:fill="FFFFFF" w:val="clear"/>
            <w:tcMar>
              <w:top w:type="dxa" w:w="80"/>
              <w:left w:type="dxa" w:w="100"/>
              <w:bottom w:type="dxa" w:w="80"/>
              <w:right w:type="dxa" w:w="100"/>
            </w:tcMar>
            <w:vAlign w:val="center"/>
          </w:tcPr>
          <w:p>
            <w:pPr>
              <w:jc w:val="center"/>
            </w:pPr>
            <w:r>
              <w:rPr>
                <w:b/>
                <w:bCs/>
                <w:color w:val="000000"/>
                <w:sz w:val="18"/>
                <w:szCs w:val="18"/>
              </w:rPr>
              <w:t xml:space="preserve">1 (modalidad PAYG en GCP recomendada)</w:t>
            </w:r>
          </w:p>
        </w:tc>
        <w:tc>
          <w:tcPr>
            <w:tcW w:type="dxa" w:w="3600"/>
            <w:shd w:fill="FFFFFF" w:val="clear"/>
            <w:tcMar>
              <w:top w:type="dxa" w:w="80"/>
              <w:left w:type="dxa" w:w="100"/>
              <w:bottom w:type="dxa" w:w="80"/>
              <w:right w:type="dxa" w:w="100"/>
            </w:tcMar>
            <w:vAlign w:val="center"/>
          </w:tcPr>
          <w:p>
            <w:r>
              <w:rPr>
                <w:b w:val="false"/>
                <w:bCs w:val="false"/>
                <w:color w:val="000000"/>
                <w:sz w:val="18"/>
                <w:szCs w:val="18"/>
              </w:rPr>
              <w:t xml:space="preserve">Suficiente para 1 VM en IaaS; evita el sobrecosto de Datacenter.</w:t>
            </w:r>
          </w:p>
        </w:tc>
      </w:tr>
      <w:tr>
        <w:tc>
          <w:tcPr>
            <w:tcW w:type="dxa" w:w="3400"/>
            <w:shd w:fill="F2F2F2" w:val="clear"/>
            <w:tcMar>
              <w:top w:type="dxa" w:w="80"/>
              <w:left w:type="dxa" w:w="100"/>
              <w:bottom w:type="dxa" w:w="80"/>
              <w:right w:type="dxa" w:w="100"/>
            </w:tcMar>
            <w:vAlign w:val="center"/>
          </w:tcPr>
          <w:p>
            <w:r>
              <w:rPr>
                <w:b w:val="false"/>
                <w:bCs w:val="false"/>
                <w:color w:val="000000"/>
                <w:sz w:val="18"/>
                <w:szCs w:val="18"/>
              </w:rPr>
              <w:t xml:space="preserve">Windows Server 2022 CAL (User CAL)</w:t>
            </w:r>
          </w:p>
        </w:tc>
        <w:tc>
          <w:tcPr>
            <w:tcW w:type="dxa" w:w="2600"/>
            <w:shd w:fill="F2F2F2" w:val="clear"/>
            <w:tcMar>
              <w:top w:type="dxa" w:w="80"/>
              <w:left w:type="dxa" w:w="100"/>
              <w:bottom w:type="dxa" w:w="80"/>
              <w:right w:type="dxa" w:w="100"/>
            </w:tcMar>
            <w:vAlign w:val="center"/>
          </w:tcPr>
          <w:p>
            <w:pPr>
              <w:jc w:val="center"/>
            </w:pPr>
            <w:r>
              <w:rPr>
                <w:b/>
                <w:bCs/>
                <w:color w:val="000000"/>
                <w:sz w:val="18"/>
                <w:szCs w:val="18"/>
              </w:rPr>
              <w:t xml:space="preserve">20</w:t>
            </w:r>
          </w:p>
        </w:tc>
        <w:tc>
          <w:tcPr>
            <w:tcW w:type="dxa" w:w="3600"/>
            <w:shd w:fill="F2F2F2" w:val="clear"/>
            <w:tcMar>
              <w:top w:type="dxa" w:w="80"/>
              <w:left w:type="dxa" w:w="100"/>
              <w:bottom w:type="dxa" w:w="80"/>
              <w:right w:type="dxa" w:w="100"/>
            </w:tcMar>
            <w:vAlign w:val="center"/>
          </w:tcPr>
          <w:p>
            <w:r>
              <w:rPr>
                <w:b w:val="false"/>
                <w:bCs w:val="false"/>
                <w:color w:val="000000"/>
                <w:sz w:val="18"/>
                <w:szCs w:val="18"/>
              </w:rPr>
              <w:t xml:space="preserve">Una por cada usuario único que accede al servidor, concurrente u ocasional.</w:t>
            </w:r>
          </w:p>
        </w:tc>
      </w:tr>
    </w:tbl>
    <w:p>
      <w:pPr>
        <w:spacing w:after="140"/>
      </w:pPr>
    </w:p>
    <w:p>
      <w:pPr>
        <w:pStyle w:val="Heading1"/>
        <w:pBdr>
          <w:bottom w:val="single" w:color="1F3864" w:sz="6" w:space="4"/>
        </w:pBdr>
        <w:spacing w:after="160" w:before="360"/>
      </w:pPr>
      <w:r>
        <w:rPr>
          <w:b/>
          <w:bCs/>
          <w:color w:val="1F3864"/>
          <w:sz w:val="28"/>
          <w:szCs w:val="28"/>
        </w:rPr>
        <w:t xml:space="preserve">11. Licenciamiento de Remote Desktop Services (RDS)</w:t>
      </w:r>
    </w:p>
    <w:p>
      <w:pPr>
        <w:spacing w:after="140" w:line="276"/>
      </w:pPr>
      <w:r>
        <w:rPr>
          <w:sz w:val="21"/>
          <w:szCs w:val="21"/>
        </w:rPr>
        <w:t xml:space="preserve">Para publicar la aplicación mediante sesiones de escritorio remoto (RDSH) a más de 2 usuarios administrativos simultáneos, se requieren licencias RDS CAL adicionales a las Windows Server CAL. Estas se instalan y administran a través del rol RD Licensing.</w:t>
      </w:r>
    </w:p>
    <w:p>
      <w:pPr>
        <w:pStyle w:val="Heading2"/>
        <w:spacing w:after="120" w:before="240"/>
      </w:pPr>
      <w:r>
        <w:rPr>
          <w:b/>
          <w:bCs/>
          <w:color w:val="2E74B5"/>
          <w:sz w:val="24"/>
          <w:szCs w:val="24"/>
        </w:rPr>
        <w:t xml:space="preserve">11.1 ¿Cuántas licencias de RDS se requieren?</w:t>
      </w:r>
    </w:p>
    <w:p>
      <w:pPr>
        <w:spacing w:after="140" w:line="276"/>
      </w:pPr>
      <w:r>
        <w:rPr>
          <w:sz w:val="21"/>
          <w:szCs w:val="21"/>
        </w:rPr>
        <w:t xml:space="preserve">La RDS CAL se licencia por el total de usuarios o dispositivos únicos que se conectarán a las sesiones de escritorio remoto, no por el número de conexiones simultáneas. Por lo tanto, para este ambiente de 20 usuarios (15 concurrentes + 5 ocasionales), se requieren licencias para los 20, independientemente de que solo 15 se conecten al mismo tiempo.</w:t>
      </w:r>
    </w:p>
    <w:p>
      <w:pPr>
        <w:pStyle w:val="ListParagraph"/>
        <w:numPr>
          <w:ilvl w:val="0"/>
          <w:numId w:val="2"/>
        </w:numPr>
        <w:spacing w:after="80"/>
      </w:pPr>
      <w:r>
        <w:rPr>
          <w:sz w:val="21"/>
          <w:szCs w:val="21"/>
        </w:rPr>
        <w:t xml:space="preserve">Cantidad mínima requerida: 20 RDS CAL (equivalente al total de usuarios que usarán la aplicación, sean concurrentes u ocasionales).</w:t>
      </w:r>
    </w:p>
    <w:p>
      <w:pPr>
        <w:pStyle w:val="ListParagraph"/>
        <w:numPr>
          <w:ilvl w:val="0"/>
          <w:numId w:val="2"/>
        </w:numPr>
        <w:spacing w:after="80"/>
      </w:pPr>
      <w:r>
        <w:rPr>
          <w:sz w:val="21"/>
          <w:szCs w:val="21"/>
        </w:rPr>
        <w:t xml:space="preserve">Los 5 usuarios “ocasionales” también consumen licencia, aunque se conecten pocas veces; la RDS CAL no es una licencia “por sesión” ni de renta temporal, sino un derecho de acceso permanente asignado a la persona o al dispositivo.</w:t>
      </w:r>
    </w:p>
    <w:p>
      <w:pPr>
        <w:pStyle w:val="Heading2"/>
        <w:spacing w:after="120" w:before="240"/>
      </w:pPr>
      <w:r>
        <w:rPr>
          <w:b/>
          <w:bCs/>
          <w:color w:val="2E74B5"/>
          <w:sz w:val="24"/>
          <w:szCs w:val="24"/>
        </w:rPr>
        <w:t xml:space="preserve">11.2 RDS CAL por Usuario vs. por Dispositivo</w:t>
      </w:r>
    </w:p>
    <w:p>
      <w:pPr>
        <w:spacing w:after="140" w:line="276"/>
      </w:pPr>
      <w:r>
        <w:rPr>
          <w:sz w:val="21"/>
          <w:szCs w:val="21"/>
        </w:rPr>
        <w:t xml:space="preserve">Existen dos modalidades de RDS CAL, y la elección impacta la operación dado que no hay Active Directory:</w:t>
      </w:r>
    </w:p>
    <w:p>
      <w:pPr>
        <w:pStyle w:val="ListParagraph"/>
        <w:numPr>
          <w:ilvl w:val="0"/>
          <w:numId w:val="2"/>
        </w:numPr>
        <w:spacing w:after="80"/>
      </w:pPr>
      <w:r>
        <w:rPr>
          <w:sz w:val="21"/>
          <w:szCs w:val="21"/>
        </w:rPr>
        <w:t xml:space="preserve">RDS User CAL: se asigna a una persona; le permite conectarse desde cualquier dispositivo. En un esquema workgroup (sin AD), el seguimiento del cumplimiento de User CAL no se aplica técnicamente de forma automática (es un modelo de cumplimiento basado en honor/auditoría en cualquier topología), por lo que su gestión recae en un control administrativo manual.</w:t>
      </w:r>
    </w:p>
    <w:p>
      <w:pPr>
        <w:pStyle w:val="ListParagraph"/>
        <w:numPr>
          <w:ilvl w:val="0"/>
          <w:numId w:val="2"/>
        </w:numPr>
        <w:spacing w:after="80"/>
      </w:pPr>
      <w:r>
        <w:rPr>
          <w:sz w:val="21"/>
          <w:szCs w:val="21"/>
        </w:rPr>
        <w:t xml:space="preserve">RDS Device CAL: se asigna a un equipo/estación de trabajo específico; cualquier usuario que se conecte desde ese dispositivo queda cubierto por esa licencia. En modo workgroup, el servidor de RD Licensing sí puede emitir y rastrear automáticamente licencias Device CAL sin necesidad de Active Directory.</w:t>
      </w:r>
    </w:p>
    <w:p>
      <w:pPr>
        <w:spacing w:after="140" w:line="276"/>
      </w:pPr>
      <w:r>
        <w:rPr>
          <w:sz w:val="21"/>
          <w:szCs w:val="21"/>
        </w:rPr>
        <w:t xml:space="preserve">Dado que la arquitectura propuesta en la sección 3.3 plantea “un escritorio por perfil local” (es decir, estaciones/dispositivos relativamente fijos), la modalidad Device CAL se ajusta de forma natural al modelo operativo del cliente y facilita el control en ausencia de AD. Además, si alguno de los 5 usuarios ocasionales comparte una estación de trabajo ya utilizada por otro usuario (en lugar de tener equipo propio), podría cubrirse con la misma Device CAL de esa estación, lo que potencialmente reduce el número total de licencias por debajo de 20.</w:t>
      </w:r>
    </w:p>
    <w:p>
      <w:pPr>
        <w:pStyle w:val="ListParagraph"/>
        <w:numPr>
          <w:ilvl w:val="0"/>
          <w:numId w:val="2"/>
        </w:numPr>
        <w:spacing w:after="80"/>
      </w:pPr>
      <w:r>
        <w:rPr>
          <w:sz w:val="21"/>
          <w:szCs w:val="21"/>
        </w:rPr>
        <w:t xml:space="preserve">Recomendación: confirmar con el cliente el número real de dispositivos/estaciones físicas que se conectarán (puede ser igual o menor a 20 si hay estaciones compartidas por turnos). Con base en la información actual, se dimensiona de forma conservadora en 20 RDS Device CAL; si se confirma que los 5 usuarios ocasionales comparten estaciones ya contempladas, el número podría reducirse.</w:t>
      </w:r>
    </w:p>
    <w:p>
      <w:pPr>
        <w:pStyle w:val="Heading2"/>
        <w:spacing w:after="120" w:before="240"/>
      </w:pPr>
      <w:r>
        <w:rPr>
          <w:b/>
          <w:bCs/>
          <w:color w:val="2E74B5"/>
          <w:sz w:val="24"/>
          <w:szCs w:val="24"/>
        </w:rPr>
        <w:t xml:space="preserve">11.3 Resumen de licenciamiento RDS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00"/>
      </w:tblGrid>
      <w:tr>
        <w:tc>
          <w:tcPr>
            <w:tcW w:type="dxa" w:w="3000"/>
            <w:shd w:fill="1F3864" w:val="clear"/>
            <w:tcMar>
              <w:top w:type="dxa" w:w="80"/>
              <w:left w:type="dxa" w:w="100"/>
              <w:bottom w:type="dxa" w:w="80"/>
              <w:right w:type="dxa" w:w="100"/>
            </w:tcMar>
            <w:vAlign w:val="center"/>
          </w:tcPr>
          <w:p>
            <w:r>
              <w:rPr>
                <w:b/>
                <w:bCs/>
                <w:color w:val="FFFFFF"/>
                <w:sz w:val="19"/>
                <w:szCs w:val="19"/>
              </w:rPr>
              <w:t xml:space="preserve">Concepto</w:t>
            </w:r>
          </w:p>
        </w:tc>
        <w:tc>
          <w:tcPr>
            <w:tcW w:type="dxa" w:w="3600"/>
            <w:shd w:fill="1F3864" w:val="clear"/>
            <w:tcMar>
              <w:top w:type="dxa" w:w="80"/>
              <w:left w:type="dxa" w:w="100"/>
              <w:bottom w:type="dxa" w:w="80"/>
              <w:right w:type="dxa" w:w="100"/>
            </w:tcMar>
            <w:vAlign w:val="center"/>
          </w:tcPr>
          <w:p>
            <w:r>
              <w:rPr>
                <w:b/>
                <w:bCs/>
                <w:color w:val="FFFFFF"/>
                <w:sz w:val="19"/>
                <w:szCs w:val="19"/>
              </w:rPr>
              <w:t xml:space="preserve">Cantidad recomendada</w:t>
            </w:r>
          </w:p>
        </w:tc>
        <w:tc>
          <w:tcPr>
            <w:tcW w:type="dxa" w:w="3000"/>
            <w:shd w:fill="1F3864" w:val="clear"/>
            <w:tcMar>
              <w:top w:type="dxa" w:w="80"/>
              <w:left w:type="dxa" w:w="100"/>
              <w:bottom w:type="dxa" w:w="80"/>
              <w:right w:type="dxa" w:w="100"/>
            </w:tcMar>
            <w:vAlign w:val="center"/>
          </w:tcPr>
          <w:p>
            <w:r>
              <w:rPr>
                <w:b/>
                <w:bCs/>
                <w:color w:val="FFFFFF"/>
                <w:sz w:val="19"/>
                <w:szCs w:val="19"/>
              </w:rPr>
              <w:t xml:space="preserve">Comentario</w:t>
            </w:r>
          </w:p>
        </w:tc>
      </w:tr>
      <w:tr>
        <w:tc>
          <w:tcPr>
            <w:tcW w:type="dxa" w:w="3000"/>
            <w:shd w:fill="FFFFFF" w:val="clear"/>
            <w:tcMar>
              <w:top w:type="dxa" w:w="80"/>
              <w:left w:type="dxa" w:w="100"/>
              <w:bottom w:type="dxa" w:w="80"/>
              <w:right w:type="dxa" w:w="100"/>
            </w:tcMar>
            <w:vAlign w:val="center"/>
          </w:tcPr>
          <w:p>
            <w:r>
              <w:rPr>
                <w:b w:val="false"/>
                <w:bCs w:val="false"/>
                <w:color w:val="000000"/>
                <w:sz w:val="18"/>
                <w:szCs w:val="18"/>
              </w:rPr>
              <w:t xml:space="preserve">RDS CAL</w:t>
            </w:r>
          </w:p>
        </w:tc>
        <w:tc>
          <w:tcPr>
            <w:tcW w:type="dxa" w:w="3600"/>
            <w:shd w:fill="FFFFFF" w:val="clear"/>
            <w:tcMar>
              <w:top w:type="dxa" w:w="80"/>
              <w:left w:type="dxa" w:w="100"/>
              <w:bottom w:type="dxa" w:w="80"/>
              <w:right w:type="dxa" w:w="100"/>
            </w:tcMar>
            <w:vAlign w:val="center"/>
          </w:tcPr>
          <w:p>
            <w:pPr>
              <w:jc w:val="center"/>
            </w:pPr>
            <w:r>
              <w:rPr>
                <w:b/>
                <w:bCs/>
                <w:color w:val="000000"/>
                <w:sz w:val="18"/>
                <w:szCs w:val="18"/>
              </w:rPr>
              <w:t xml:space="preserve">20 (Device CAL recomendada; validar si se reduce por estaciones compartidas)</w:t>
            </w:r>
          </w:p>
        </w:tc>
        <w:tc>
          <w:tcPr>
            <w:tcW w:type="dxa" w:w="3000"/>
            <w:shd w:fill="FFFFFF" w:val="clear"/>
            <w:tcMar>
              <w:top w:type="dxa" w:w="80"/>
              <w:left w:type="dxa" w:w="100"/>
              <w:bottom w:type="dxa" w:w="80"/>
              <w:right w:type="dxa" w:w="100"/>
            </w:tcMar>
            <w:vAlign w:val="center"/>
          </w:tcPr>
          <w:p>
            <w:r>
              <w:rPr>
                <w:b w:val="false"/>
                <w:bCs w:val="false"/>
                <w:color w:val="000000"/>
                <w:sz w:val="18"/>
                <w:szCs w:val="18"/>
              </w:rPr>
              <w:t xml:space="preserve">Se licencia por usuario/dispositivo único, no por concurrencia.</w:t>
            </w:r>
          </w:p>
        </w:tc>
      </w:tr>
      <w:tr>
        <w:tc>
          <w:tcPr>
            <w:tcW w:type="dxa" w:w="3000"/>
            <w:shd w:fill="F2F2F2" w:val="clear"/>
            <w:tcMar>
              <w:top w:type="dxa" w:w="80"/>
              <w:left w:type="dxa" w:w="100"/>
              <w:bottom w:type="dxa" w:w="80"/>
              <w:right w:type="dxa" w:w="100"/>
            </w:tcMar>
            <w:vAlign w:val="center"/>
          </w:tcPr>
          <w:p>
            <w:r>
              <w:rPr>
                <w:b w:val="false"/>
                <w:bCs w:val="false"/>
                <w:color w:val="000000"/>
                <w:sz w:val="18"/>
                <w:szCs w:val="18"/>
              </w:rPr>
              <w:t xml:space="preserve">Servidor RD Licensing</w:t>
            </w:r>
          </w:p>
        </w:tc>
        <w:tc>
          <w:tcPr>
            <w:tcW w:type="dxa" w:w="3600"/>
            <w:shd w:fill="F2F2F2" w:val="clear"/>
            <w:tcMar>
              <w:top w:type="dxa" w:w="80"/>
              <w:left w:type="dxa" w:w="100"/>
              <w:bottom w:type="dxa" w:w="80"/>
              <w:right w:type="dxa" w:w="100"/>
            </w:tcMar>
            <w:vAlign w:val="center"/>
          </w:tcPr>
          <w:p>
            <w:pPr>
              <w:jc w:val="center"/>
            </w:pPr>
            <w:r>
              <w:rPr>
                <w:b/>
                <w:bCs/>
                <w:color w:val="000000"/>
                <w:sz w:val="18"/>
                <w:szCs w:val="18"/>
              </w:rPr>
              <w:t xml:space="preserve">1 (rol sobre la misma VM)</w:t>
            </w:r>
          </w:p>
        </w:tc>
        <w:tc>
          <w:tcPr>
            <w:tcW w:type="dxa" w:w="3000"/>
            <w:shd w:fill="F2F2F2" w:val="clear"/>
            <w:tcMar>
              <w:top w:type="dxa" w:w="80"/>
              <w:left w:type="dxa" w:w="100"/>
              <w:bottom w:type="dxa" w:w="80"/>
              <w:right w:type="dxa" w:w="100"/>
            </w:tcMar>
            <w:vAlign w:val="center"/>
          </w:tcPr>
          <w:p>
            <w:r>
              <w:rPr>
                <w:b w:val="false"/>
                <w:bCs w:val="false"/>
                <w:color w:val="000000"/>
                <w:sz w:val="18"/>
                <w:szCs w:val="18"/>
              </w:rPr>
              <w:t xml:space="preserve">Modo workgroup, sin necesidad de Active Directory.</w:t>
            </w:r>
          </w:p>
        </w:tc>
      </w:tr>
      <w:tr>
        <w:tc>
          <w:tcPr>
            <w:tcW w:type="dxa" w:w="3000"/>
            <w:shd w:fill="FFFFFF" w:val="clear"/>
            <w:tcMar>
              <w:top w:type="dxa" w:w="80"/>
              <w:left w:type="dxa" w:w="100"/>
              <w:bottom w:type="dxa" w:w="80"/>
              <w:right w:type="dxa" w:w="100"/>
            </w:tcMar>
            <w:vAlign w:val="center"/>
          </w:tcPr>
          <w:p>
            <w:r>
              <w:rPr>
                <w:b w:val="false"/>
                <w:bCs w:val="false"/>
                <w:color w:val="000000"/>
                <w:sz w:val="18"/>
                <w:szCs w:val="18"/>
              </w:rPr>
              <w:t xml:space="preserve">Periodo de gracia RDS sin CAL instaladas</w:t>
            </w:r>
          </w:p>
        </w:tc>
        <w:tc>
          <w:tcPr>
            <w:tcW w:type="dxa" w:w="3600"/>
            <w:shd w:fill="FFFFFF" w:val="clear"/>
            <w:tcMar>
              <w:top w:type="dxa" w:w="80"/>
              <w:left w:type="dxa" w:w="100"/>
              <w:bottom w:type="dxa" w:w="80"/>
              <w:right w:type="dxa" w:w="100"/>
            </w:tcMar>
            <w:vAlign w:val="center"/>
          </w:tcPr>
          <w:p>
            <w:pPr>
              <w:jc w:val="center"/>
            </w:pPr>
            <w:r>
              <w:rPr>
                <w:b/>
                <w:bCs/>
                <w:color w:val="000000"/>
                <w:sz w:val="18"/>
                <w:szCs w:val="18"/>
              </w:rPr>
              <w:t xml:space="preserve">120 días (de fábrica, una sola vez)</w:t>
            </w:r>
          </w:p>
        </w:tc>
        <w:tc>
          <w:tcPr>
            <w:tcW w:type="dxa" w:w="3000"/>
            <w:shd w:fill="FFFFFF" w:val="clear"/>
            <w:tcMar>
              <w:top w:type="dxa" w:w="80"/>
              <w:left w:type="dxa" w:w="100"/>
              <w:bottom w:type="dxa" w:w="80"/>
              <w:right w:type="dxa" w:w="100"/>
            </w:tcMar>
            <w:vAlign w:val="center"/>
          </w:tcPr>
          <w:p>
            <w:r>
              <w:rPr>
                <w:b w:val="false"/>
                <w:bCs w:val="false"/>
                <w:color w:val="000000"/>
                <w:sz w:val="18"/>
                <w:szCs w:val="18"/>
              </w:rPr>
              <w:t xml:space="preserve">No sustituye la obligación de adquirir las licencias; solo aplica al primer despliegue.</w:t>
            </w:r>
          </w:p>
        </w:tc>
      </w:tr>
    </w:tbl>
    <w:p>
      <w:pPr>
        <w:spacing w:after="140"/>
      </w:pPr>
    </w:p>
    <w:p>
      <w:pPr>
        <w:spacing w:after="140" w:line="276"/>
      </w:pPr>
      <w:r>
        <w:rPr>
          <w:i/>
          <w:iCs/>
          <w:sz w:val="21"/>
          <w:szCs w:val="21"/>
        </w:rPr>
        <w:t xml:space="preserve">Importante: los precios de lista de Windows Server CAL y RDS CAL no se incluyen en este documento por ser referenciales y variar según región, tipo de cambio y programa de adquisición (Retail, CSP, Open Value); se recomienda cotizar con un partner Microsoft CSP el número exacto de licencias aquí calculado antes de la compra.</w:t>
      </w:r>
    </w:p>
    <w:p>
      <w:pPr>
        <w:pStyle w:val="Heading1"/>
        <w:pBdr>
          <w:bottom w:val="single" w:color="1F3864" w:sz="6" w:space="4"/>
        </w:pBdr>
        <w:spacing w:after="160" w:before="360"/>
      </w:pPr>
      <w:r>
        <w:rPr>
          <w:b/>
          <w:bCs/>
          <w:color w:val="1F3864"/>
          <w:sz w:val="28"/>
          <w:szCs w:val="28"/>
        </w:rPr>
        <w:t xml:space="preserve">12. Resumen de Recomendaciones Clave</w:t>
      </w:r>
    </w:p>
    <w:p>
      <w:pPr>
        <w:pStyle w:val="ListParagraph"/>
        <w:numPr>
          <w:ilvl w:val="0"/>
          <w:numId w:val="2"/>
        </w:numPr>
        <w:spacing w:after="80"/>
      </w:pPr>
      <w:r>
        <w:rPr>
          <w:sz w:val="21"/>
          <w:szCs w:val="21"/>
        </w:rPr>
        <w:t xml:space="preserve">Edición de Windows Server: se recomienda Windows Server 2022 Standard en lugar de Datacenter; no se requiere Datacenter para este caso de uso de una sola VM en IaaS, y el cambio reduce el costo de licenciamiento sin pérdida de funcionalidad.</w:t>
      </w:r>
    </w:p>
    <w:p>
      <w:pPr>
        <w:pStyle w:val="ListParagraph"/>
        <w:numPr>
          <w:ilvl w:val="0"/>
          <w:numId w:val="2"/>
        </w:numPr>
        <w:spacing w:after="80"/>
      </w:pPr>
      <w:r>
        <w:rPr>
          <w:sz w:val="21"/>
          <w:szCs w:val="21"/>
        </w:rPr>
        <w:t xml:space="preserve">Licencias RDS: se requieren 20 RDS CAL (una por cada usuario/dispositivo único, concurrente u ocasional), recomendándose la modalidad Device CAL por alinearse mejor con un esquema “un escritorio por perfil local” sin Active Directory.</w:t>
      </w:r>
    </w:p>
    <w:p>
      <w:pPr>
        <w:pStyle w:val="ListParagraph"/>
        <w:numPr>
          <w:ilvl w:val="0"/>
          <w:numId w:val="2"/>
        </w:numPr>
        <w:spacing w:after="80"/>
      </w:pPr>
      <w:r>
        <w:rPr>
          <w:sz w:val="21"/>
          <w:szCs w:val="21"/>
        </w:rPr>
        <w:t xml:space="preserve">Windows Server CAL: se requieren 20 Windows Server 2022 User CAL, adicionales y obligatorias junto con las RDS CAL.</w:t>
      </w:r>
    </w:p>
    <w:p>
      <w:pPr>
        <w:pStyle w:val="ListParagraph"/>
        <w:numPr>
          <w:ilvl w:val="0"/>
          <w:numId w:val="2"/>
        </w:numPr>
        <w:spacing w:after="80"/>
      </w:pPr>
      <w:r>
        <w:rPr>
          <w:sz w:val="21"/>
          <w:szCs w:val="21"/>
        </w:rPr>
        <w:t xml:space="preserve">Escritorio restringido por perfil sin AD: sí es viable mediante Directiva de Grupo Local por usuario, shell alternativo y AppLocker, logrando que el perfil de consulta solo vea el ícono de la aplicación sin acceso a configuración, exploración de archivos o navegación web.</w:t>
      </w:r>
    </w:p>
    <w:p>
      <w:pPr>
        <w:pStyle w:val="ListParagraph"/>
        <w:numPr>
          <w:ilvl w:val="0"/>
          <w:numId w:val="2"/>
        </w:numPr>
        <w:spacing w:after="80"/>
      </w:pPr>
      <w:r>
        <w:rPr>
          <w:sz w:val="21"/>
          <w:szCs w:val="21"/>
        </w:rPr>
        <w:t xml:space="preserve">Se recomienda validar en la fase de descubrimiento la compatibilidad real de los dispositivos biométricos con redirección RDP, ya que es el principal riesgo técnico identificado en el proyecto.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2026-09-10T05:47:25.831Z</dcterms:created>
  <dcterms:modified xsi:type="dcterms:W3CDTF">2026-09-10T05:47:25.842Z</dcterms:modified>
</cp:coreProperties>
</file>

<file path=docProps/custom.xml><?xml version="1.0" encoding="utf-8"?>
<Properties xmlns="http://schemas.openxmlformats.org/officeDocument/2006/custom-properties" xmlns:vt="http://schemas.openxmlformats.org/officeDocument/2006/docPropsVTypes"/>
</file>