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5f6368"/>
          <w:sz w:val="26"/>
          <w:szCs w:val="26"/>
        </w:rPr>
        <w:t xml:space="preserve">PROPUESTA TÉCNICA</w:t>
      </w:r>
    </w:p>
    <w:p>
      <w:pPr>
        <w:spacing w:after="200" w:before="200"/>
        <w:jc w:val="center"/>
      </w:pPr>
      <w:r>
        <w:rPr>
          <w:b/>
          <w:bCs/>
          <w:color w:val="174EA6"/>
          <w:sz w:val="44"/>
          <w:szCs w:val="44"/>
        </w:rPr>
        <w:t xml:space="preserve">Implementación de Solución Web de 3 Niveles</w:t>
      </w:r>
    </w:p>
    <w:p>
      <w:pPr>
        <w:spacing w:after="600"/>
        <w:jc w:val="center"/>
      </w:pPr>
      <w:r>
        <w:rPr>
          <w:b/>
          <w:bCs/>
          <w:color w:val="1A73E8"/>
          <w:sz w:val="26"/>
          <w:szCs w:val="26"/>
        </w:rPr>
        <w:t xml:space="preserve">Infraestructura en Microsoft Azure — Aplicativo, Base de Datos y Frontend (WAF)</w:t>
      </w:r>
    </w:p>
    <w:p>
      <w:pPr>
        <w:spacing w:after="400"/>
      </w:pPr>
    </w:p>
    <w:p>
      <w:pPr>
        <w:jc w:val="center"/>
      </w:pPr>
      <w:r>
        <w:rPr>
          <w:i/>
          <w:iCs/>
          <w:color w:val="202124"/>
          <w:sz w:val="20"/>
          <w:szCs w:val="20"/>
        </w:rPr>
        <w:t xml:space="preserve">Alcance: oficina principal de 60 usuarios en esquema multisucursal (+3 oficinas)</w:t>
      </w:r>
    </w:p>
    <w:p>
      <w:pPr>
        <w:spacing w:after="1400"/>
      </w:pPr>
    </w:p>
    <w:p>
      <w:pPr>
        <w:jc w:val="center"/>
      </w:pPr>
      <w:r>
        <w:rPr>
          <w:color w:val="5f6368"/>
          <w:sz w:val="19"/>
          <w:szCs w:val="19"/>
        </w:rPr>
        <w:t xml:space="preserve">Versión 1.0</w:t>
      </w:r>
    </w:p>
    <w:p>
      <w:pPr>
        <w:jc w:val="center"/>
      </w:pPr>
      <w:r>
        <w:rPr>
          <w:color w:val="5f6368"/>
          <w:sz w:val="19"/>
          <w:szCs w:val="19"/>
        </w:rPr>
        <w:t xml:space="preserve">Fecha: 27 de agosto de 2026</w:t>
      </w:r>
    </w:p>
    <w:p>
      <w:r>
        <w:br w:type="page"/>
      </w:r>
    </w:p>
    <w:p>
      <w:pPr>
        <w:pStyle w:val="Heading1"/>
        <w:pBdr>
          <w:bottom w:val="single" w:color="174EA6" w:sz="8" w:space="4"/>
        </w:pBdr>
        <w:spacing w:after="200" w:before="400"/>
      </w:pPr>
      <w:r>
        <w:rPr>
          <w:b/>
          <w:bCs/>
          <w:color w:val="174EA6"/>
          <w:sz w:val="30"/>
          <w:szCs w:val="30"/>
        </w:rPr>
        <w:t xml:space="preserve">1. Situación Actual</w:t>
      </w:r>
    </w:p>
    <w:p>
      <w:pPr>
        <w:spacing w:after="160" w:line="276"/>
        <w:jc w:val="both"/>
      </w:pPr>
      <w:r>
        <w:rPr>
          <w:b w:val="false"/>
          <w:bCs w:val="false"/>
          <w:i w:val="false"/>
          <w:iCs w:val="false"/>
          <w:color w:val="202124"/>
          <w:sz w:val="21"/>
          <w:szCs w:val="21"/>
        </w:rPr>
        <w:t xml:space="preserve">El cliente requiere implementar una nueva solución web provista por un proveedor externo (ISV), la cual será utilizada por aproximadamente 60 usuarios concurrentes distribuidos en un esquema multisucursal (más de 3 oficinas). Actualmente no se cuenta con una infraestructura cloud desplegada para esta solución, por lo que es necesario diseñar, dimensionar y desplegar desde cero el ambiente que alojará los tres componentes de la aplicación: base de datos, servidor de aplicación y capa de frontend/publicación.</w:t>
      </w:r>
    </w:p>
    <w:p>
      <w:pPr>
        <w:spacing w:after="160" w:line="276"/>
        <w:jc w:val="both"/>
      </w:pPr>
      <w:r>
        <w:rPr>
          <w:b w:val="false"/>
          <w:bCs w:val="false"/>
          <w:i w:val="false"/>
          <w:iCs w:val="false"/>
          <w:color w:val="202124"/>
          <w:sz w:val="21"/>
          <w:szCs w:val="21"/>
        </w:rPr>
        <w:t xml:space="preserve">El proveedor de la solución ha entregado un requerimiento de infraestructura (cómputo, memoria, almacenamiento y software base) y ha solicitado explícitamente un diseño de 3 niveles con segmentación de red mediante VLANs/subredes aisladas, además de un componente de tipo WAF (reverse proxy) para la publicación segura del tráfico HTTPS hacia Internet.</w:t>
      </w:r>
    </w:p>
    <w:p>
      <w:pPr>
        <w:spacing w:after="160" w:line="276"/>
        <w:jc w:val="both"/>
      </w:pPr>
      <w:r>
        <w:rPr>
          <w:b w:val="false"/>
          <w:bCs w:val="false"/>
          <w:i w:val="false"/>
          <w:iCs w:val="false"/>
          <w:color w:val="202124"/>
          <w:sz w:val="21"/>
          <w:szCs w:val="21"/>
        </w:rPr>
        <w:t xml:space="preserve">Adicionalmente, el cliente ya cuenta con una herramienta de acceso remoto (TC Plus) utilizada actualmente para labores de administración, la cual también utiliza el puerto 443, lo que genera una duda válida respecto a una posible colisión con el mismo puerto que usará la publicación de la aplicación a través del WAF. Este punto se analiza y se resuelve en la sección de Recomendaciones.</w:t>
      </w:r>
    </w:p>
    <w:p>
      <w:pPr>
        <w:pStyle w:val="Heading1"/>
        <w:pBdr>
          <w:bottom w:val="single" w:color="174EA6" w:sz="8" w:space="4"/>
        </w:pBdr>
        <w:spacing w:after="200" w:before="400"/>
      </w:pPr>
      <w:r>
        <w:rPr>
          <w:b/>
          <w:bCs/>
          <w:color w:val="174EA6"/>
          <w:sz w:val="30"/>
          <w:szCs w:val="30"/>
        </w:rPr>
        <w:t xml:space="preserve">2. Objetivos</w:t>
      </w:r>
    </w:p>
    <w:p>
      <w:pPr>
        <w:pStyle w:val="Heading2"/>
        <w:spacing w:after="140" w:before="260"/>
      </w:pPr>
      <w:r>
        <w:rPr>
          <w:b/>
          <w:bCs/>
          <w:color w:val="1A73E8"/>
          <w:sz w:val="24"/>
          <w:szCs w:val="24"/>
        </w:rPr>
        <w:t xml:space="preserve">2.1 Objetivo General</w:t>
      </w:r>
    </w:p>
    <w:p>
      <w:pPr>
        <w:spacing w:after="160" w:line="276"/>
        <w:jc w:val="both"/>
      </w:pPr>
      <w:r>
        <w:rPr>
          <w:b w:val="false"/>
          <w:bCs w:val="false"/>
          <w:i w:val="false"/>
          <w:iCs w:val="false"/>
          <w:color w:val="202124"/>
          <w:sz w:val="21"/>
          <w:szCs w:val="21"/>
        </w:rPr>
        <w:t xml:space="preserve">Diseñar y estimar una arquitectura de infraestructura en la nube de Microsoft Azure que soporte la solución web de 3 niveles (Base de Datos, Aplicativo y Frontend/WAF) requerida por el proveedor externo, garantizando disponibilidad, segmentación de seguridad de red, capacidad para 60 usuarios concurrentes multisucursal, y mecanismos de administración, monitoreo y respaldo.</w:t>
      </w:r>
    </w:p>
    <w:p>
      <w:pPr>
        <w:pStyle w:val="Heading2"/>
        <w:spacing w:after="140" w:before="260"/>
      </w:pPr>
      <w:r>
        <w:rPr>
          <w:b/>
          <w:bCs/>
          <w:color w:val="1A73E8"/>
          <w:sz w:val="24"/>
          <w:szCs w:val="24"/>
        </w:rPr>
        <w:t xml:space="preserve">2.2 Objetivos Específicos</w:t>
      </w:r>
    </w:p>
    <w:p>
      <w:pPr>
        <w:pStyle w:val="ListParagraph"/>
        <w:numPr>
          <w:ilvl w:val="0"/>
          <w:numId w:val="2"/>
        </w:numPr>
        <w:spacing w:after="90" w:line="276"/>
      </w:pPr>
      <w:r>
        <w:rPr>
          <w:color w:val="202124"/>
          <w:sz w:val="21"/>
          <w:szCs w:val="21"/>
        </w:rPr>
        <w:t xml:space="preserve">Dimensionar los recursos de cómputo (vCPU/RAM), almacenamiento y sistema operativo para los servidores de Aplicación y Base de Datos conforme a lo solicitado por el proveedor.</w:t>
      </w:r>
    </w:p>
    <w:p>
      <w:pPr>
        <w:pStyle w:val="ListParagraph"/>
        <w:numPr>
          <w:ilvl w:val="0"/>
          <w:numId w:val="2"/>
        </w:numPr>
        <w:spacing w:after="90" w:line="276"/>
      </w:pPr>
      <w:r>
        <w:rPr>
          <w:color w:val="202124"/>
          <w:sz w:val="21"/>
          <w:szCs w:val="21"/>
        </w:rPr>
        <w:t xml:space="preserve">Diseñar una topología de red segmentada (subredes/VLANs) que aísle la Base de Datos, el Aplicativo, el frontend público (WAF) y la administración/monitoreo/backup.</w:t>
      </w:r>
    </w:p>
    <w:p>
      <w:pPr>
        <w:pStyle w:val="ListParagraph"/>
        <w:numPr>
          <w:ilvl w:val="0"/>
          <w:numId w:val="2"/>
        </w:numPr>
        <w:spacing w:after="90" w:line="276"/>
      </w:pPr>
      <w:r>
        <w:rPr>
          <w:color w:val="202124"/>
          <w:sz w:val="21"/>
          <w:szCs w:val="21"/>
        </w:rPr>
        <w:t xml:space="preserve">Definir el componente de publicación segura (WAF / reverse proxy) que filtre el tráfico HTTPS público (443) hacia la capa de aplicación.</w:t>
      </w:r>
    </w:p>
    <w:p>
      <w:pPr>
        <w:pStyle w:val="ListParagraph"/>
        <w:numPr>
          <w:ilvl w:val="0"/>
          <w:numId w:val="2"/>
        </w:numPr>
        <w:spacing w:after="90" w:line="276"/>
      </w:pPr>
      <w:r>
        <w:rPr>
          <w:color w:val="202124"/>
          <w:sz w:val="21"/>
          <w:szCs w:val="21"/>
        </w:rPr>
        <w:t xml:space="preserve">Establecer las reglas de comunicación entre niveles (NSGs) restringiendo el tráfico únicamente a los puertos requeridos (443 y 1433).</w:t>
      </w:r>
    </w:p>
    <w:p>
      <w:pPr>
        <w:pStyle w:val="ListParagraph"/>
        <w:numPr>
          <w:ilvl w:val="0"/>
          <w:numId w:val="2"/>
        </w:numPr>
        <w:spacing w:after="90" w:line="276"/>
      </w:pPr>
      <w:r>
        <w:rPr>
          <w:color w:val="202124"/>
          <w:sz w:val="21"/>
          <w:szCs w:val="21"/>
        </w:rPr>
        <w:t xml:space="preserve">Evaluar el uso de la herramienta de acceso remoto actual del cliente (TC Plus) frente al esquema de publicación en el puerto 443 y proponer un modelo de administración seguro.</w:t>
      </w:r>
    </w:p>
    <w:p>
      <w:pPr>
        <w:pStyle w:val="ListParagraph"/>
        <w:numPr>
          <w:ilvl w:val="0"/>
          <w:numId w:val="2"/>
        </w:numPr>
        <w:spacing w:after="90" w:line="276"/>
      </w:pPr>
      <w:r>
        <w:rPr>
          <w:color w:val="202124"/>
          <w:sz w:val="21"/>
          <w:szCs w:val="21"/>
        </w:rPr>
        <w:t xml:space="preserve">Estimar el ancho de banda necesario para 60 usuarios concurrentes conectados remotamente desde las sucursales.</w:t>
      </w:r>
    </w:p>
    <w:p>
      <w:pPr>
        <w:pStyle w:val="ListParagraph"/>
        <w:numPr>
          <w:ilvl w:val="0"/>
          <w:numId w:val="2"/>
        </w:numPr>
        <w:spacing w:after="90" w:line="276"/>
      </w:pPr>
      <w:r>
        <w:rPr>
          <w:color w:val="202124"/>
          <w:sz w:val="21"/>
          <w:szCs w:val="21"/>
        </w:rPr>
        <w:t xml:space="preserve">Proveer una estimación de costos mensuales en Azure (calculadora de precios) para presupuestar el proyecto.</w:t>
      </w:r>
    </w:p>
    <w:p>
      <w:pPr>
        <w:pStyle w:val="ListParagraph"/>
        <w:numPr>
          <w:ilvl w:val="0"/>
          <w:numId w:val="2"/>
        </w:numPr>
        <w:spacing w:after="90" w:line="276"/>
      </w:pPr>
      <w:r>
        <w:rPr>
          <w:color w:val="202124"/>
          <w:sz w:val="21"/>
          <w:szCs w:val="21"/>
        </w:rPr>
        <w:t xml:space="preserve">Entregar un plan de trabajo con fases, tiempos estimados y equipo requerido para la implementación.</w:t>
      </w:r>
    </w:p>
    <w:p>
      <w:pPr>
        <w:pStyle w:val="Heading1"/>
        <w:pBdr>
          <w:bottom w:val="single" w:color="174EA6" w:sz="8" w:space="4"/>
        </w:pBdr>
        <w:spacing w:after="200" w:before="400"/>
      </w:pPr>
      <w:r>
        <w:rPr>
          <w:b/>
          <w:bCs/>
          <w:color w:val="174EA6"/>
          <w:sz w:val="30"/>
          <w:szCs w:val="30"/>
        </w:rPr>
        <w:t xml:space="preserve">3. Arquitectura</w:t>
      </w:r>
    </w:p>
    <w:p>
      <w:pPr>
        <w:spacing w:after="160" w:line="276"/>
        <w:jc w:val="both"/>
      </w:pPr>
      <w:r>
        <w:rPr>
          <w:b w:val="false"/>
          <w:bCs w:val="false"/>
          <w:i w:val="false"/>
          <w:iCs w:val="false"/>
          <w:color w:val="202124"/>
          <w:sz w:val="21"/>
          <w:szCs w:val="21"/>
        </w:rPr>
        <w:t xml:space="preserve">La siguiente imagen resume la arquitectura propuesta de 3 niveles sobre una Virtual Network (VNet) de Azure, con subredes dedicadas por función y un componente WAF para la publicación pública.</w:t>
      </w:r>
    </w:p>
    <w:p>
      <w:pPr>
        <w:spacing w:after="120" w:before="120"/>
        <w:jc w:val="center"/>
      </w:pPr>
      <w:r>
        <w:drawing>
          <wp:inline distT="0" distB="0" distL="0" distR="0">
            <wp:extent cx="59055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457700"/>
                    </a:xfrm>
                    <a:prstGeom prst="rect">
                      <a:avLst/>
                    </a:prstGeom>
                  </pic:spPr>
                </pic:pic>
              </a:graphicData>
            </a:graphic>
          </wp:inline>
        </w:drawing>
      </w:r>
    </w:p>
    <w:p>
      <w:pPr>
        <w:spacing w:after="160" w:line="276"/>
        <w:jc w:val="both"/>
      </w:pPr>
      <w:r>
        <w:rPr>
          <w:b w:val="false"/>
          <w:bCs w:val="false"/>
          <w:i/>
          <w:iCs/>
          <w:color w:val="202124"/>
          <w:sz w:val="21"/>
          <w:szCs w:val="21"/>
        </w:rPr>
        <w:t xml:space="preserve">Nota: para escenarios de alta disponibilidad y multisucursal se recomienda complementar este diseño con un segundo Application Gateway/instancia en modo Zonal (Availability Zones) y, si el proveedor lo permite, un segundo nodo de Aplicación en modo activo-pasivo o balanceado internamente.</w:t>
      </w:r>
    </w:p>
    <w:p>
      <w:pPr>
        <w:pStyle w:val="Heading1"/>
        <w:pBdr>
          <w:bottom w:val="single" w:color="174EA6" w:sz="8" w:space="4"/>
        </w:pBdr>
        <w:spacing w:after="200" w:before="400"/>
      </w:pPr>
      <w:r>
        <w:rPr>
          <w:b/>
          <w:bCs/>
          <w:color w:val="174EA6"/>
          <w:sz w:val="30"/>
          <w:szCs w:val="30"/>
        </w:rPr>
        <w:t xml:space="preserve">4. Descripción de la Arquitectura</w:t>
      </w:r>
    </w:p>
    <w:p>
      <w:pPr>
        <w:pStyle w:val="Heading2"/>
        <w:spacing w:after="140" w:before="260"/>
      </w:pPr>
      <w:r>
        <w:rPr>
          <w:b/>
          <w:bCs/>
          <w:color w:val="1A73E8"/>
          <w:sz w:val="24"/>
          <w:szCs w:val="24"/>
        </w:rPr>
        <w:t xml:space="preserve">4.1 Nivel 1 — Frontend / Publicación (DMZ)</w:t>
      </w:r>
    </w:p>
    <w:p>
      <w:pPr>
        <w:spacing w:after="160" w:line="276"/>
        <w:jc w:val="both"/>
      </w:pPr>
      <w:r>
        <w:rPr>
          <w:b w:val="false"/>
          <w:bCs w:val="false"/>
          <w:i w:val="false"/>
          <w:iCs w:val="false"/>
          <w:color w:val="202124"/>
          <w:sz w:val="21"/>
          <w:szCs w:val="21"/>
        </w:rPr>
        <w:t xml:space="preserve">Se propone Azure Application Gateway v2 con Web Application Firewall (WAF_v2) como reverse proxy de publicación. Este componente recibe el tráfico público HTTPS (puerto 443), termina TLS, filtra tráfico malicioso (OWASP Core Rule Set) y reenvía las peticiones hacia el servidor de Aplicación mediante un listener interno. Es el único elemento con exposición a Internet.</w:t>
      </w:r>
    </w:p>
    <w:p>
      <w:pPr>
        <w:pStyle w:val="Heading2"/>
        <w:spacing w:after="140" w:before="260"/>
      </w:pPr>
      <w:r>
        <w:rPr>
          <w:b/>
          <w:bCs/>
          <w:color w:val="1A73E8"/>
          <w:sz w:val="24"/>
          <w:szCs w:val="24"/>
        </w:rPr>
        <w:t xml:space="preserve">4.1.1 IP Pública (PIP)</w:t>
      </w:r>
    </w:p>
    <w:p>
      <w:pPr>
        <w:spacing w:after="160" w:line="276"/>
        <w:jc w:val="both"/>
      </w:pPr>
      <w:r>
        <w:rPr>
          <w:b w:val="false"/>
          <w:bCs w:val="false"/>
          <w:i w:val="false"/>
          <w:iCs w:val="false"/>
          <w:color w:val="202124"/>
          <w:sz w:val="21"/>
          <w:szCs w:val="21"/>
        </w:rPr>
        <w:t xml:space="preserve">Se contempla 1 (una) IP Pública Standard (estática, con zona redundante) asignada exclusivamente al listener del Application Gateway/WAF. Esta es la única IP pública requerida en el diseño: ni el servidor de Aplicación ni el de Base de Datos tienen, ni deben tener, IP pública propia. El nombre DNS/FQDN de la aplicación apuntará a esta IP, y es también donde se emitirá/asociará el certificado TLS de publicación.</w:t>
      </w:r>
    </w:p>
    <w:p>
      <w:pPr>
        <w:pStyle w:val="Heading2"/>
        <w:spacing w:after="140" w:before="260"/>
      </w:pPr>
      <w:r>
        <w:rPr>
          <w:b/>
          <w:bCs/>
          <w:color w:val="1A73E8"/>
          <w:sz w:val="24"/>
          <w:szCs w:val="24"/>
        </w:rPr>
        <w:t xml:space="preserve">4.1.2 Azure VPN Gateway (Site-to-Site) — Recomendado como opcional</w:t>
      </w:r>
    </w:p>
    <w:p>
      <w:pPr>
        <w:spacing w:after="160" w:line="276"/>
        <w:jc w:val="both"/>
      </w:pPr>
      <w:r>
        <w:rPr>
          <w:b w:val="false"/>
          <w:bCs w:val="false"/>
          <w:i w:val="false"/>
          <w:iCs w:val="false"/>
          <w:color w:val="202124"/>
          <w:sz w:val="21"/>
          <w:szCs w:val="21"/>
        </w:rPr>
        <w:t xml:space="preserve">Se evaluó si el proyecto requiere un servicio de VPN, y la recomendación es agregarlo como componente opcional (no obligatorio para que la aplicación funcione, pero sí recomendable dado el esquema multisucursal):</w:t>
      </w:r>
    </w:p>
    <w:p>
      <w:pPr>
        <w:pStyle w:val="ListParagraph"/>
        <w:numPr>
          <w:ilvl w:val="0"/>
          <w:numId w:val="2"/>
        </w:numPr>
        <w:spacing w:after="90" w:line="276"/>
      </w:pPr>
      <w:r>
        <w:rPr>
          <w:color w:val="202124"/>
          <w:sz w:val="21"/>
          <w:szCs w:val="21"/>
        </w:rPr>
        <w:t xml:space="preserve">El acceso funcional de los 60 usuarios a la aplicación NO requiere VPN, ya que se realiza 100% vía HTTPS público a través del WAF (igual que hoy funciona cualquier aplicación web).</w:t>
      </w:r>
    </w:p>
    <w:p>
      <w:pPr>
        <w:pStyle w:val="ListParagraph"/>
        <w:numPr>
          <w:ilvl w:val="0"/>
          <w:numId w:val="2"/>
        </w:numPr>
        <w:spacing w:after="90" w:line="276"/>
      </w:pPr>
      <w:r>
        <w:rPr>
          <w:color w:val="202124"/>
          <w:sz w:val="21"/>
          <w:szCs w:val="21"/>
        </w:rPr>
        <w:t xml:space="preserve">Sí se recomienda un Azure VPN Gateway (Site-to-Site) para el tráfico administrativo y de backend: permite que el personal de TI de cada sucursal llegue a la VNet de Azure por un túnel IPsec privado y cifrado, en lugar de depender únicamente de herramientas de terceros (como TC Plus) o de accesos públicos adicionales.</w:t>
      </w:r>
    </w:p>
    <w:p>
      <w:pPr>
        <w:pStyle w:val="ListParagraph"/>
        <w:numPr>
          <w:ilvl w:val="0"/>
          <w:numId w:val="2"/>
        </w:numPr>
        <w:spacing w:after="90" w:line="276"/>
      </w:pPr>
      <w:r>
        <w:rPr>
          <w:color w:val="202124"/>
          <w:sz w:val="21"/>
          <w:szCs w:val="21"/>
        </w:rPr>
        <w:t xml:space="preserve">Este componente es especialmente útil si, a futuro, la aplicación o el proveedor requieren integración con recursos on-premise de alguna sucursal (Active Directory local, impresión, servidores de archivos, ERP local, etc.), evitando exponer esos recursos a Internet.</w:t>
      </w:r>
    </w:p>
    <w:p>
      <w:pPr>
        <w:pStyle w:val="ListParagraph"/>
        <w:numPr>
          <w:ilvl w:val="0"/>
          <w:numId w:val="2"/>
        </w:numPr>
        <w:spacing w:after="90" w:line="276"/>
      </w:pPr>
      <w:r>
        <w:rPr>
          <w:color w:val="202124"/>
          <w:sz w:val="21"/>
          <w:szCs w:val="21"/>
        </w:rPr>
        <w:t xml:space="preserve">Dimensionamiento sugerido: SKU VpnGw1 (mínimo productivo con redundancia zonal si se requiere), suficiente para tráfico administrativo y de bajo volumen; no está pensado para transportar el tráfico transaccional de los 60 usuarios (ese sigue yendo por el WAF).</w:t>
      </w:r>
    </w:p>
    <w:p>
      <w:pPr>
        <w:pStyle w:val="ListParagraph"/>
        <w:numPr>
          <w:ilvl w:val="0"/>
          <w:numId w:val="2"/>
        </w:numPr>
        <w:spacing w:after="90" w:line="276"/>
      </w:pPr>
      <w:r>
        <w:rPr>
          <w:color w:val="202124"/>
          <w:sz w:val="21"/>
          <w:szCs w:val="21"/>
        </w:rPr>
        <w:t xml:space="preserve">Si el cliente solo tiene 3-4 sucursales y prefiere evitar el costo fijo mensual del VPN Gateway, la alternativa es continuar con TC Plus + Azure Bastion para administración (ver sección 12.2), sin VPN Gateway. Ambos caminos son técnicamente válidos; el VPN Gateway agrega una capa de conectividad privada más 'corporativa' y auditable.</w:t>
      </w:r>
    </w:p>
    <w:p>
      <w:pPr>
        <w:pStyle w:val="Heading2"/>
        <w:spacing w:after="140" w:before="260"/>
      </w:pPr>
      <w:r>
        <w:rPr>
          <w:b/>
          <w:bCs/>
          <w:color w:val="1A73E8"/>
          <w:sz w:val="24"/>
          <w:szCs w:val="24"/>
        </w:rPr>
        <w:t xml:space="preserve">4.2 Nivel 2 — Aplicativo (VLAN App)</w:t>
      </w:r>
    </w:p>
    <w:p>
      <w:pPr>
        <w:spacing w:after="160" w:line="276"/>
        <w:jc w:val="both"/>
      </w:pPr>
      <w:r>
        <w:rPr>
          <w:b w:val="false"/>
          <w:bCs w:val="false"/>
          <w:i w:val="false"/>
          <w:iCs w:val="false"/>
          <w:color w:val="202124"/>
          <w:sz w:val="21"/>
          <w:szCs w:val="21"/>
        </w:rPr>
        <w:t xml:space="preserve">Subred dedicada para la VM del servidor de aplicación (IIS / servicios propios del ISV). El Network Security Group (NSG) de esta subred permite tráfico entrante únicamente desde la subred del Application Gateway (puerto 443/HTTP interno) y permite tráfico saliente hacia la subred de Base de Datos exclusivamente por el puerto 1433 (SQL Server). No se permite ningún otro flujo directo desde o hacia Internet.</w:t>
      </w:r>
    </w:p>
    <w:p>
      <w:pPr>
        <w:pStyle w:val="Heading2"/>
        <w:spacing w:after="140" w:before="260"/>
      </w:pPr>
      <w:r>
        <w:rPr>
          <w:b/>
          <w:bCs/>
          <w:color w:val="1A73E8"/>
          <w:sz w:val="24"/>
          <w:szCs w:val="24"/>
        </w:rPr>
        <w:t xml:space="preserve">4.3 Nivel 3 — Base de Datos (VLAN BD aislada)</w:t>
      </w:r>
    </w:p>
    <w:p>
      <w:pPr>
        <w:spacing w:after="160" w:line="276"/>
        <w:jc w:val="both"/>
      </w:pPr>
      <w:r>
        <w:rPr>
          <w:b w:val="false"/>
          <w:bCs w:val="false"/>
          <w:i w:val="false"/>
          <w:iCs w:val="false"/>
          <w:color w:val="202124"/>
          <w:sz w:val="21"/>
          <w:szCs w:val="21"/>
        </w:rPr>
        <w:t xml:space="preserve">Subred completamente aislada para el motor SQL Server Standard 2025. El NSG solo permite tráfico entrante en el puerto 1433 desde la subred de Aplicación. No tiene ruta de salida a Internet (excepto, de ser necesario, vía NAT Gateway para actualizaciones de Windows Update, controlado por firewall/proxy saliente).</w:t>
      </w:r>
    </w:p>
    <w:p>
      <w:pPr>
        <w:pStyle w:val="Heading2"/>
        <w:spacing w:after="140" w:before="260"/>
      </w:pPr>
      <w:r>
        <w:rPr>
          <w:b/>
          <w:bCs/>
          <w:color w:val="1A73E8"/>
          <w:sz w:val="24"/>
          <w:szCs w:val="24"/>
        </w:rPr>
        <w:t xml:space="preserve">4.4 VLAN de Administración, Monitoreo y Backups</w:t>
      </w:r>
    </w:p>
    <w:p>
      <w:pPr>
        <w:spacing w:after="160" w:line="276"/>
        <w:jc w:val="both"/>
      </w:pPr>
      <w:r>
        <w:rPr>
          <w:b w:val="false"/>
          <w:bCs w:val="false"/>
          <w:i w:val="false"/>
          <w:iCs w:val="false"/>
          <w:color w:val="202124"/>
          <w:sz w:val="21"/>
          <w:szCs w:val="21"/>
        </w:rPr>
        <w:t xml:space="preserve">Se agrega una cuarta subred lógica, no contemplada explícitamente por el proveedor, pero recomendada como buena práctica: aísla el tráfico de gestión (RDP/SSH vía Azure Bastion), la telemetría (Azure Monitor, Log Analytics, Microsoft Defender for Cloud) y los flujos de respaldo (Azure Backup / Recovery Services Vault) del tráfico transaccional de negocio.</w:t>
      </w:r>
    </w:p>
    <w:p>
      <w:pPr>
        <w:pStyle w:val="Heading2"/>
        <w:spacing w:after="140" w:before="260"/>
      </w:pPr>
      <w:r>
        <w:rPr>
          <w:b/>
          <w:bCs/>
          <w:color w:val="1A73E8"/>
          <w:sz w:val="24"/>
          <w:szCs w:val="24"/>
        </w:rPr>
        <w:t xml:space="preserve">4.5 Conectividad y accesos remotos</w:t>
      </w:r>
    </w:p>
    <w:p>
      <w:pPr>
        <w:spacing w:after="160" w:line="276"/>
        <w:jc w:val="both"/>
      </w:pPr>
      <w:r>
        <w:rPr>
          <w:b w:val="false"/>
          <w:bCs w:val="false"/>
          <w:i w:val="false"/>
          <w:iCs w:val="false"/>
          <w:color w:val="202124"/>
          <w:sz w:val="21"/>
          <w:szCs w:val="21"/>
        </w:rPr>
        <w:t xml:space="preserve">Los 60 usuarios concurrentes de las sucursales acceden a la aplicación exclusivamente vía HTTPS (443) a través del Application Gateway/WAF; no requieren VPN site-to-site si la aplicación es 100% web. Si el proveedor requiere protocolos adicionales (RDP/Terminal Services para publicación de escritorio o aplicaciones vía RemoteApp) se recomienda evaluar una VPN Gateway site-to-site por sucursal o un acceso vía Azure Virtual WAN, dado que abrir el puerto 3389 a Internet no es una práctica recomendada.</w:t>
      </w:r>
    </w:p>
    <w:p>
      <w:pPr>
        <w:pStyle w:val="Heading2"/>
        <w:spacing w:after="140" w:before="260"/>
      </w:pPr>
      <w:r>
        <w:rPr>
          <w:b/>
          <w:bCs/>
          <w:color w:val="1A73E8"/>
          <w:sz w:val="24"/>
          <w:szCs w:val="24"/>
        </w:rPr>
        <w:t xml:space="preserve">4.6 Alta disponibilidad y respaldo</w:t>
      </w:r>
    </w:p>
    <w:p>
      <w:pPr>
        <w:pStyle w:val="ListParagraph"/>
        <w:numPr>
          <w:ilvl w:val="0"/>
          <w:numId w:val="2"/>
        </w:numPr>
        <w:spacing w:after="90" w:line="276"/>
      </w:pPr>
      <w:r>
        <w:rPr>
          <w:color w:val="202124"/>
          <w:sz w:val="21"/>
          <w:szCs w:val="21"/>
        </w:rPr>
        <w:t xml:space="preserve">Discos administrados Premium SSD (o Premium SSD v2) para OS, aplicativo, logs y datos de BD.</w:t>
      </w:r>
    </w:p>
    <w:p>
      <w:pPr>
        <w:pStyle w:val="ListParagraph"/>
        <w:numPr>
          <w:ilvl w:val="0"/>
          <w:numId w:val="2"/>
        </w:numPr>
        <w:spacing w:after="90" w:line="276"/>
      </w:pPr>
      <w:r>
        <w:rPr>
          <w:color w:val="202124"/>
          <w:sz w:val="21"/>
          <w:szCs w:val="21"/>
        </w:rPr>
        <w:t xml:space="preserve">Azure Backup con Recovery Services Vault para respaldo de las VMs de Aplicación y Base de Datos (política diaria + retención semanal/mensual).</w:t>
      </w:r>
    </w:p>
    <w:p>
      <w:pPr>
        <w:pStyle w:val="ListParagraph"/>
        <w:numPr>
          <w:ilvl w:val="0"/>
          <w:numId w:val="2"/>
        </w:numPr>
        <w:spacing w:after="90" w:line="276"/>
      </w:pPr>
      <w:r>
        <w:rPr>
          <w:color w:val="202124"/>
          <w:sz w:val="21"/>
          <w:szCs w:val="21"/>
        </w:rPr>
        <w:t xml:space="preserve">Backups nativos de SQL Server (full/diferencial/log) complementarios al respaldo a nivel de VM, para permitir restauración punto-en-el-tiempo.</w:t>
      </w:r>
    </w:p>
    <w:p>
      <w:pPr>
        <w:pStyle w:val="ListParagraph"/>
        <w:numPr>
          <w:ilvl w:val="0"/>
          <w:numId w:val="2"/>
        </w:numPr>
        <w:spacing w:after="90" w:line="276"/>
      </w:pPr>
      <w:r>
        <w:rPr>
          <w:color w:val="202124"/>
          <w:sz w:val="21"/>
          <w:szCs w:val="21"/>
        </w:rPr>
        <w:t xml:space="preserve">Availability Set o Availability Zones para las VMs críticas, sujeto a la región de Azure seleccionada.</w:t>
      </w:r>
    </w:p>
    <w:p>
      <w:pPr>
        <w:pStyle w:val="Heading1"/>
        <w:pBdr>
          <w:bottom w:val="single" w:color="174EA6" w:sz="8" w:space="4"/>
        </w:pBdr>
        <w:spacing w:after="200" w:before="400"/>
      </w:pPr>
      <w:r>
        <w:rPr>
          <w:b/>
          <w:bCs/>
          <w:color w:val="174EA6"/>
          <w:sz w:val="30"/>
          <w:szCs w:val="30"/>
        </w:rPr>
        <w:t xml:space="preserve">5. Alcances</w:t>
      </w:r>
    </w:p>
    <w:p>
      <w:pPr>
        <w:pStyle w:val="ListParagraph"/>
        <w:numPr>
          <w:ilvl w:val="0"/>
          <w:numId w:val="2"/>
        </w:numPr>
        <w:spacing w:after="90" w:line="276"/>
      </w:pPr>
      <w:r>
        <w:rPr>
          <w:color w:val="202124"/>
          <w:sz w:val="21"/>
          <w:szCs w:val="21"/>
        </w:rPr>
        <w:t xml:space="preserve">Diseño de la arquitectura de red de 3 niveles en Azure (VNet, subredes, NSGs) según lo solicitado por el proveedor.</w:t>
      </w:r>
    </w:p>
    <w:p>
      <w:pPr>
        <w:pStyle w:val="ListParagraph"/>
        <w:numPr>
          <w:ilvl w:val="0"/>
          <w:numId w:val="2"/>
        </w:numPr>
        <w:spacing w:after="90" w:line="276"/>
      </w:pPr>
      <w:r>
        <w:rPr>
          <w:color w:val="202124"/>
          <w:sz w:val="21"/>
          <w:szCs w:val="21"/>
        </w:rPr>
        <w:t xml:space="preserve">Aprovisionamiento de 2 máquinas virtuales: Servidor de Aplicación y Servidor de Base de Datos, conforme a las especificaciones técnicas indicadas.</w:t>
      </w:r>
    </w:p>
    <w:p>
      <w:pPr>
        <w:pStyle w:val="ListParagraph"/>
        <w:numPr>
          <w:ilvl w:val="0"/>
          <w:numId w:val="2"/>
        </w:numPr>
        <w:spacing w:after="90" w:line="276"/>
      </w:pPr>
      <w:r>
        <w:rPr>
          <w:color w:val="202124"/>
          <w:sz w:val="21"/>
          <w:szCs w:val="21"/>
        </w:rPr>
        <w:t xml:space="preserve">Asignación y configuración de 1 IP Pública (Standard, estática) para el listener del Application Gateway/WAF.</w:t>
      </w:r>
    </w:p>
    <w:p>
      <w:pPr>
        <w:pStyle w:val="ListParagraph"/>
        <w:numPr>
          <w:ilvl w:val="0"/>
          <w:numId w:val="2"/>
        </w:numPr>
        <w:spacing w:after="90" w:line="276"/>
      </w:pPr>
      <w:r>
        <w:rPr>
          <w:color w:val="202124"/>
          <w:sz w:val="21"/>
          <w:szCs w:val="21"/>
        </w:rPr>
        <w:t xml:space="preserve">Configuración de Azure Application Gateway (WAF_v2) para publicación segura del tráfico HTTPS público.</w:t>
      </w:r>
    </w:p>
    <w:p>
      <w:pPr>
        <w:pStyle w:val="ListParagraph"/>
        <w:numPr>
          <w:ilvl w:val="0"/>
          <w:numId w:val="2"/>
        </w:numPr>
        <w:spacing w:after="90" w:line="276"/>
      </w:pPr>
      <w:r>
        <w:rPr>
          <w:color w:val="202124"/>
          <w:sz w:val="21"/>
          <w:szCs w:val="21"/>
        </w:rPr>
        <w:t xml:space="preserve">Configuración de Azure VPN Gateway (Site-to-Site) para conectividad privada de administración desde las sucursales, incluyendo la configuración de al menos 1 túnel IPsec de referencia (los túneles adicionales por sucursal se cotizan según cantidad final confirmada).</w:t>
      </w:r>
    </w:p>
    <w:p>
      <w:pPr>
        <w:pStyle w:val="ListParagraph"/>
        <w:numPr>
          <w:ilvl w:val="0"/>
          <w:numId w:val="2"/>
        </w:numPr>
        <w:spacing w:after="90" w:line="276"/>
      </w:pPr>
      <w:r>
        <w:rPr>
          <w:color w:val="202124"/>
          <w:sz w:val="21"/>
          <w:szCs w:val="21"/>
        </w:rPr>
        <w:t xml:space="preserve">Configuración de Azure Bastion para acceso administrativo seguro a las VMs (sin exposición de puertos de gestión a Internet).</w:t>
      </w:r>
    </w:p>
    <w:p>
      <w:pPr>
        <w:pStyle w:val="ListParagraph"/>
        <w:numPr>
          <w:ilvl w:val="0"/>
          <w:numId w:val="2"/>
        </w:numPr>
        <w:spacing w:after="90" w:line="276"/>
      </w:pPr>
      <w:r>
        <w:rPr>
          <w:color w:val="202124"/>
          <w:sz w:val="21"/>
          <w:szCs w:val="21"/>
        </w:rPr>
        <w:t xml:space="preserve">Configuración de discos administrados según especificación (OS, aplicativo, logs, datos).</w:t>
      </w:r>
    </w:p>
    <w:p>
      <w:pPr>
        <w:pStyle w:val="ListParagraph"/>
        <w:numPr>
          <w:ilvl w:val="0"/>
          <w:numId w:val="2"/>
        </w:numPr>
        <w:spacing w:after="90" w:line="276"/>
      </w:pPr>
      <w:r>
        <w:rPr>
          <w:color w:val="202124"/>
          <w:sz w:val="21"/>
          <w:szCs w:val="21"/>
        </w:rPr>
        <w:t xml:space="preserve">Instalación de sistema operativo Windows Server 2025 en ambas VMs.</w:t>
      </w:r>
    </w:p>
    <w:p>
      <w:pPr>
        <w:pStyle w:val="ListParagraph"/>
        <w:numPr>
          <w:ilvl w:val="0"/>
          <w:numId w:val="2"/>
        </w:numPr>
        <w:spacing w:after="90" w:line="276"/>
      </w:pPr>
      <w:r>
        <w:rPr>
          <w:color w:val="202124"/>
          <w:sz w:val="21"/>
          <w:szCs w:val="21"/>
        </w:rPr>
        <w:t xml:space="preserve">Instalación y configuración base de SQL Server Standard 2025 en el servidor de Base de Datos (instalación, configuración de instancia, seguridad básica).</w:t>
      </w:r>
    </w:p>
    <w:p>
      <w:pPr>
        <w:pStyle w:val="ListParagraph"/>
        <w:numPr>
          <w:ilvl w:val="0"/>
          <w:numId w:val="2"/>
        </w:numPr>
        <w:spacing w:after="90" w:line="276"/>
      </w:pPr>
      <w:r>
        <w:rPr>
          <w:color w:val="202124"/>
          <w:sz w:val="21"/>
          <w:szCs w:val="21"/>
        </w:rPr>
        <w:t xml:space="preserve">Habilitación de rol de Terminal Services/Escritorio Remoto y licenciamiento CAL correspondiente en el servidor de Aplicación.</w:t>
      </w:r>
    </w:p>
    <w:p>
      <w:pPr>
        <w:pStyle w:val="ListParagraph"/>
        <w:numPr>
          <w:ilvl w:val="0"/>
          <w:numId w:val="2"/>
        </w:numPr>
        <w:spacing w:after="90" w:line="276"/>
      </w:pPr>
      <w:r>
        <w:rPr>
          <w:color w:val="202124"/>
          <w:sz w:val="21"/>
          <w:szCs w:val="21"/>
        </w:rPr>
        <w:t xml:space="preserve">Instalación de MS Office Profesional en el servidor de Aplicación (según especificación del proveedor).</w:t>
      </w:r>
    </w:p>
    <w:p>
      <w:pPr>
        <w:pStyle w:val="ListParagraph"/>
        <w:numPr>
          <w:ilvl w:val="0"/>
          <w:numId w:val="2"/>
        </w:numPr>
        <w:spacing w:after="90" w:line="276"/>
      </w:pPr>
      <w:r>
        <w:rPr>
          <w:color w:val="202124"/>
          <w:sz w:val="21"/>
          <w:szCs w:val="21"/>
        </w:rPr>
        <w:t xml:space="preserve">Configuración de reglas de NSG/firewall entre subredes conforme a la matriz de puertos definida (443 y 1433).</w:t>
      </w:r>
    </w:p>
    <w:p>
      <w:pPr>
        <w:pStyle w:val="ListParagraph"/>
        <w:numPr>
          <w:ilvl w:val="0"/>
          <w:numId w:val="2"/>
        </w:numPr>
        <w:spacing w:after="90" w:line="276"/>
      </w:pPr>
      <w:r>
        <w:rPr>
          <w:color w:val="202124"/>
          <w:sz w:val="21"/>
          <w:szCs w:val="21"/>
        </w:rPr>
        <w:t xml:space="preserve">Configuración de monitoreo básico (Azure Monitor / Log Analytics) y alertas de disponibilidad y consumo de recursos.</w:t>
      </w:r>
    </w:p>
    <w:p>
      <w:pPr>
        <w:pStyle w:val="ListParagraph"/>
        <w:numPr>
          <w:ilvl w:val="0"/>
          <w:numId w:val="2"/>
        </w:numPr>
        <w:spacing w:after="90" w:line="276"/>
      </w:pPr>
      <w:r>
        <w:rPr>
          <w:color w:val="202124"/>
          <w:sz w:val="21"/>
          <w:szCs w:val="21"/>
        </w:rPr>
        <w:t xml:space="preserve">Configuración de respaldo (Azure Backup) para ambas VMs.</w:t>
      </w:r>
    </w:p>
    <w:p>
      <w:pPr>
        <w:pStyle w:val="ListParagraph"/>
        <w:numPr>
          <w:ilvl w:val="0"/>
          <w:numId w:val="2"/>
        </w:numPr>
        <w:spacing w:after="90" w:line="276"/>
      </w:pPr>
      <w:r>
        <w:rPr>
          <w:color w:val="202124"/>
          <w:sz w:val="21"/>
          <w:szCs w:val="21"/>
        </w:rPr>
        <w:t xml:space="preserve">Documentación técnica de la arquitectura implementada (diagrama, IPs, reglas de NSG, credenciales entregadas de forma segura).</w:t>
      </w:r>
    </w:p>
    <w:p>
      <w:pPr>
        <w:pStyle w:val="ListParagraph"/>
        <w:numPr>
          <w:ilvl w:val="0"/>
          <w:numId w:val="2"/>
        </w:numPr>
        <w:spacing w:after="90" w:line="276"/>
      </w:pPr>
      <w:r>
        <w:rPr>
          <w:color w:val="202124"/>
          <w:sz w:val="21"/>
          <w:szCs w:val="21"/>
        </w:rPr>
        <w:t xml:space="preserve">Acompañamiento durante la instalación de la aplicación por parte del proveedor externo, en lo referente a la infraestructura (no al aplicativo en sí).</w:t>
      </w:r>
    </w:p>
    <w:p>
      <w:pPr>
        <w:pStyle w:val="Heading1"/>
        <w:pBdr>
          <w:bottom w:val="single" w:color="174EA6" w:sz="8" w:space="4"/>
        </w:pBdr>
        <w:spacing w:after="200" w:before="400"/>
      </w:pPr>
      <w:r>
        <w:rPr>
          <w:b/>
          <w:bCs/>
          <w:color w:val="174EA6"/>
          <w:sz w:val="30"/>
          <w:szCs w:val="30"/>
        </w:rPr>
        <w:t xml:space="preserve">6. Fuera de Alcance</w:t>
      </w:r>
    </w:p>
    <w:p>
      <w:pPr>
        <w:pStyle w:val="ListParagraph"/>
        <w:numPr>
          <w:ilvl w:val="0"/>
          <w:numId w:val="2"/>
        </w:numPr>
        <w:spacing w:after="90" w:line="276"/>
      </w:pPr>
      <w:r>
        <w:rPr>
          <w:color w:val="202124"/>
          <w:sz w:val="21"/>
          <w:szCs w:val="21"/>
        </w:rPr>
        <w:t xml:space="preserve">Desarrollo, instalación, configuración, licenciamiento o soporte del software aplicativo propio del proveedor externo (ISV).</w:t>
      </w:r>
    </w:p>
    <w:p>
      <w:pPr>
        <w:pStyle w:val="ListParagraph"/>
        <w:numPr>
          <w:ilvl w:val="0"/>
          <w:numId w:val="2"/>
        </w:numPr>
        <w:spacing w:after="90" w:line="276"/>
      </w:pPr>
      <w:r>
        <w:rPr>
          <w:color w:val="202124"/>
          <w:sz w:val="21"/>
          <w:szCs w:val="21"/>
        </w:rPr>
        <w:t xml:space="preserve">Migración de datos históricos hacia la nueva base de datos.</w:t>
      </w:r>
    </w:p>
    <w:p>
      <w:pPr>
        <w:pStyle w:val="ListParagraph"/>
        <w:numPr>
          <w:ilvl w:val="0"/>
          <w:numId w:val="2"/>
        </w:numPr>
        <w:spacing w:after="90" w:line="276"/>
      </w:pPr>
      <w:r>
        <w:rPr>
          <w:color w:val="202124"/>
          <w:sz w:val="21"/>
          <w:szCs w:val="21"/>
        </w:rPr>
        <w:t xml:space="preserve">Pruebas funcionales, de estrés o de rendimiento de la aplicación del proveedor (solo se validará infraestructura: conectividad, recursos, red).</w:t>
      </w:r>
    </w:p>
    <w:p>
      <w:pPr>
        <w:pStyle w:val="ListParagraph"/>
        <w:numPr>
          <w:ilvl w:val="0"/>
          <w:numId w:val="2"/>
        </w:numPr>
        <w:spacing w:after="90" w:line="276"/>
      </w:pPr>
      <w:r>
        <w:rPr>
          <w:color w:val="202124"/>
          <w:sz w:val="21"/>
          <w:szCs w:val="21"/>
        </w:rPr>
        <w:t xml:space="preserve">Configuración de enlaces de Internet dedicados por sucursal (ISP, routers, SD-WAN) — se entregará solo el requerimiento estimado de ancho de banda.</w:t>
      </w:r>
    </w:p>
    <w:p>
      <w:pPr>
        <w:pStyle w:val="ListParagraph"/>
        <w:numPr>
          <w:ilvl w:val="0"/>
          <w:numId w:val="2"/>
        </w:numPr>
        <w:spacing w:after="90" w:line="276"/>
      </w:pPr>
      <w:r>
        <w:rPr>
          <w:color w:val="202124"/>
          <w:sz w:val="21"/>
          <w:szCs w:val="21"/>
        </w:rPr>
        <w:t xml:space="preserve">Configuración de equipos/routers locales en cada sucursal para levantar su extremo del túnel VPN Site-to-Site (se entrega la configuración del lado Azure; el lado sucursal es responsabilidad del cliente/su proveedor de red).</w:t>
      </w:r>
    </w:p>
    <w:p>
      <w:pPr>
        <w:pStyle w:val="ListParagraph"/>
        <w:numPr>
          <w:ilvl w:val="0"/>
          <w:numId w:val="2"/>
        </w:numPr>
        <w:spacing w:after="90" w:line="276"/>
      </w:pPr>
      <w:r>
        <w:rPr>
          <w:color w:val="202124"/>
          <w:sz w:val="21"/>
          <w:szCs w:val="21"/>
        </w:rPr>
        <w:t xml:space="preserve">Soporte y administración de la herramienta de acceso remoto TC Plus (licenciamiento, configuración de agentes en endpoints de usuarios).</w:t>
      </w:r>
    </w:p>
    <w:p>
      <w:pPr>
        <w:pStyle w:val="ListParagraph"/>
        <w:numPr>
          <w:ilvl w:val="0"/>
          <w:numId w:val="2"/>
        </w:numPr>
        <w:spacing w:after="90" w:line="276"/>
      </w:pPr>
      <w:r>
        <w:rPr>
          <w:color w:val="202124"/>
          <w:sz w:val="21"/>
          <w:szCs w:val="21"/>
        </w:rPr>
        <w:t xml:space="preserve">Hardening avanzado o auditoría de cumplimiento normativo específico (PCI-DSS, ISO 27001, etc.), salvo que se contrate como servicio adicional.</w:t>
      </w:r>
    </w:p>
    <w:p>
      <w:pPr>
        <w:pStyle w:val="ListParagraph"/>
        <w:numPr>
          <w:ilvl w:val="0"/>
          <w:numId w:val="2"/>
        </w:numPr>
        <w:spacing w:after="90" w:line="276"/>
      </w:pPr>
      <w:r>
        <w:rPr>
          <w:color w:val="202124"/>
          <w:sz w:val="21"/>
          <w:szCs w:val="21"/>
        </w:rPr>
        <w:t xml:space="preserve">Configuración de Disaster Recovery en una segunda región (Azure Site Recovery) — puede cotizarse como fase adicional.</w:t>
      </w:r>
    </w:p>
    <w:p>
      <w:pPr>
        <w:pStyle w:val="ListParagraph"/>
        <w:numPr>
          <w:ilvl w:val="0"/>
          <w:numId w:val="2"/>
        </w:numPr>
        <w:spacing w:after="90" w:line="276"/>
      </w:pPr>
      <w:r>
        <w:rPr>
          <w:color w:val="202124"/>
          <w:sz w:val="21"/>
          <w:szCs w:val="21"/>
        </w:rPr>
        <w:t xml:space="preserve">Capacitación funcional a usuarios finales sobre el uso de la aplicación.</w:t>
      </w:r>
    </w:p>
    <w:p>
      <w:pPr>
        <w:pStyle w:val="ListParagraph"/>
        <w:numPr>
          <w:ilvl w:val="0"/>
          <w:numId w:val="2"/>
        </w:numPr>
        <w:spacing w:after="90" w:line="276"/>
      </w:pPr>
      <w:r>
        <w:rPr>
          <w:color w:val="202124"/>
          <w:sz w:val="21"/>
          <w:szCs w:val="21"/>
        </w:rPr>
        <w:t xml:space="preserve">Costos de licenciamiento del software del proveedor (aplicativo) y de MS Office / SQL Server bajo modalidad distinta a la aquí estimada.</w:t>
      </w:r>
    </w:p>
    <w:p>
      <w:pPr>
        <w:pStyle w:val="Heading1"/>
        <w:pBdr>
          <w:bottom w:val="single" w:color="174EA6" w:sz="8" w:space="4"/>
        </w:pBdr>
        <w:spacing w:after="200" w:before="400"/>
      </w:pPr>
      <w:r>
        <w:rPr>
          <w:b/>
          <w:bCs/>
          <w:color w:val="174EA6"/>
          <w:sz w:val="30"/>
          <w:szCs w:val="30"/>
        </w:rPr>
        <w:t xml:space="preserve">7. Requerimientos Técnicos</w:t>
      </w:r>
    </w:p>
    <w:p>
      <w:pPr>
        <w:pStyle w:val="Heading2"/>
        <w:spacing w:after="140" w:before="260"/>
      </w:pPr>
      <w:r>
        <w:rPr>
          <w:b/>
          <w:bCs/>
          <w:color w:val="1A73E8"/>
          <w:sz w:val="24"/>
          <w:szCs w:val="24"/>
        </w:rPr>
        <w:t xml:space="preserve">7.1 Servidor de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74EA6" w:val="clear"/>
            <w:tcMar>
              <w:top w:type="dxa" w:w="80"/>
              <w:left w:type="dxa" w:w="100"/>
              <w:bottom w:type="dxa" w:w="80"/>
              <w:right w:type="dxa" w:w="100"/>
            </w:tcMar>
            <w:vAlign w:val="center"/>
          </w:tcPr>
          <w:p>
            <w:pPr>
              <w:jc w:val="left"/>
            </w:pPr>
            <w:r>
              <w:rPr>
                <w:b/>
                <w:bCs/>
                <w:color w:val="FFFFFF"/>
                <w:sz w:val="19"/>
                <w:szCs w:val="19"/>
              </w:rPr>
              <w:t xml:space="preserve">Componente</w:t>
            </w:r>
          </w:p>
        </w:tc>
        <w:tc>
          <w:tcPr>
            <w:tcW w:type="dxa" w:w="6160"/>
            <w:shd w:fill="174EA6" w:val="clear"/>
            <w:tcMar>
              <w:top w:type="dxa" w:w="80"/>
              <w:left w:type="dxa" w:w="100"/>
              <w:bottom w:type="dxa" w:w="80"/>
              <w:right w:type="dxa" w:w="100"/>
            </w:tcMar>
            <w:vAlign w:val="center"/>
          </w:tcPr>
          <w:p>
            <w:pPr>
              <w:jc w:val="left"/>
            </w:pPr>
            <w:r>
              <w:rPr>
                <w:b/>
                <w:bCs/>
                <w:color w:val="FFFFFF"/>
                <w:sz w:val="19"/>
                <w:szCs w:val="19"/>
              </w:rPr>
              <w:t xml:space="preserve">Especificación</w:t>
            </w:r>
          </w:p>
        </w:tc>
      </w:tr>
      <w:tr>
        <w:tc>
          <w:tcPr>
            <w:tcW w:type="dxa" w:w="3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vCPU</w:t>
            </w:r>
          </w:p>
        </w:tc>
        <w:tc>
          <w:tcPr>
            <w:tcW w:type="dxa" w:w="61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2 procesadores de 4 núcleos (8 vCPU / 16 threads con Hyper-Threading)</w:t>
            </w:r>
          </w:p>
        </w:tc>
      </w:tr>
      <w:tr>
        <w:tc>
          <w:tcPr>
            <w:tcW w:type="dxa" w:w="32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Frecuencia</w:t>
            </w:r>
          </w:p>
        </w:tc>
        <w:tc>
          <w:tcPr>
            <w:tcW w:type="dxa" w:w="61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3.3 GHz o superior</w:t>
            </w:r>
          </w:p>
        </w:tc>
      </w:tr>
      <w:tr>
        <w:tc>
          <w:tcPr>
            <w:tcW w:type="dxa" w:w="3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Caché</w:t>
            </w:r>
          </w:p>
        </w:tc>
        <w:tc>
          <w:tcPr>
            <w:tcW w:type="dxa" w:w="61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12 MB o superior</w:t>
            </w:r>
          </w:p>
        </w:tc>
      </w:tr>
      <w:tr>
        <w:tc>
          <w:tcPr>
            <w:tcW w:type="dxa" w:w="32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Memoria RAM</w:t>
            </w:r>
          </w:p>
        </w:tc>
        <w:tc>
          <w:tcPr>
            <w:tcW w:type="dxa" w:w="61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32 GB</w:t>
            </w:r>
          </w:p>
        </w:tc>
      </w:tr>
      <w:tr>
        <w:tc>
          <w:tcPr>
            <w:tcW w:type="dxa" w:w="3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Sistema Operativo</w:t>
            </w:r>
          </w:p>
        </w:tc>
        <w:tc>
          <w:tcPr>
            <w:tcW w:type="dxa" w:w="61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Windows Server 2025 (64 bits)</w:t>
            </w:r>
          </w:p>
        </w:tc>
      </w:tr>
      <w:tr>
        <w:tc>
          <w:tcPr>
            <w:tcW w:type="dxa" w:w="32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Software adicional</w:t>
            </w:r>
          </w:p>
        </w:tc>
        <w:tc>
          <w:tcPr>
            <w:tcW w:type="dxa" w:w="61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MS Office Profesional + Licenciamiento Terminal Services (RDS CALs)</w:t>
            </w:r>
          </w:p>
        </w:tc>
      </w:tr>
      <w:tr>
        <w:tc>
          <w:tcPr>
            <w:tcW w:type="dxa" w:w="3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Disco OS</w:t>
            </w:r>
          </w:p>
        </w:tc>
        <w:tc>
          <w:tcPr>
            <w:tcW w:type="dxa" w:w="61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512 GB (Premium SSD)</w:t>
            </w:r>
          </w:p>
        </w:tc>
      </w:tr>
      <w:tr>
        <w:tc>
          <w:tcPr>
            <w:tcW w:type="dxa" w:w="32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Disco Aplicativo</w:t>
            </w:r>
          </w:p>
        </w:tc>
        <w:tc>
          <w:tcPr>
            <w:tcW w:type="dxa" w:w="61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1 TB (Premium SSD)</w:t>
            </w:r>
          </w:p>
        </w:tc>
      </w:tr>
      <w:tr>
        <w:tc>
          <w:tcPr>
            <w:tcW w:type="dxa" w:w="3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Disco Logs</w:t>
            </w:r>
          </w:p>
        </w:tc>
        <w:tc>
          <w:tcPr>
            <w:tcW w:type="dxa" w:w="61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1 TB (Premium SSD)</w:t>
            </w:r>
          </w:p>
        </w:tc>
      </w:tr>
    </w:tbl>
    <w:p>
      <w:pPr>
        <w:spacing w:after="120"/>
      </w:pPr>
    </w:p>
    <w:p>
      <w:pPr>
        <w:pStyle w:val="Heading2"/>
        <w:spacing w:after="140" w:before="260"/>
      </w:pPr>
      <w:r>
        <w:rPr>
          <w:b/>
          <w:bCs/>
          <w:color w:val="1A73E8"/>
          <w:sz w:val="24"/>
          <w:szCs w:val="24"/>
        </w:rPr>
        <w:t xml:space="preserve">7.2 Servidor de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74EA6" w:val="clear"/>
            <w:tcMar>
              <w:top w:type="dxa" w:w="80"/>
              <w:left w:type="dxa" w:w="100"/>
              <w:bottom w:type="dxa" w:w="80"/>
              <w:right w:type="dxa" w:w="100"/>
            </w:tcMar>
            <w:vAlign w:val="center"/>
          </w:tcPr>
          <w:p>
            <w:pPr>
              <w:jc w:val="left"/>
            </w:pPr>
            <w:r>
              <w:rPr>
                <w:b/>
                <w:bCs/>
                <w:color w:val="FFFFFF"/>
                <w:sz w:val="19"/>
                <w:szCs w:val="19"/>
              </w:rPr>
              <w:t xml:space="preserve">Componente</w:t>
            </w:r>
          </w:p>
        </w:tc>
        <w:tc>
          <w:tcPr>
            <w:tcW w:type="dxa" w:w="6160"/>
            <w:shd w:fill="174EA6" w:val="clear"/>
            <w:tcMar>
              <w:top w:type="dxa" w:w="80"/>
              <w:left w:type="dxa" w:w="100"/>
              <w:bottom w:type="dxa" w:w="80"/>
              <w:right w:type="dxa" w:w="100"/>
            </w:tcMar>
            <w:vAlign w:val="center"/>
          </w:tcPr>
          <w:p>
            <w:pPr>
              <w:jc w:val="left"/>
            </w:pPr>
            <w:r>
              <w:rPr>
                <w:b/>
                <w:bCs/>
                <w:color w:val="FFFFFF"/>
                <w:sz w:val="19"/>
                <w:szCs w:val="19"/>
              </w:rPr>
              <w:t xml:space="preserve">Especificación</w:t>
            </w:r>
          </w:p>
        </w:tc>
      </w:tr>
      <w:tr>
        <w:tc>
          <w:tcPr>
            <w:tcW w:type="dxa" w:w="3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vCPU</w:t>
            </w:r>
          </w:p>
        </w:tc>
        <w:tc>
          <w:tcPr>
            <w:tcW w:type="dxa" w:w="61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2 procesadores de 4 núcleos (8 vCPU)</w:t>
            </w:r>
          </w:p>
        </w:tc>
      </w:tr>
      <w:tr>
        <w:tc>
          <w:tcPr>
            <w:tcW w:type="dxa" w:w="32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Frecuencia</w:t>
            </w:r>
          </w:p>
        </w:tc>
        <w:tc>
          <w:tcPr>
            <w:tcW w:type="dxa" w:w="61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3.0 GHz o superior</w:t>
            </w:r>
          </w:p>
        </w:tc>
      </w:tr>
      <w:tr>
        <w:tc>
          <w:tcPr>
            <w:tcW w:type="dxa" w:w="3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Caché</w:t>
            </w:r>
          </w:p>
        </w:tc>
        <w:tc>
          <w:tcPr>
            <w:tcW w:type="dxa" w:w="61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12 MB o superior</w:t>
            </w:r>
          </w:p>
        </w:tc>
      </w:tr>
      <w:tr>
        <w:tc>
          <w:tcPr>
            <w:tcW w:type="dxa" w:w="32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Memoria RAM</w:t>
            </w:r>
          </w:p>
        </w:tc>
        <w:tc>
          <w:tcPr>
            <w:tcW w:type="dxa" w:w="61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16 GB</w:t>
            </w:r>
          </w:p>
        </w:tc>
      </w:tr>
      <w:tr>
        <w:tc>
          <w:tcPr>
            <w:tcW w:type="dxa" w:w="3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Sistema Operativo</w:t>
            </w:r>
          </w:p>
        </w:tc>
        <w:tc>
          <w:tcPr>
            <w:tcW w:type="dxa" w:w="61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Windows Server 2025 (64 bits)</w:t>
            </w:r>
          </w:p>
        </w:tc>
      </w:tr>
      <w:tr>
        <w:tc>
          <w:tcPr>
            <w:tcW w:type="dxa" w:w="32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Software adicional</w:t>
            </w:r>
          </w:p>
        </w:tc>
        <w:tc>
          <w:tcPr>
            <w:tcW w:type="dxa" w:w="61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MS SQL Server Standard 2025</w:t>
            </w:r>
          </w:p>
        </w:tc>
      </w:tr>
      <w:tr>
        <w:tc>
          <w:tcPr>
            <w:tcW w:type="dxa" w:w="3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Disco OS</w:t>
            </w:r>
          </w:p>
        </w:tc>
        <w:tc>
          <w:tcPr>
            <w:tcW w:type="dxa" w:w="61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512 GB (Premium SSD)</w:t>
            </w:r>
          </w:p>
        </w:tc>
      </w:tr>
      <w:tr>
        <w:tc>
          <w:tcPr>
            <w:tcW w:type="dxa" w:w="32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Disco de Base de Datos</w:t>
            </w:r>
          </w:p>
        </w:tc>
        <w:tc>
          <w:tcPr>
            <w:tcW w:type="dxa" w:w="61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2 TB (Premium SSD o Premium SSD v2)</w:t>
            </w:r>
          </w:p>
        </w:tc>
      </w:tr>
      <w:tr>
        <w:tc>
          <w:tcPr>
            <w:tcW w:type="dxa" w:w="3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Disco de Logs (BD)</w:t>
            </w:r>
          </w:p>
        </w:tc>
        <w:tc>
          <w:tcPr>
            <w:tcW w:type="dxa" w:w="61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1 TB (recomendado separar logs de transacciones del disco de datos)</w:t>
            </w:r>
          </w:p>
        </w:tc>
      </w:tr>
    </w:tbl>
    <w:p>
      <w:pPr>
        <w:spacing w:after="120"/>
      </w:pPr>
    </w:p>
    <w:p>
      <w:pPr>
        <w:pStyle w:val="Heading2"/>
        <w:spacing w:after="140" w:before="260"/>
      </w:pPr>
      <w:r>
        <w:rPr>
          <w:b/>
          <w:bCs/>
          <w:color w:val="1A73E8"/>
          <w:sz w:val="24"/>
          <w:szCs w:val="24"/>
        </w:rPr>
        <w:t xml:space="preserve">7.3 Recursos de Red (IP Pública y Conectividad)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shd w:fill="174EA6" w:val="clear"/>
            <w:tcMar>
              <w:top w:type="dxa" w:w="80"/>
              <w:left w:type="dxa" w:w="100"/>
              <w:bottom w:type="dxa" w:w="80"/>
              <w:right w:type="dxa" w:w="100"/>
            </w:tcMar>
            <w:vAlign w:val="center"/>
          </w:tcPr>
          <w:p>
            <w:pPr>
              <w:jc w:val="left"/>
            </w:pPr>
            <w:r>
              <w:rPr>
                <w:b/>
                <w:bCs/>
                <w:color w:val="FFFFFF"/>
                <w:sz w:val="19"/>
                <w:szCs w:val="19"/>
              </w:rPr>
              <w:t xml:space="preserve">Recurso</w:t>
            </w:r>
          </w:p>
        </w:tc>
        <w:tc>
          <w:tcPr>
            <w:tcW w:type="dxa" w:w="2400"/>
            <w:shd w:fill="174EA6" w:val="clear"/>
            <w:tcMar>
              <w:top w:type="dxa" w:w="80"/>
              <w:left w:type="dxa" w:w="100"/>
              <w:bottom w:type="dxa" w:w="80"/>
              <w:right w:type="dxa" w:w="100"/>
            </w:tcMar>
            <w:vAlign w:val="center"/>
          </w:tcPr>
          <w:p>
            <w:pPr>
              <w:jc w:val="left"/>
            </w:pPr>
            <w:r>
              <w:rPr>
                <w:b/>
                <w:bCs/>
                <w:color w:val="FFFFFF"/>
                <w:sz w:val="19"/>
                <w:szCs w:val="19"/>
              </w:rPr>
              <w:t xml:space="preserve">Cantidad</w:t>
            </w:r>
          </w:p>
        </w:tc>
        <w:tc>
          <w:tcPr>
            <w:tcW w:type="dxa" w:w="4160"/>
            <w:shd w:fill="174EA6" w:val="clear"/>
            <w:tcMar>
              <w:top w:type="dxa" w:w="80"/>
              <w:left w:type="dxa" w:w="100"/>
              <w:bottom w:type="dxa" w:w="80"/>
              <w:right w:type="dxa" w:w="100"/>
            </w:tcMar>
            <w:vAlign w:val="center"/>
          </w:tcPr>
          <w:p>
            <w:pPr>
              <w:jc w:val="left"/>
            </w:pPr>
            <w:r>
              <w:rPr>
                <w:b/>
                <w:bCs/>
                <w:color w:val="FFFFFF"/>
                <w:sz w:val="19"/>
                <w:szCs w:val="19"/>
              </w:rPr>
              <w:t xml:space="preserve">Especificación / Notas</w:t>
            </w:r>
          </w:p>
        </w:tc>
      </w:tr>
      <w:tr>
        <w:tc>
          <w:tcPr>
            <w:tcW w:type="dxa" w:w="28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IP Pública (PIP)</w:t>
            </w:r>
          </w:p>
        </w:tc>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1</w:t>
            </w:r>
          </w:p>
        </w:tc>
        <w:tc>
          <w:tcPr>
            <w:tcW w:type="dxa" w:w="41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SKU Standard, estática, zona-redundante. Asignada únicamente al listener del Application Gateway/WAF. Ningún servidor de Aplicación o BD tiene IP pública propia.</w:t>
            </w:r>
          </w:p>
        </w:tc>
      </w:tr>
      <w:tr>
        <w:tc>
          <w:tcPr>
            <w:tcW w:type="dxa" w:w="28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Azure VPN Gateway (Site-to-Site)</w:t>
            </w:r>
          </w:p>
        </w:tc>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1 (opcional/recomendado)</w:t>
            </w:r>
          </w:p>
        </w:tc>
        <w:tc>
          <w:tcPr>
            <w:tcW w:type="dxa" w:w="41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SKU VpnGw1, para conectividad privada de administración/backend entre sucursales y la VNet de Azure. No transporta el tráfico de los 60 usuarios hacia la aplicación (eso va por el WAF/PIP).</w:t>
            </w:r>
          </w:p>
        </w:tc>
      </w:tr>
      <w:tr>
        <w:tc>
          <w:tcPr>
            <w:tcW w:type="dxa" w:w="28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Túneles IPsec S2S</w:t>
            </w:r>
          </w:p>
        </w:tc>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1 por sucursal (a confirmar)</w:t>
            </w:r>
          </w:p>
        </w:tc>
        <w:tc>
          <w:tcPr>
            <w:tcW w:type="dxa" w:w="41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Cada sucursal que requiera acceso administrativo privado necesita su propio túnel y un dispositivo VPN/router compatible en su extremo.</w:t>
            </w:r>
          </w:p>
        </w:tc>
      </w:tr>
      <w:tr>
        <w:tc>
          <w:tcPr>
            <w:tcW w:type="dxa" w:w="28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Azure Bastion</w:t>
            </w:r>
          </w:p>
        </w:tc>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1</w:t>
            </w:r>
          </w:p>
        </w:tc>
        <w:tc>
          <w:tcPr>
            <w:tcW w:type="dxa" w:w="41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SKU Standard. Acceso RDP/SSH administrativo vía Azure Portal (HTTPS 443), sin exponer puertos de gestión a Internet.</w:t>
            </w:r>
          </w:p>
        </w:tc>
      </w:tr>
    </w:tbl>
    <w:p>
      <w:pPr>
        <w:spacing w:after="120"/>
      </w:pPr>
    </w:p>
    <w:p>
      <w:pPr>
        <w:pStyle w:val="Heading2"/>
        <w:spacing w:after="140" w:before="260"/>
      </w:pPr>
      <w:r>
        <w:rPr>
          <w:b/>
          <w:bCs/>
          <w:color w:val="1A73E8"/>
          <w:sz w:val="24"/>
          <w:szCs w:val="24"/>
        </w:rPr>
        <w:t xml:space="preserve">7.4 Matriz de comunicación entre niveles (NSG)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rPr>
          <w:tblHeader/>
        </w:trPr>
        <w:tc>
          <w:tcPr>
            <w:tcW w:type="dxa" w:w="2400"/>
            <w:shd w:fill="174EA6" w:val="clear"/>
            <w:tcMar>
              <w:top w:type="dxa" w:w="80"/>
              <w:left w:type="dxa" w:w="100"/>
              <w:bottom w:type="dxa" w:w="80"/>
              <w:right w:type="dxa" w:w="100"/>
            </w:tcMar>
            <w:vAlign w:val="center"/>
          </w:tcPr>
          <w:p>
            <w:pPr>
              <w:jc w:val="left"/>
            </w:pPr>
            <w:r>
              <w:rPr>
                <w:b/>
                <w:bCs/>
                <w:color w:val="FFFFFF"/>
                <w:sz w:val="19"/>
                <w:szCs w:val="19"/>
              </w:rPr>
              <w:t xml:space="preserve">Origen</w:t>
            </w:r>
          </w:p>
        </w:tc>
        <w:tc>
          <w:tcPr>
            <w:tcW w:type="dxa" w:w="2400"/>
            <w:shd w:fill="174EA6" w:val="clear"/>
            <w:tcMar>
              <w:top w:type="dxa" w:w="80"/>
              <w:left w:type="dxa" w:w="100"/>
              <w:bottom w:type="dxa" w:w="80"/>
              <w:right w:type="dxa" w:w="100"/>
            </w:tcMar>
            <w:vAlign w:val="center"/>
          </w:tcPr>
          <w:p>
            <w:pPr>
              <w:jc w:val="left"/>
            </w:pPr>
            <w:r>
              <w:rPr>
                <w:b/>
                <w:bCs/>
                <w:color w:val="FFFFFF"/>
                <w:sz w:val="19"/>
                <w:szCs w:val="19"/>
              </w:rPr>
              <w:t xml:space="preserve">Destino</w:t>
            </w:r>
          </w:p>
        </w:tc>
        <w:tc>
          <w:tcPr>
            <w:tcW w:type="dxa" w:w="2200"/>
            <w:shd w:fill="174EA6" w:val="clear"/>
            <w:tcMar>
              <w:top w:type="dxa" w:w="80"/>
              <w:left w:type="dxa" w:w="100"/>
              <w:bottom w:type="dxa" w:w="80"/>
              <w:right w:type="dxa" w:w="100"/>
            </w:tcMar>
            <w:vAlign w:val="center"/>
          </w:tcPr>
          <w:p>
            <w:pPr>
              <w:jc w:val="left"/>
            </w:pPr>
            <w:r>
              <w:rPr>
                <w:b/>
                <w:bCs/>
                <w:color w:val="FFFFFF"/>
                <w:sz w:val="19"/>
                <w:szCs w:val="19"/>
              </w:rPr>
              <w:t xml:space="preserve">Puerto/Protocolo</w:t>
            </w:r>
          </w:p>
        </w:tc>
        <w:tc>
          <w:tcPr>
            <w:tcW w:type="dxa" w:w="2360"/>
            <w:shd w:fill="174EA6" w:val="clear"/>
            <w:tcMar>
              <w:top w:type="dxa" w:w="80"/>
              <w:left w:type="dxa" w:w="100"/>
              <w:bottom w:type="dxa" w:w="80"/>
              <w:right w:type="dxa" w:w="100"/>
            </w:tcMar>
            <w:vAlign w:val="center"/>
          </w:tcPr>
          <w:p>
            <w:pPr>
              <w:jc w:val="left"/>
            </w:pPr>
            <w:r>
              <w:rPr>
                <w:b/>
                <w:bCs/>
                <w:color w:val="FFFFFF"/>
                <w:sz w:val="19"/>
                <w:szCs w:val="19"/>
              </w:rPr>
              <w:t xml:space="preserve">Propósito</w:t>
            </w:r>
          </w:p>
        </w:tc>
      </w:tr>
      <w:tr>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Internet (usuarios)</w:t>
            </w:r>
          </w:p>
        </w:tc>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Application Gateway (DMZ)</w:t>
            </w:r>
          </w:p>
        </w:tc>
        <w:tc>
          <w:tcPr>
            <w:tcW w:type="dxa" w:w="2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TCP 443 (HTTPS)</w:t>
            </w:r>
          </w:p>
        </w:tc>
        <w:tc>
          <w:tcPr>
            <w:tcW w:type="dxa" w:w="23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Publicación de la aplicación web</w:t>
            </w:r>
          </w:p>
        </w:tc>
      </w:tr>
      <w:tr>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Application Gateway (DMZ)</w:t>
            </w:r>
          </w:p>
        </w:tc>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VM Aplicación</w:t>
            </w:r>
          </w:p>
        </w:tc>
        <w:tc>
          <w:tcPr>
            <w:tcW w:type="dxa" w:w="22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TCP 443 / 80 (interno)</w:t>
            </w:r>
          </w:p>
        </w:tc>
        <w:tc>
          <w:tcPr>
            <w:tcW w:type="dxa" w:w="23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Reenvío de solicitudes al backend</w:t>
            </w:r>
          </w:p>
        </w:tc>
      </w:tr>
      <w:tr>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VM Aplicación</w:t>
            </w:r>
          </w:p>
        </w:tc>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VM Base de Datos</w:t>
            </w:r>
          </w:p>
        </w:tc>
        <w:tc>
          <w:tcPr>
            <w:tcW w:type="dxa" w:w="2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TCP 1433</w:t>
            </w:r>
          </w:p>
        </w:tc>
        <w:tc>
          <w:tcPr>
            <w:tcW w:type="dxa" w:w="23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Conexión SQL Server</w:t>
            </w:r>
          </w:p>
        </w:tc>
      </w:tr>
      <w:tr>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Sucursales (túnel VPN)</w:t>
            </w:r>
          </w:p>
        </w:tc>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Azure VPN Gateway</w:t>
            </w:r>
          </w:p>
        </w:tc>
        <w:tc>
          <w:tcPr>
            <w:tcW w:type="dxa" w:w="22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UDP 500 / 4500 (IPsec)</w:t>
            </w:r>
          </w:p>
        </w:tc>
        <w:tc>
          <w:tcPr>
            <w:tcW w:type="dxa" w:w="23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Túnel Site-to-Site para tráfico administrativo/backend</w:t>
            </w:r>
          </w:p>
        </w:tc>
      </w:tr>
      <w:tr>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Azure VPN Gateway</w:t>
            </w:r>
          </w:p>
        </w:tc>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VLAN Mgmt (Jump/Admin)</w:t>
            </w:r>
          </w:p>
        </w:tc>
        <w:tc>
          <w:tcPr>
            <w:tcW w:type="dxa" w:w="2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TCP 3389 / 22 (privado)</w:t>
            </w:r>
          </w:p>
        </w:tc>
        <w:tc>
          <w:tcPr>
            <w:tcW w:type="dxa" w:w="23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Acceso administrativo vía túnel privado (alternativa a Bastion)</w:t>
            </w:r>
          </w:p>
        </w:tc>
      </w:tr>
      <w:tr>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Administrador TI</w:t>
            </w:r>
          </w:p>
        </w:tc>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Azure Bastion</w:t>
            </w:r>
          </w:p>
        </w:tc>
        <w:tc>
          <w:tcPr>
            <w:tcW w:type="dxa" w:w="22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TCP 443 (HTTPS, portal Azure)</w:t>
            </w:r>
          </w:p>
        </w:tc>
        <w:tc>
          <w:tcPr>
            <w:tcW w:type="dxa" w:w="23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Acceso administrativo remoto (RDP/SSH en túnel)</w:t>
            </w:r>
          </w:p>
        </w:tc>
      </w:tr>
      <w:tr>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Azure Bastion</w:t>
            </w:r>
          </w:p>
        </w:tc>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VM Aplicación / VM BD</w:t>
            </w:r>
          </w:p>
        </w:tc>
        <w:tc>
          <w:tcPr>
            <w:tcW w:type="dxa" w:w="2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TCP 3389 / 22 (interno, privado)</w:t>
            </w:r>
          </w:p>
        </w:tc>
        <w:tc>
          <w:tcPr>
            <w:tcW w:type="dxa" w:w="23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Sesión de administración sin exposición pública</w:t>
            </w:r>
          </w:p>
        </w:tc>
      </w:tr>
      <w:tr>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VM Aplicación / VM BD</w:t>
            </w:r>
          </w:p>
        </w:tc>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Azure Monitor / Backup</w:t>
            </w:r>
          </w:p>
        </w:tc>
        <w:tc>
          <w:tcPr>
            <w:tcW w:type="dxa" w:w="22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TCP 443</w:t>
            </w:r>
          </w:p>
        </w:tc>
        <w:tc>
          <w:tcPr>
            <w:tcW w:type="dxa" w:w="23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Telemetría y respaldo (servicios PaaS de Azure)</w:t>
            </w:r>
          </w:p>
        </w:tc>
      </w:tr>
    </w:tbl>
    <w:p>
      <w:pPr>
        <w:spacing w:after="120"/>
      </w:pPr>
    </w:p>
    <w:p>
      <w:pPr>
        <w:pStyle w:val="Heading2"/>
        <w:spacing w:after="140" w:before="260"/>
      </w:pPr>
      <w:r>
        <w:rPr>
          <w:b/>
          <w:bCs/>
          <w:color w:val="1A73E8"/>
          <w:sz w:val="24"/>
          <w:szCs w:val="24"/>
        </w:rPr>
        <w:t xml:space="preserve">7.5 Estimación de ancho de banda (usuarios remotos)</w:t>
      </w:r>
    </w:p>
    <w:p>
      <w:pPr>
        <w:spacing w:after="160" w:line="276"/>
        <w:jc w:val="both"/>
      </w:pPr>
      <w:r>
        <w:rPr>
          <w:b w:val="false"/>
          <w:bCs w:val="false"/>
          <w:i w:val="false"/>
          <w:iCs w:val="false"/>
          <w:color w:val="202124"/>
          <w:sz w:val="21"/>
          <w:szCs w:val="21"/>
        </w:rPr>
        <w:t xml:space="preserve">El proveedor indicó un consumo estimado por usuario conectado remotamente. Se listan los valores tal como fueron proporcionados, y se incluye una observación técnica al respecto: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74EA6" w:val="clear"/>
            <w:tcMar>
              <w:top w:type="dxa" w:w="80"/>
              <w:left w:type="dxa" w:w="100"/>
              <w:bottom w:type="dxa" w:w="80"/>
              <w:right w:type="dxa" w:w="100"/>
            </w:tcMar>
            <w:vAlign w:val="center"/>
          </w:tcPr>
          <w:p>
            <w:pPr>
              <w:jc w:val="left"/>
            </w:pPr>
            <w:r>
              <w:rPr>
                <w:b/>
                <w:bCs/>
                <w:color w:val="FFFFFF"/>
                <w:sz w:val="19"/>
                <w:szCs w:val="19"/>
              </w:rPr>
              <w:t xml:space="preserve">Concepto</w:t>
            </w:r>
          </w:p>
        </w:tc>
        <w:tc>
          <w:tcPr>
            <w:tcW w:type="dxa" w:w="3120"/>
            <w:shd w:fill="174EA6" w:val="clear"/>
            <w:tcMar>
              <w:top w:type="dxa" w:w="80"/>
              <w:left w:type="dxa" w:w="100"/>
              <w:bottom w:type="dxa" w:w="80"/>
              <w:right w:type="dxa" w:w="100"/>
            </w:tcMar>
            <w:vAlign w:val="center"/>
          </w:tcPr>
          <w:p>
            <w:pPr>
              <w:jc w:val="left"/>
            </w:pPr>
            <w:r>
              <w:rPr>
                <w:b/>
                <w:bCs/>
                <w:color w:val="FFFFFF"/>
                <w:sz w:val="19"/>
                <w:szCs w:val="19"/>
              </w:rPr>
              <w:t xml:space="preserve">Valor por usuario (dato proveedor)</w:t>
            </w:r>
          </w:p>
        </w:tc>
        <w:tc>
          <w:tcPr>
            <w:tcW w:type="dxa" w:w="3120"/>
            <w:shd w:fill="174EA6" w:val="clear"/>
            <w:tcMar>
              <w:top w:type="dxa" w:w="80"/>
              <w:left w:type="dxa" w:w="100"/>
              <w:bottom w:type="dxa" w:w="80"/>
              <w:right w:type="dxa" w:w="100"/>
            </w:tcMar>
            <w:vAlign w:val="center"/>
          </w:tcPr>
          <w:p>
            <w:pPr>
              <w:jc w:val="left"/>
            </w:pPr>
            <w:r>
              <w:rPr>
                <w:b/>
                <w:bCs/>
                <w:color w:val="FFFFFF"/>
                <w:sz w:val="19"/>
                <w:szCs w:val="19"/>
              </w:rPr>
              <w:t xml:space="preserve">Total 60 usuarios</w:t>
            </w:r>
          </w:p>
        </w:tc>
      </w:tr>
      <w:tr>
        <w:tc>
          <w:tcPr>
            <w:tcW w:type="dxa" w:w="312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Recepción de datos (descarga)</w:t>
            </w:r>
          </w:p>
        </w:tc>
        <w:tc>
          <w:tcPr>
            <w:tcW w:type="dxa" w:w="312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64 kbps</w:t>
            </w:r>
          </w:p>
        </w:tc>
        <w:tc>
          <w:tcPr>
            <w:tcW w:type="dxa" w:w="312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 3.84 Mbps</w:t>
            </w:r>
          </w:p>
        </w:tc>
      </w:tr>
      <w:tr>
        <w:tc>
          <w:tcPr>
            <w:tcW w:type="dxa" w:w="312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Transmisión (subida)</w:t>
            </w:r>
          </w:p>
        </w:tc>
        <w:tc>
          <w:tcPr>
            <w:tcW w:type="dxa" w:w="312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15 bps (*)</w:t>
            </w:r>
          </w:p>
        </w:tc>
        <w:tc>
          <w:tcPr>
            <w:tcW w:type="dxa" w:w="312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 900 bps (*)</w:t>
            </w:r>
          </w:p>
        </w:tc>
      </w:tr>
    </w:tbl>
    <w:p>
      <w:pPr>
        <w:pBdr>
          <w:left w:val="single" w:color="B06000" w:sz="18" w:space="8"/>
        </w:pBdr>
        <w:shd w:fill="FEF7E0" w:val="clear"/>
        <w:spacing w:after="160" w:before="80" w:line="276"/>
        <w:ind w:left="120"/>
      </w:pPr>
      <w:r>
        <w:rPr>
          <w:i/>
          <w:iCs/>
          <w:color w:val="6B4A00"/>
          <w:sz w:val="21"/>
          <w:szCs w:val="21"/>
        </w:rPr>
        <w:t xml:space="preserve">(*) El valor de subida indicado por el proveedor (15 bps) es órdenes de magnitud menor al de bajada y aparenta ser un error de unidad (posiblemente '15 Kbps' o '150 Kbps'). Para aplicaciones web transaccionales (formularios, consultas, carga de archivos) es común un ratio de subida/bajada más cercano a 1:4 o 1:2. Se recomienda validar este dato con el proveedor antes de dimensionar los enlaces de Internet de cada sucursal. Como referencia conservadora, se sugiere presupuestar un enlace mínimo de 10–20 Mbps simétricos por sucursal (según cantidad de usuarios concurrentes en cada una), más un margen de crecimiento del 30%.</w:t>
      </w:r>
    </w:p>
    <w:p>
      <w:pPr>
        <w:pStyle w:val="Heading1"/>
        <w:pBdr>
          <w:bottom w:val="single" w:color="174EA6" w:sz="8" w:space="4"/>
        </w:pBdr>
        <w:spacing w:after="200" w:before="400"/>
      </w:pPr>
      <w:r>
        <w:rPr>
          <w:b/>
          <w:bCs/>
          <w:color w:val="174EA6"/>
          <w:sz w:val="30"/>
          <w:szCs w:val="30"/>
        </w:rPr>
        <w:t xml:space="preserve">8. Equipo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rPr>
          <w:tblHeader/>
        </w:trPr>
        <w:tc>
          <w:tcPr>
            <w:tcW w:type="dxa" w:w="2600"/>
            <w:shd w:fill="174EA6" w:val="clear"/>
            <w:tcMar>
              <w:top w:type="dxa" w:w="80"/>
              <w:left w:type="dxa" w:w="100"/>
              <w:bottom w:type="dxa" w:w="80"/>
              <w:right w:type="dxa" w:w="100"/>
            </w:tcMar>
            <w:vAlign w:val="center"/>
          </w:tcPr>
          <w:p>
            <w:pPr>
              <w:jc w:val="left"/>
            </w:pPr>
            <w:r>
              <w:rPr>
                <w:b/>
                <w:bCs/>
                <w:color w:val="FFFFFF"/>
                <w:sz w:val="19"/>
                <w:szCs w:val="19"/>
              </w:rPr>
              <w:t xml:space="preserve">Rol</w:t>
            </w:r>
          </w:p>
        </w:tc>
        <w:tc>
          <w:tcPr>
            <w:tcW w:type="dxa" w:w="4560"/>
            <w:shd w:fill="174EA6" w:val="clear"/>
            <w:tcMar>
              <w:top w:type="dxa" w:w="80"/>
              <w:left w:type="dxa" w:w="100"/>
              <w:bottom w:type="dxa" w:w="80"/>
              <w:right w:type="dxa" w:w="100"/>
            </w:tcMar>
            <w:vAlign w:val="center"/>
          </w:tcPr>
          <w:p>
            <w:pPr>
              <w:jc w:val="left"/>
            </w:pPr>
            <w:r>
              <w:rPr>
                <w:b/>
                <w:bCs/>
                <w:color w:val="FFFFFF"/>
                <w:sz w:val="19"/>
                <w:szCs w:val="19"/>
              </w:rPr>
              <w:t xml:space="preserve">Responsabilidad principal</w:t>
            </w:r>
          </w:p>
        </w:tc>
        <w:tc>
          <w:tcPr>
            <w:tcW w:type="dxa" w:w="2200"/>
            <w:shd w:fill="174EA6" w:val="clear"/>
            <w:tcMar>
              <w:top w:type="dxa" w:w="80"/>
              <w:left w:type="dxa" w:w="100"/>
              <w:bottom w:type="dxa" w:w="80"/>
              <w:right w:type="dxa" w:w="100"/>
            </w:tcMar>
            <w:vAlign w:val="center"/>
          </w:tcPr>
          <w:p>
            <w:pPr>
              <w:jc w:val="left"/>
            </w:pPr>
            <w:r>
              <w:rPr>
                <w:b/>
                <w:bCs/>
                <w:color w:val="FFFFFF"/>
                <w:sz w:val="19"/>
                <w:szCs w:val="19"/>
              </w:rPr>
              <w:t xml:space="preserve">Dedicación estimada</w:t>
            </w:r>
          </w:p>
        </w:tc>
      </w:tr>
      <w:tr>
        <w:tc>
          <w:tcPr>
            <w:tcW w:type="dxa" w:w="26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Arquitecto Cloud (Azure)</w:t>
            </w:r>
          </w:p>
        </w:tc>
        <w:tc>
          <w:tcPr>
            <w:tcW w:type="dxa" w:w="45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Diseño de la arquitectura, definición de VNet/subredes/NSGs, validación de SKUs y costos</w:t>
            </w:r>
          </w:p>
        </w:tc>
        <w:tc>
          <w:tcPr>
            <w:tcW w:type="dxa" w:w="2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Parcial — todo el proyecto</w:t>
            </w:r>
          </w:p>
        </w:tc>
      </w:tr>
      <w:tr>
        <w:tc>
          <w:tcPr>
            <w:tcW w:type="dxa" w:w="26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Ingeniero de Infraestructura Azure</w:t>
            </w:r>
          </w:p>
        </w:tc>
        <w:tc>
          <w:tcPr>
            <w:tcW w:type="dxa" w:w="45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Aprovisionamiento de VMs, discos, redes, Application Gateway, Bastion</w:t>
            </w:r>
          </w:p>
        </w:tc>
        <w:tc>
          <w:tcPr>
            <w:tcW w:type="dxa" w:w="22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Tiempo completo — fase de implementación</w:t>
            </w:r>
          </w:p>
        </w:tc>
      </w:tr>
      <w:tr>
        <w:tc>
          <w:tcPr>
            <w:tcW w:type="dxa" w:w="26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DBA SQL Server</w:t>
            </w:r>
          </w:p>
        </w:tc>
        <w:tc>
          <w:tcPr>
            <w:tcW w:type="dxa" w:w="45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Instalación y configuración de SQL Server Standard 2025, seguridad, backups, tuning inicial</w:t>
            </w:r>
          </w:p>
        </w:tc>
        <w:tc>
          <w:tcPr>
            <w:tcW w:type="dxa" w:w="2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Parcial — fase de implementación y pruebas</w:t>
            </w:r>
          </w:p>
        </w:tc>
      </w:tr>
      <w:tr>
        <w:tc>
          <w:tcPr>
            <w:tcW w:type="dxa" w:w="26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Especialista en Seguridad / Redes</w:t>
            </w:r>
          </w:p>
        </w:tc>
        <w:tc>
          <w:tcPr>
            <w:tcW w:type="dxa" w:w="45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Configuración de WAF, reglas NSG, revisión de exposición de puertos (incluye análisis TC Plus)</w:t>
            </w:r>
          </w:p>
        </w:tc>
        <w:tc>
          <w:tcPr>
            <w:tcW w:type="dxa" w:w="22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Parcial — fases de diseño e implementación</w:t>
            </w:r>
          </w:p>
        </w:tc>
      </w:tr>
      <w:tr>
        <w:tc>
          <w:tcPr>
            <w:tcW w:type="dxa" w:w="26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Ingeniero de Monitoreo/Operaciones</w:t>
            </w:r>
          </w:p>
        </w:tc>
        <w:tc>
          <w:tcPr>
            <w:tcW w:type="dxa" w:w="45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Configuración de Azure Monitor, Log Analytics, Azure Backup</w:t>
            </w:r>
          </w:p>
        </w:tc>
        <w:tc>
          <w:tcPr>
            <w:tcW w:type="dxa" w:w="2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Parcial — fase final</w:t>
            </w:r>
          </w:p>
        </w:tc>
      </w:tr>
      <w:tr>
        <w:tc>
          <w:tcPr>
            <w:tcW w:type="dxa" w:w="26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Gerente de Proyecto (PM)</w:t>
            </w:r>
          </w:p>
        </w:tc>
        <w:tc>
          <w:tcPr>
            <w:tcW w:type="dxa" w:w="45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Coordinación con el proveedor externo, seguimiento de cronograma, gestión de riesgos</w:t>
            </w:r>
          </w:p>
        </w:tc>
        <w:tc>
          <w:tcPr>
            <w:tcW w:type="dxa" w:w="22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Parcial — todo el proyecto</w:t>
            </w:r>
          </w:p>
        </w:tc>
      </w:tr>
      <w:tr>
        <w:tc>
          <w:tcPr>
            <w:tcW w:type="dxa" w:w="26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Contacto técnico del proveedor (ISV)</w:t>
            </w:r>
          </w:p>
        </w:tc>
        <w:tc>
          <w:tcPr>
            <w:tcW w:type="dxa" w:w="45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Instalación del aplicativo, pruebas funcionales, requerimientos específicos de la app</w:t>
            </w:r>
          </w:p>
        </w:tc>
        <w:tc>
          <w:tcPr>
            <w:tcW w:type="dxa" w:w="2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Según cronograma del proveedor</w:t>
            </w:r>
          </w:p>
        </w:tc>
      </w:tr>
      <w:tr>
        <w:tc>
          <w:tcPr>
            <w:tcW w:type="dxa" w:w="26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Contacto técnico del cliente</w:t>
            </w:r>
          </w:p>
        </w:tc>
        <w:tc>
          <w:tcPr>
            <w:tcW w:type="dxa" w:w="45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Aprobaciones, accesos, información de sucursales y usuarios, pruebas de aceptación</w:t>
            </w:r>
          </w:p>
        </w:tc>
        <w:tc>
          <w:tcPr>
            <w:tcW w:type="dxa" w:w="22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Parcial — todo el proyecto</w:t>
            </w:r>
          </w:p>
        </w:tc>
      </w:tr>
    </w:tbl>
    <w:p>
      <w:pPr>
        <w:pStyle w:val="Heading1"/>
        <w:pBdr>
          <w:bottom w:val="single" w:color="174EA6" w:sz="8" w:space="4"/>
        </w:pBdr>
        <w:spacing w:after="200" w:before="400"/>
      </w:pPr>
      <w:r>
        <w:rPr>
          <w:b/>
          <w:bCs/>
          <w:color w:val="174EA6"/>
          <w:sz w:val="30"/>
          <w:szCs w:val="30"/>
        </w:rPr>
        <w:t xml:space="preserve">9. Supuestos</w:t>
      </w:r>
    </w:p>
    <w:p>
      <w:pPr>
        <w:pStyle w:val="ListParagraph"/>
        <w:numPr>
          <w:ilvl w:val="0"/>
          <w:numId w:val="2"/>
        </w:numPr>
        <w:spacing w:after="90" w:line="276"/>
      </w:pPr>
      <w:r>
        <w:rPr>
          <w:color w:val="202124"/>
          <w:sz w:val="21"/>
          <w:szCs w:val="21"/>
        </w:rPr>
        <w:t xml:space="preserve">El cliente cuenta con una suscripción de Azure activa (o se gestionará su alta) con permisos suficientes para crear los recursos descritos.</w:t>
      </w:r>
    </w:p>
    <w:p>
      <w:pPr>
        <w:pStyle w:val="ListParagraph"/>
        <w:numPr>
          <w:ilvl w:val="0"/>
          <w:numId w:val="2"/>
        </w:numPr>
        <w:spacing w:after="90" w:line="276"/>
      </w:pPr>
      <w:r>
        <w:rPr>
          <w:color w:val="202124"/>
          <w:sz w:val="21"/>
          <w:szCs w:val="21"/>
        </w:rPr>
        <w:t xml:space="preserve">El proveedor externo (ISV) entregará los instaladores/paquetes de la aplicación, así como soporte durante la puesta en marcha en la infraestructura.</w:t>
      </w:r>
    </w:p>
    <w:p>
      <w:pPr>
        <w:pStyle w:val="ListParagraph"/>
        <w:numPr>
          <w:ilvl w:val="0"/>
          <w:numId w:val="2"/>
        </w:numPr>
        <w:spacing w:after="90" w:line="276"/>
      </w:pPr>
      <w:r>
        <w:rPr>
          <w:color w:val="202124"/>
          <w:sz w:val="21"/>
          <w:szCs w:val="21"/>
        </w:rPr>
        <w:t xml:space="preserve">Las 60 licencias de acceso (RDS CALs) y las licencias de MS Office Profesional y SQL Server Standard 2025 serán adquiridas por el cliente, ya sea bajo modalidad pay-as-you-go en Azure o mediante Azure Hybrid Benefit si el cliente ya cuenta con licencias con Software Assurance.</w:t>
      </w:r>
    </w:p>
    <w:p>
      <w:pPr>
        <w:pStyle w:val="ListParagraph"/>
        <w:numPr>
          <w:ilvl w:val="0"/>
          <w:numId w:val="2"/>
        </w:numPr>
        <w:spacing w:after="90" w:line="276"/>
      </w:pPr>
      <w:r>
        <w:rPr>
          <w:color w:val="202124"/>
          <w:sz w:val="21"/>
          <w:szCs w:val="21"/>
        </w:rPr>
        <w:t xml:space="preserve">El diseño contempla una sola región de Azure; no se incluye Disaster Recovery multi-región salvo que se solicite como alcance adicional.</w:t>
      </w:r>
    </w:p>
    <w:p>
      <w:pPr>
        <w:pStyle w:val="ListParagraph"/>
        <w:numPr>
          <w:ilvl w:val="0"/>
          <w:numId w:val="2"/>
        </w:numPr>
        <w:spacing w:after="90" w:line="276"/>
      </w:pPr>
      <w:r>
        <w:rPr>
          <w:color w:val="202124"/>
          <w:sz w:val="21"/>
          <w:szCs w:val="21"/>
        </w:rPr>
        <w:t xml:space="preserve">El valor de ancho de banda de subida (15 bps) proporcionado por el proveedor será validado/corregido antes de dimensionar los enlaces de Internet finales.</w:t>
      </w:r>
    </w:p>
    <w:p>
      <w:pPr>
        <w:pStyle w:val="ListParagraph"/>
        <w:numPr>
          <w:ilvl w:val="0"/>
          <w:numId w:val="2"/>
        </w:numPr>
        <w:spacing w:after="90" w:line="276"/>
      </w:pPr>
      <w:r>
        <w:rPr>
          <w:color w:val="202124"/>
          <w:sz w:val="21"/>
          <w:szCs w:val="21"/>
        </w:rPr>
        <w:t xml:space="preserve">TC Plus continuará utilizándose únicamente para labores de administración/soporte técnico y no para el acceso funcional de los 60 usuarios a la aplicación.</w:t>
      </w:r>
    </w:p>
    <w:p>
      <w:pPr>
        <w:pStyle w:val="ListParagraph"/>
        <w:numPr>
          <w:ilvl w:val="0"/>
          <w:numId w:val="2"/>
        </w:numPr>
        <w:spacing w:after="90" w:line="276"/>
      </w:pPr>
      <w:r>
        <w:rPr>
          <w:color w:val="202124"/>
          <w:sz w:val="21"/>
          <w:szCs w:val="21"/>
        </w:rPr>
        <w:t xml:space="preserve">Las sucursales cuentan (o contarán) con enlaces de Internet independientes hacia la nube pública; no se asume una WAN privada entre sucursales salvo indicación contraria.</w:t>
      </w:r>
    </w:p>
    <w:p>
      <w:pPr>
        <w:pStyle w:val="ListParagraph"/>
        <w:numPr>
          <w:ilvl w:val="0"/>
          <w:numId w:val="2"/>
        </w:numPr>
        <w:spacing w:after="90" w:line="276"/>
      </w:pPr>
      <w:r>
        <w:rPr>
          <w:color w:val="202124"/>
          <w:sz w:val="21"/>
          <w:szCs w:val="21"/>
        </w:rPr>
        <w:t xml:space="preserve">Los tiempos de aprovisionamiento de recursos en Azure no contemplan demoras por aprobación de cupos/cuotas (quotas) de la suscripción, las cuales se gestionarán en paralelo si aplica.</w:t>
      </w:r>
    </w:p>
    <w:p>
      <w:pPr>
        <w:pStyle w:val="ListParagraph"/>
        <w:numPr>
          <w:ilvl w:val="0"/>
          <w:numId w:val="2"/>
        </w:numPr>
        <w:spacing w:after="90" w:line="276"/>
      </w:pPr>
      <w:r>
        <w:rPr>
          <w:color w:val="202124"/>
          <w:sz w:val="21"/>
          <w:szCs w:val="21"/>
        </w:rPr>
        <w:t xml:space="preserve">El horario de ventana de mantenimiento e instalación será coordinado con el cliente y el proveedor externo.</w:t>
      </w:r>
    </w:p>
    <w:p>
      <w:pPr>
        <w:pStyle w:val="Heading1"/>
        <w:pBdr>
          <w:bottom w:val="single" w:color="174EA6" w:sz="8" w:space="4"/>
        </w:pBdr>
        <w:spacing w:after="200" w:before="400"/>
      </w:pPr>
      <w:r>
        <w:rPr>
          <w:b/>
          <w:bCs/>
          <w:color w:val="174EA6"/>
          <w:sz w:val="30"/>
          <w:szCs w:val="30"/>
        </w:rPr>
        <w:t xml:space="preserve">10. Estimación de Tiempos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00"/>
        <w:gridCol w:w="1860"/>
      </w:tblGrid>
      <w:tr>
        <w:trPr>
          <w:tblHeader/>
        </w:trPr>
        <w:tc>
          <w:tcPr>
            <w:tcW w:type="dxa" w:w="2400"/>
            <w:shd w:fill="174EA6" w:val="clear"/>
            <w:tcMar>
              <w:top w:type="dxa" w:w="80"/>
              <w:left w:type="dxa" w:w="100"/>
              <w:bottom w:type="dxa" w:w="80"/>
              <w:right w:type="dxa" w:w="100"/>
            </w:tcMar>
            <w:vAlign w:val="center"/>
          </w:tcPr>
          <w:p>
            <w:pPr>
              <w:jc w:val="left"/>
            </w:pPr>
            <w:r>
              <w:rPr>
                <w:b/>
                <w:bCs/>
                <w:color w:val="FFFFFF"/>
                <w:sz w:val="19"/>
                <w:szCs w:val="19"/>
              </w:rPr>
              <w:t xml:space="preserve">Fase</w:t>
            </w:r>
          </w:p>
        </w:tc>
        <w:tc>
          <w:tcPr>
            <w:tcW w:type="dxa" w:w="5100"/>
            <w:shd w:fill="174EA6" w:val="clear"/>
            <w:tcMar>
              <w:top w:type="dxa" w:w="80"/>
              <w:left w:type="dxa" w:w="100"/>
              <w:bottom w:type="dxa" w:w="80"/>
              <w:right w:type="dxa" w:w="100"/>
            </w:tcMar>
            <w:vAlign w:val="center"/>
          </w:tcPr>
          <w:p>
            <w:pPr>
              <w:jc w:val="left"/>
            </w:pPr>
            <w:r>
              <w:rPr>
                <w:b/>
                <w:bCs/>
                <w:color w:val="FFFFFF"/>
                <w:sz w:val="19"/>
                <w:szCs w:val="19"/>
              </w:rPr>
              <w:t xml:space="preserve">Actividades principales</w:t>
            </w:r>
          </w:p>
        </w:tc>
        <w:tc>
          <w:tcPr>
            <w:tcW w:type="dxa" w:w="1860"/>
            <w:shd w:fill="174EA6" w:val="clear"/>
            <w:tcMar>
              <w:top w:type="dxa" w:w="80"/>
              <w:left w:type="dxa" w:w="100"/>
              <w:bottom w:type="dxa" w:w="80"/>
              <w:right w:type="dxa" w:w="100"/>
            </w:tcMar>
            <w:vAlign w:val="center"/>
          </w:tcPr>
          <w:p>
            <w:pPr>
              <w:jc w:val="left"/>
            </w:pPr>
            <w:r>
              <w:rPr>
                <w:b/>
                <w:bCs/>
                <w:color w:val="FFFFFF"/>
                <w:sz w:val="19"/>
                <w:szCs w:val="19"/>
              </w:rPr>
              <w:t xml:space="preserve">Duración estimada</w:t>
            </w:r>
          </w:p>
        </w:tc>
      </w:tr>
      <w:tr>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1. Planeación y diseño detallado</w:t>
            </w:r>
          </w:p>
        </w:tc>
        <w:tc>
          <w:tcPr>
            <w:tcW w:type="dxa" w:w="51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Validación de requerimientos, dimensionamiento final, definición de red/IPs, aprobación del diseño</w:t>
            </w:r>
          </w:p>
        </w:tc>
        <w:tc>
          <w:tcPr>
            <w:tcW w:type="dxa" w:w="18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1 semana</w:t>
            </w:r>
          </w:p>
        </w:tc>
      </w:tr>
      <w:tr>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2. Aprovisionamiento de infraestructura base</w:t>
            </w:r>
          </w:p>
        </w:tc>
        <w:tc>
          <w:tcPr>
            <w:tcW w:type="dxa" w:w="51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Creación de VNet, subredes, NSGs, Application Gateway/WAF, Bastion, VMs y discos</w:t>
            </w:r>
          </w:p>
        </w:tc>
        <w:tc>
          <w:tcPr>
            <w:tcW w:type="dxa" w:w="18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1 semana</w:t>
            </w:r>
          </w:p>
        </w:tc>
      </w:tr>
      <w:tr>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3. Configuración de sistema operativo y software base</w:t>
            </w:r>
          </w:p>
        </w:tc>
        <w:tc>
          <w:tcPr>
            <w:tcW w:type="dxa" w:w="51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Windows Server 2025 en ambas VMs, SQL Server Standard 2025, Terminal Services, MS Office</w:t>
            </w:r>
          </w:p>
        </w:tc>
        <w:tc>
          <w:tcPr>
            <w:tcW w:type="dxa" w:w="18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1 semana</w:t>
            </w:r>
          </w:p>
        </w:tc>
      </w:tr>
      <w:tr>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4. Configuración de seguridad y publicación</w:t>
            </w:r>
          </w:p>
        </w:tc>
        <w:tc>
          <w:tcPr>
            <w:tcW w:type="dxa" w:w="51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Reglas NSG, políticas WAF, certificados TLS, pruebas de conectividad 443/1433</w:t>
            </w:r>
          </w:p>
        </w:tc>
        <w:tc>
          <w:tcPr>
            <w:tcW w:type="dxa" w:w="18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3 a 5 días</w:t>
            </w:r>
          </w:p>
        </w:tc>
      </w:tr>
      <w:tr>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5. Instalación del aplicativo (proveedor externo)</w:t>
            </w:r>
          </w:p>
        </w:tc>
        <w:tc>
          <w:tcPr>
            <w:tcW w:type="dxa" w:w="51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Instalación, configuración y pruebas iniciales de la solución del ISV</w:t>
            </w:r>
          </w:p>
        </w:tc>
        <w:tc>
          <w:tcPr>
            <w:tcW w:type="dxa" w:w="18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1 a 2 semanas (depende del proveedor)</w:t>
            </w:r>
          </w:p>
        </w:tc>
      </w:tr>
      <w:tr>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6. Monitoreo, backups y hardening final</w:t>
            </w:r>
          </w:p>
        </w:tc>
        <w:tc>
          <w:tcPr>
            <w:tcW w:type="dxa" w:w="51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Azure Monitor, Log Analytics, Azure Backup, revisión de accesos administrativos (TC Plus/Bastion)</w:t>
            </w:r>
          </w:p>
        </w:tc>
        <w:tc>
          <w:tcPr>
            <w:tcW w:type="dxa" w:w="18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3 a 5 días</w:t>
            </w:r>
          </w:p>
        </w:tc>
      </w:tr>
      <w:tr>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7. Pruebas integrales y capacitación técnica</w:t>
            </w:r>
          </w:p>
        </w:tc>
        <w:tc>
          <w:tcPr>
            <w:tcW w:type="dxa" w:w="51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Pruebas de carga básica, validación con usuarios piloto de al menos 2 sucursales, ajustes</w:t>
            </w:r>
          </w:p>
        </w:tc>
        <w:tc>
          <w:tcPr>
            <w:tcW w:type="dxa" w:w="18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1 semana</w:t>
            </w:r>
          </w:p>
        </w:tc>
      </w:tr>
      <w:tr>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8. Salida a producción y estabilización</w:t>
            </w:r>
          </w:p>
        </w:tc>
        <w:tc>
          <w:tcPr>
            <w:tcW w:type="dxa" w:w="51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Puesta en marcha general, monitoreo hipercuidado (hypercare) post-salida</w:t>
            </w:r>
          </w:p>
        </w:tc>
        <w:tc>
          <w:tcPr>
            <w:tcW w:type="dxa" w:w="18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1 a 2 semanas</w:t>
            </w:r>
          </w:p>
        </w:tc>
      </w:tr>
    </w:tbl>
    <w:p>
      <w:pPr>
        <w:spacing w:after="80"/>
      </w:pPr>
    </w:p>
    <w:p>
      <w:pPr>
        <w:spacing w:after="160" w:line="276"/>
        <w:jc w:val="both"/>
      </w:pPr>
      <w:r>
        <w:rPr>
          <w:b/>
          <w:bCs/>
          <w:i w:val="false"/>
          <w:iCs w:val="false"/>
          <w:color w:val="202124"/>
          <w:sz w:val="21"/>
          <w:szCs w:val="21"/>
        </w:rPr>
        <w:t xml:space="preserve">Duración total estimada: 6 a 8 semanas calendario, sujeto a los tiempos de instalación y pruebas del aplicativo por parte del proveedor externo, así como a la disponibilidad de accesos y aprobaciones del cliente.</w:t>
      </w:r>
    </w:p>
    <w:p>
      <w:pPr>
        <w:pStyle w:val="Heading1"/>
        <w:pBdr>
          <w:bottom w:val="single" w:color="174EA6" w:sz="8" w:space="4"/>
        </w:pBdr>
        <w:spacing w:after="200" w:before="400"/>
      </w:pPr>
      <w:r>
        <w:rPr>
          <w:b/>
          <w:bCs/>
          <w:color w:val="174EA6"/>
          <w:sz w:val="30"/>
          <w:szCs w:val="30"/>
        </w:rPr>
        <w:t xml:space="preserve">11. Estimación de Costos (Calculadora de Azure)</w:t>
      </w:r>
    </w:p>
    <w:p>
      <w:pPr>
        <w:spacing w:after="160" w:line="276"/>
        <w:jc w:val="both"/>
      </w:pPr>
      <w:r>
        <w:rPr>
          <w:b w:val="false"/>
          <w:bCs w:val="false"/>
          <w:i w:val="false"/>
          <w:iCs w:val="false"/>
          <w:color w:val="202124"/>
          <w:sz w:val="21"/>
          <w:szCs w:val="21"/>
        </w:rPr>
        <w:t xml:space="preserve">A continuación se presenta una estimación referencial de costos mensuales en modalidad Pay-As-You-Go, considerando una región estándar de Azure (ej. East US 2 / South Central US) y precios de lista vigentes. Estos valores deben validarse y ajustarse en la calculadora oficial de Azure (https://azure.microsoft.com/pricing/calculator/) según la región específica, el tipo de cambio y el programa comercial del cliente (CSP, EA, MCA).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560"/>
        <w:gridCol w:w="1800"/>
      </w:tblGrid>
      <w:tr>
        <w:trPr>
          <w:tblHeader/>
        </w:trPr>
        <w:tc>
          <w:tcPr>
            <w:tcW w:type="dxa" w:w="2600"/>
            <w:shd w:fill="174EA6" w:val="clear"/>
            <w:tcMar>
              <w:top w:type="dxa" w:w="80"/>
              <w:left w:type="dxa" w:w="100"/>
              <w:bottom w:type="dxa" w:w="80"/>
              <w:right w:type="dxa" w:w="100"/>
            </w:tcMar>
            <w:vAlign w:val="center"/>
          </w:tcPr>
          <w:p>
            <w:pPr>
              <w:jc w:val="left"/>
            </w:pPr>
            <w:r>
              <w:rPr>
                <w:b/>
                <w:bCs/>
                <w:color w:val="FFFFFF"/>
                <w:sz w:val="19"/>
                <w:szCs w:val="19"/>
              </w:rPr>
              <w:t xml:space="preserve">Recurso</w:t>
            </w:r>
          </w:p>
        </w:tc>
        <w:tc>
          <w:tcPr>
            <w:tcW w:type="dxa" w:w="2400"/>
            <w:shd w:fill="174EA6" w:val="clear"/>
            <w:tcMar>
              <w:top w:type="dxa" w:w="80"/>
              <w:left w:type="dxa" w:w="100"/>
              <w:bottom w:type="dxa" w:w="80"/>
              <w:right w:type="dxa" w:w="100"/>
            </w:tcMar>
            <w:vAlign w:val="center"/>
          </w:tcPr>
          <w:p>
            <w:pPr>
              <w:jc w:val="left"/>
            </w:pPr>
            <w:r>
              <w:rPr>
                <w:b/>
                <w:bCs/>
                <w:color w:val="FFFFFF"/>
                <w:sz w:val="19"/>
                <w:szCs w:val="19"/>
              </w:rPr>
              <w:t xml:space="preserve">SKU / Tier sugerido</w:t>
            </w:r>
          </w:p>
        </w:tc>
        <w:tc>
          <w:tcPr>
            <w:tcW w:type="dxa" w:w="2560"/>
            <w:shd w:fill="174EA6" w:val="clear"/>
            <w:tcMar>
              <w:top w:type="dxa" w:w="80"/>
              <w:left w:type="dxa" w:w="100"/>
              <w:bottom w:type="dxa" w:w="80"/>
              <w:right w:type="dxa" w:w="100"/>
            </w:tcMar>
            <w:vAlign w:val="center"/>
          </w:tcPr>
          <w:p>
            <w:pPr>
              <w:jc w:val="left"/>
            </w:pPr>
            <w:r>
              <w:rPr>
                <w:b/>
                <w:bCs/>
                <w:color w:val="FFFFFF"/>
                <w:sz w:val="19"/>
                <w:szCs w:val="19"/>
              </w:rPr>
              <w:t xml:space="preserve">Especificación</w:t>
            </w:r>
          </w:p>
        </w:tc>
        <w:tc>
          <w:tcPr>
            <w:tcW w:type="dxa" w:w="1800"/>
            <w:shd w:fill="174EA6" w:val="clear"/>
            <w:tcMar>
              <w:top w:type="dxa" w:w="80"/>
              <w:left w:type="dxa" w:w="100"/>
              <w:bottom w:type="dxa" w:w="80"/>
              <w:right w:type="dxa" w:w="100"/>
            </w:tcMar>
            <w:vAlign w:val="center"/>
          </w:tcPr>
          <w:p>
            <w:pPr>
              <w:jc w:val="left"/>
            </w:pPr>
            <w:r>
              <w:rPr>
                <w:b/>
                <w:bCs/>
                <w:color w:val="FFFFFF"/>
                <w:sz w:val="19"/>
                <w:szCs w:val="19"/>
              </w:rPr>
              <w:t xml:space="preserve">Costo mensual estimado (USD)*</w:t>
            </w:r>
          </w:p>
        </w:tc>
      </w:tr>
      <w:tr>
        <w:tc>
          <w:tcPr>
            <w:tcW w:type="dxa" w:w="26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VM Servidor de Aplicación</w:t>
            </w:r>
          </w:p>
        </w:tc>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Standard D8as_v5 (o D8s_v5)</w:t>
            </w:r>
          </w:p>
        </w:tc>
        <w:tc>
          <w:tcPr>
            <w:tcW w:type="dxa" w:w="25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8 vCPU / 32 GB RAM, Windows Server incluido</w:t>
            </w:r>
          </w:p>
        </w:tc>
        <w:tc>
          <w:tcPr>
            <w:tcW w:type="dxa" w:w="18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$430 – $520</w:t>
            </w:r>
          </w:p>
        </w:tc>
      </w:tr>
      <w:tr>
        <w:tc>
          <w:tcPr>
            <w:tcW w:type="dxa" w:w="26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VM Servidor de Base de Datos</w:t>
            </w:r>
          </w:p>
        </w:tc>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Standard F8s_v2</w:t>
            </w:r>
          </w:p>
        </w:tc>
        <w:tc>
          <w:tcPr>
            <w:tcW w:type="dxa" w:w="25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8 vCPU / 16 GB RAM, Windows Server incluido</w:t>
            </w:r>
          </w:p>
        </w:tc>
        <w:tc>
          <w:tcPr>
            <w:tcW w:type="dxa" w:w="18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$390 – $470</w:t>
            </w:r>
          </w:p>
        </w:tc>
      </w:tr>
      <w:tr>
        <w:tc>
          <w:tcPr>
            <w:tcW w:type="dxa" w:w="26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Licencia SQL Server Standard 2025</w:t>
            </w:r>
          </w:p>
        </w:tc>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vCore-based / Azure Hybrid Benefit</w:t>
            </w:r>
          </w:p>
        </w:tc>
        <w:tc>
          <w:tcPr>
            <w:tcW w:type="dxa" w:w="25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8 vCPU (Standard Edition)</w:t>
            </w:r>
          </w:p>
        </w:tc>
        <w:tc>
          <w:tcPr>
            <w:tcW w:type="dxa" w:w="18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$0 (con AHB) – $1,600</w:t>
            </w:r>
          </w:p>
        </w:tc>
      </w:tr>
      <w:tr>
        <w:tc>
          <w:tcPr>
            <w:tcW w:type="dxa" w:w="26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Discos administrados (ambos servidores)</w:t>
            </w:r>
          </w:p>
        </w:tc>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Premium SSD P20/P30/P40</w:t>
            </w:r>
          </w:p>
        </w:tc>
        <w:tc>
          <w:tcPr>
            <w:tcW w:type="dxa" w:w="25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512GB OS + 1TB App + 1TB Logs + 2TB BD (≈5.5 TB)</w:t>
            </w:r>
          </w:p>
        </w:tc>
        <w:tc>
          <w:tcPr>
            <w:tcW w:type="dxa" w:w="18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$450 – $600</w:t>
            </w:r>
          </w:p>
        </w:tc>
      </w:tr>
      <w:tr>
        <w:tc>
          <w:tcPr>
            <w:tcW w:type="dxa" w:w="26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Application Gateway WAF_v2</w:t>
            </w:r>
          </w:p>
        </w:tc>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WAF_v2 (fijo + unidades de capacidad)</w:t>
            </w:r>
          </w:p>
        </w:tc>
        <w:tc>
          <w:tcPr>
            <w:tcW w:type="dxa" w:w="25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1–2 instancias, autoescalado básico</w:t>
            </w:r>
          </w:p>
        </w:tc>
        <w:tc>
          <w:tcPr>
            <w:tcW w:type="dxa" w:w="18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$260 – $400</w:t>
            </w:r>
          </w:p>
        </w:tc>
      </w:tr>
      <w:tr>
        <w:tc>
          <w:tcPr>
            <w:tcW w:type="dxa" w:w="26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IP Pública (PIP)</w:t>
            </w:r>
          </w:p>
        </w:tc>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Standard, estática</w:t>
            </w:r>
          </w:p>
        </w:tc>
        <w:tc>
          <w:tcPr>
            <w:tcW w:type="dxa" w:w="25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1 IP zona-redundante para el WAF</w:t>
            </w:r>
          </w:p>
        </w:tc>
        <w:tc>
          <w:tcPr>
            <w:tcW w:type="dxa" w:w="18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$3 – $5</w:t>
            </w:r>
          </w:p>
        </w:tc>
      </w:tr>
      <w:tr>
        <w:tc>
          <w:tcPr>
            <w:tcW w:type="dxa" w:w="26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Azure VPN Gateway (S2S)</w:t>
            </w:r>
          </w:p>
        </w:tc>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VpnGw1</w:t>
            </w:r>
          </w:p>
        </w:tc>
        <w:tc>
          <w:tcPr>
            <w:tcW w:type="dxa" w:w="25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Conectividad privada sucursales ↔ Azure (opcional)</w:t>
            </w:r>
          </w:p>
        </w:tc>
        <w:tc>
          <w:tcPr>
            <w:tcW w:type="dxa" w:w="18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$140 – $180</w:t>
            </w:r>
          </w:p>
        </w:tc>
      </w:tr>
      <w:tr>
        <w:tc>
          <w:tcPr>
            <w:tcW w:type="dxa" w:w="26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Azure Bastion</w:t>
            </w:r>
          </w:p>
        </w:tc>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Standard SKU</w:t>
            </w:r>
          </w:p>
        </w:tc>
        <w:tc>
          <w:tcPr>
            <w:tcW w:type="dxa" w:w="25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Acceso administrativo seguro</w:t>
            </w:r>
          </w:p>
        </w:tc>
        <w:tc>
          <w:tcPr>
            <w:tcW w:type="dxa" w:w="18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$140 – $190</w:t>
            </w:r>
          </w:p>
        </w:tc>
      </w:tr>
      <w:tr>
        <w:tc>
          <w:tcPr>
            <w:tcW w:type="dxa" w:w="26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Azure Backup / Recovery Services Vault</w:t>
            </w:r>
          </w:p>
        </w:tc>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GRS o LRS según criticidad</w:t>
            </w:r>
          </w:p>
        </w:tc>
        <w:tc>
          <w:tcPr>
            <w:tcW w:type="dxa" w:w="25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Respaldo de 2 VMs + retención mensual</w:t>
            </w:r>
          </w:p>
        </w:tc>
        <w:tc>
          <w:tcPr>
            <w:tcW w:type="dxa" w:w="18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$60 – $120</w:t>
            </w:r>
          </w:p>
        </w:tc>
      </w:tr>
      <w:tr>
        <w:tc>
          <w:tcPr>
            <w:tcW w:type="dxa" w:w="26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Azure Monitor / Log Analytics</w:t>
            </w:r>
          </w:p>
        </w:tc>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Pay-as-you-go (ingesta de logs)</w:t>
            </w:r>
          </w:p>
        </w:tc>
        <w:tc>
          <w:tcPr>
            <w:tcW w:type="dxa" w:w="25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Monitoreo básico de 2 VMs + alertas</w:t>
            </w:r>
          </w:p>
        </w:tc>
        <w:tc>
          <w:tcPr>
            <w:tcW w:type="dxa" w:w="18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$30 – $80</w:t>
            </w:r>
          </w:p>
        </w:tc>
      </w:tr>
      <w:tr>
        <w:tc>
          <w:tcPr>
            <w:tcW w:type="dxa" w:w="26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Salida de datos (egress) estimada</w:t>
            </w:r>
          </w:p>
        </w:tc>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Bandwidth pricing</w:t>
            </w:r>
          </w:p>
        </w:tc>
        <w:tc>
          <w:tcPr>
            <w:tcW w:type="dxa" w:w="25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Tráfico saliente hacia 60 usuarios/sucursales</w:t>
            </w:r>
          </w:p>
        </w:tc>
        <w:tc>
          <w:tcPr>
            <w:tcW w:type="dxa" w:w="18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$20 – $60</w:t>
            </w:r>
          </w:p>
        </w:tc>
      </w:tr>
    </w:tbl>
    <w:p>
      <w:pPr>
        <w:spacing w:after="80"/>
      </w:pPr>
    </w:p>
    <w:p>
      <w:pPr>
        <w:spacing w:after="160" w:line="276"/>
        <w:jc w:val="both"/>
      </w:pPr>
      <w:r>
        <w:rPr>
          <w:b w:val="false"/>
          <w:bCs w:val="false"/>
          <w:i/>
          <w:iCs/>
          <w:color w:val="202124"/>
          <w:sz w:val="21"/>
          <w:szCs w:val="21"/>
        </w:rPr>
        <w:t xml:space="preserve">Rango total estimado: aproximadamente USD $1,920 a $4,220 por mes (incluyendo VPN Gateway opcional; sin él, restar entre $140 y $180), dependiendo principalmente de la modalidad de licenciamiento de SQL Server (licencia incluida vs. Azure Hybrid Benefit), la región seleccionada y si finalmente se incorpora el VPN Gateway. (*) Cifras referenciales calculadas con precios de lista Pay-As-You-Go; no incluyen impuestos ni descuentos comerciales.</w:t>
      </w:r>
    </w:p>
    <w:p>
      <w:pPr>
        <w:pBdr>
          <w:left w:val="single" w:color="B06000" w:sz="18" w:space="8"/>
        </w:pBdr>
        <w:shd w:fill="FEF7E0" w:val="clear"/>
        <w:spacing w:after="160" w:before="80" w:line="276"/>
        <w:ind w:left="120"/>
      </w:pPr>
      <w:r>
        <w:rPr>
          <w:i/>
          <w:iCs/>
          <w:color w:val="6B4A00"/>
          <w:sz w:val="21"/>
          <w:szCs w:val="21"/>
        </w:rPr>
        <w:t xml:space="preserve">Recomendación: si el cliente ya posee licencias de Windows Server y/o SQL Server con Software Assurance, aplicar Azure Hybrid Benefit puede reducir el costo mensual entre 40% y 55%. Se recomienda generar el escenario final directamente en la calculadora oficial de Azure, exportarlo y anexarlo como addendum a esta propuesta una vez confirmada la región y el modelo de licenciamiento.</w:t>
      </w:r>
    </w:p>
    <w:p>
      <w:pPr>
        <w:pStyle w:val="Heading1"/>
        <w:pBdr>
          <w:bottom w:val="single" w:color="174EA6" w:sz="8" w:space="4"/>
        </w:pBdr>
        <w:spacing w:after="200" w:before="400"/>
      </w:pPr>
      <w:r>
        <w:rPr>
          <w:b/>
          <w:bCs/>
          <w:color w:val="174EA6"/>
          <w:sz w:val="30"/>
          <w:szCs w:val="30"/>
        </w:rPr>
        <w:t xml:space="preserve">12. Recomendaciones Técnicas</w:t>
      </w:r>
    </w:p>
    <w:p>
      <w:pPr>
        <w:pStyle w:val="Heading2"/>
        <w:spacing w:after="140" w:before="260"/>
      </w:pPr>
      <w:r>
        <w:rPr>
          <w:b/>
          <w:bCs/>
          <w:color w:val="1A73E8"/>
          <w:sz w:val="24"/>
          <w:szCs w:val="24"/>
        </w:rPr>
        <w:t xml:space="preserve">12.1 ¿Qué tier de WAF conviene: Basic, Standard o Premium?</w:t>
      </w:r>
    </w:p>
    <w:p>
      <w:pPr>
        <w:spacing w:after="160" w:line="276"/>
        <w:jc w:val="both"/>
      </w:pPr>
      <w:r>
        <w:rPr>
          <w:b w:val="false"/>
          <w:bCs w:val="false"/>
          <w:i w:val="false"/>
          <w:iCs w:val="false"/>
          <w:color w:val="202124"/>
          <w:sz w:val="21"/>
          <w:szCs w:val="21"/>
        </w:rPr>
        <w:t xml:space="preserve">Para este escenario se recomienda Application Gateway v2 con tier WAF_v2 (equivalente a lo que en Azure se documenta como 'Standard' del SKU v2, ya que el WAF_v2 es la capa que incorpora la política de firewall de aplicaciones). Puntos clave:</w:t>
      </w:r>
    </w:p>
    <w:p>
      <w:pPr>
        <w:pStyle w:val="ListParagraph"/>
        <w:numPr>
          <w:ilvl w:val="0"/>
          <w:numId w:val="2"/>
        </w:numPr>
        <w:spacing w:after="90" w:line="276"/>
      </w:pPr>
      <w:r>
        <w:rPr>
          <w:color w:val="202124"/>
          <w:sz w:val="21"/>
          <w:szCs w:val="21"/>
        </w:rPr>
        <w:t xml:space="preserve">El tier 'Basic' (Application Gateway v1 Standard/WAF) está en proceso de retiro por parte de Microsoft (la migración a v2 es obligatoria antes del 28 de abril de 2026), por lo que no se recomienda para un proyecto nuevo.</w:t>
      </w:r>
    </w:p>
    <w:p>
      <w:pPr>
        <w:pStyle w:val="ListParagraph"/>
        <w:numPr>
          <w:ilvl w:val="0"/>
          <w:numId w:val="2"/>
        </w:numPr>
        <w:spacing w:after="90" w:line="276"/>
      </w:pPr>
      <w:r>
        <w:rPr>
          <w:color w:val="202124"/>
          <w:sz w:val="21"/>
          <w:szCs w:val="21"/>
        </w:rPr>
        <w:t xml:space="preserve">WAF_v2 ofrece autoescalado, redundancia zonal, mejor rendimiento y soporte de políticas WAF centralizadas (managed rule sets OWASP), suficiente para 60 usuarios concurrentes en una sola región.</w:t>
      </w:r>
    </w:p>
    <w:p>
      <w:pPr>
        <w:pStyle w:val="ListParagraph"/>
        <w:numPr>
          <w:ilvl w:val="0"/>
          <w:numId w:val="2"/>
        </w:numPr>
        <w:spacing w:after="90" w:line="276"/>
      </w:pPr>
      <w:r>
        <w:rPr>
          <w:color w:val="202124"/>
          <w:sz w:val="21"/>
          <w:szCs w:val="21"/>
        </w:rPr>
        <w:t xml:space="preserve">Un nivel 'Premium' equivalente solo aplica si se opta por Azure Front Door Premium (para escenarios multi-región, CDN global o protección anti-bot avanzada). Para el alcance actual (una región, tráfico interno corporativo) esto sería sobredimensionado; se puede evaluar a futuro si el proveedor habilita múltiples regiones o el volumen de usuarios crece significativamente.</w:t>
      </w:r>
    </w:p>
    <w:p>
      <w:pPr>
        <w:spacing w:after="160" w:line="276"/>
        <w:jc w:val="both"/>
      </w:pPr>
      <w:r>
        <w:rPr>
          <w:b w:val="false"/>
          <w:bCs w:val="false"/>
          <w:i w:val="false"/>
          <w:iCs w:val="false"/>
          <w:color w:val="202124"/>
          <w:sz w:val="21"/>
          <w:szCs w:val="21"/>
        </w:rPr>
        <w:t xml:space="preserve">Conclusión: Application Gateway WAF_v2 es la opción correcta y balanceada en costo/beneficio para este proyecto.</w:t>
      </w:r>
    </w:p>
    <w:p>
      <w:pPr>
        <w:pStyle w:val="Heading2"/>
        <w:spacing w:after="140" w:before="260"/>
      </w:pPr>
      <w:r>
        <w:rPr>
          <w:b/>
          <w:bCs/>
          <w:color w:val="1A73E8"/>
          <w:sz w:val="24"/>
          <w:szCs w:val="24"/>
        </w:rPr>
        <w:t xml:space="preserve">12.2 ¿TC Plus (puerto 443) choca con la publicación de la aplicación (también 443)?</w:t>
      </w:r>
    </w:p>
    <w:p>
      <w:pPr>
        <w:spacing w:after="160" w:line="276"/>
        <w:jc w:val="both"/>
      </w:pPr>
      <w:r>
        <w:rPr>
          <w:b w:val="false"/>
          <w:bCs w:val="false"/>
          <w:i w:val="false"/>
          <w:iCs w:val="false"/>
          <w:color w:val="202124"/>
          <w:sz w:val="21"/>
          <w:szCs w:val="21"/>
        </w:rPr>
        <w:t xml:space="preserve">No debería existir colisión, por las siguientes razones técnicas:</w:t>
      </w:r>
    </w:p>
    <w:p>
      <w:pPr>
        <w:pStyle w:val="ListParagraph"/>
        <w:numPr>
          <w:ilvl w:val="0"/>
          <w:numId w:val="2"/>
        </w:numPr>
        <w:spacing w:after="90" w:line="276"/>
      </w:pPr>
      <w:r>
        <w:rPr>
          <w:color w:val="202124"/>
          <w:sz w:val="21"/>
          <w:szCs w:val="21"/>
        </w:rPr>
        <w:t xml:space="preserve">El puerto 443 no es un recurso único y exclusivo por servidor: cada servicio expuesto tiene su propia combinación de IP pública (o FQDN vía SNI) + puerto. El Application Gateway publicará la aplicación en su propia IP pública/FQDN dedicado; TC Plus no comparte esa misma IP ni el mismo listener.</w:t>
      </w:r>
    </w:p>
    <w:p>
      <w:pPr>
        <w:pStyle w:val="ListParagraph"/>
        <w:numPr>
          <w:ilvl w:val="0"/>
          <w:numId w:val="2"/>
        </w:numPr>
        <w:spacing w:after="90" w:line="276"/>
      </w:pPr>
      <w:r>
        <w:rPr>
          <w:color w:val="202124"/>
          <w:sz w:val="21"/>
          <w:szCs w:val="21"/>
        </w:rPr>
        <w:t xml:space="preserve">Herramientas de acceso remoto tipo TC Plus habitualmente funcionan mediante conexiones salientes (outbound) desde el equipo administrado hacia los servidores 'broker' del fabricante en Internet, y no requieren abrir un puerto de entrada (inbound) en el servidor. Por lo tanto, no compite ni interfiere con el listener inbound 443 del Application Gateway.</w:t>
      </w:r>
    </w:p>
    <w:p>
      <w:pPr>
        <w:pStyle w:val="ListParagraph"/>
        <w:numPr>
          <w:ilvl w:val="0"/>
          <w:numId w:val="2"/>
        </w:numPr>
        <w:spacing w:after="90" w:line="276"/>
      </w:pPr>
      <w:r>
        <w:rPr>
          <w:color w:val="202124"/>
          <w:sz w:val="21"/>
          <w:szCs w:val="21"/>
        </w:rPr>
        <w:t xml:space="preserve">Aun así, se recomienda: (a) no instalar el agente de TC Plus en las VMs de Aplicación o Base de Datos que están detrás del WAF, sino únicamente en un equipo de administración dentro de la VLAN de Gestión; (b) restringir mediante NSG las conexiones salientes de esa VLAN únicamente a los dominios/IP del proveedor de TC Plus; y (c) evaluar migrar el acceso administrativo hacia Azure Bastion, que es nativo de Azure, no requiere agentes de terceros y no expone puertos de gestión (RDP/SSH) a Internet.</w:t>
      </w:r>
    </w:p>
    <w:p>
      <w:pPr>
        <w:spacing w:after="160" w:line="276"/>
        <w:jc w:val="both"/>
      </w:pPr>
      <w:r>
        <w:rPr>
          <w:b/>
          <w:bCs/>
          <w:i w:val="false"/>
          <w:iCs w:val="false"/>
          <w:color w:val="202124"/>
          <w:sz w:val="21"/>
          <w:szCs w:val="21"/>
        </w:rPr>
        <w:t xml:space="preserve">Conclusión: se puede seguir usando TC Plus para administración sin conflicto técnico con la publicación de la aplicación, siempre que se aísle su uso a la VLAN de administración y no se instale sobre las VMs productivas del aplicativo o la base de datos.</w:t>
      </w:r>
    </w:p>
    <w:p>
      <w:pPr>
        <w:pStyle w:val="Heading2"/>
        <w:spacing w:after="140" w:before="260"/>
      </w:pPr>
      <w:r>
        <w:rPr>
          <w:b/>
          <w:bCs/>
          <w:color w:val="1A73E8"/>
          <w:sz w:val="24"/>
          <w:szCs w:val="24"/>
        </w:rPr>
        <w:t xml:space="preserve">12.3 ¿Es necesario el VPN Gateway?</w:t>
      </w:r>
    </w:p>
    <w:p>
      <w:pPr>
        <w:spacing w:after="160" w:line="276"/>
        <w:jc w:val="both"/>
      </w:pPr>
      <w:r>
        <w:rPr>
          <w:b w:val="false"/>
          <w:bCs w:val="false"/>
          <w:i w:val="false"/>
          <w:iCs w:val="false"/>
          <w:color w:val="202124"/>
          <w:sz w:val="21"/>
          <w:szCs w:val="21"/>
        </w:rPr>
        <w:t xml:space="preserve">Se evaluó explícitamente si conviene incorporar un servicio de VPN, y la recomendación es: sí, agregarlo, pero como componente opcional/recomendado, no obligatorio:</w:t>
      </w:r>
    </w:p>
    <w:p>
      <w:pPr>
        <w:pStyle w:val="ListParagraph"/>
        <w:numPr>
          <w:ilvl w:val="0"/>
          <w:numId w:val="2"/>
        </w:numPr>
        <w:spacing w:after="90" w:line="276"/>
      </w:pPr>
      <w:r>
        <w:rPr>
          <w:color w:val="202124"/>
          <w:sz w:val="21"/>
          <w:szCs w:val="21"/>
        </w:rPr>
        <w:t xml:space="preserve">No es necesario para que los 60 usuarios usen la aplicación: ese tráfico siempre va por HTTPS público a través del WAF, con o sin VPN.</w:t>
      </w:r>
    </w:p>
    <w:p>
      <w:pPr>
        <w:pStyle w:val="ListParagraph"/>
        <w:numPr>
          <w:ilvl w:val="0"/>
          <w:numId w:val="2"/>
        </w:numPr>
        <w:spacing w:after="90" w:line="276"/>
      </w:pPr>
      <w:r>
        <w:rPr>
          <w:color w:val="202124"/>
          <w:sz w:val="21"/>
          <w:szCs w:val="21"/>
        </w:rPr>
        <w:t xml:space="preserve">Sí aporta valor para el esquema multisucursal (+3 oficinas) en dos frentes: (1) da a los administradores de TI un camino privado y cifrado hacia la VNet, alternativo o complementario a TC Plus/Bastion; y (2) deja lista la conectividad si en el futuro se necesita integrar algún recurso on-premise de una sucursal (AD local, archivos, impresión) sin exponerlo a Internet.</w:t>
      </w:r>
    </w:p>
    <w:p>
      <w:pPr>
        <w:pStyle w:val="ListParagraph"/>
        <w:numPr>
          <w:ilvl w:val="0"/>
          <w:numId w:val="2"/>
        </w:numPr>
        <w:spacing w:after="90" w:line="276"/>
      </w:pPr>
      <w:r>
        <w:rPr>
          <w:color w:val="202124"/>
          <w:sz w:val="21"/>
          <w:szCs w:val="21"/>
        </w:rPr>
        <w:t xml:space="preserve">Si el cliente busca minimizar costo fijo mensual y solo necesita administración remota puntual, puede omitirse el VPN Gateway y apoyarse únicamente en TC Plus + Azure Bastion (ahorro aproximado de $140–$180 USD/mes).</w:t>
      </w:r>
    </w:p>
    <w:p>
      <w:pPr>
        <w:spacing w:after="160" w:line="276"/>
        <w:jc w:val="both"/>
      </w:pPr>
      <w:r>
        <w:rPr>
          <w:b/>
          <w:bCs/>
          <w:i w:val="false"/>
          <w:iCs w:val="false"/>
          <w:color w:val="202124"/>
          <w:sz w:val="21"/>
          <w:szCs w:val="21"/>
        </w:rPr>
        <w:t xml:space="preserve">Recomendación final: incluir el VPN Gateway en el diseño de referencia (ya reflejado en el diagrama y en las tablas de esta propuesta) y decidir su activación real en la Fase 1 (planeación), en conjunto con el cliente, según el número definitivo de sucursales que requieran conectividad administrativa privada.</w:t>
      </w:r>
    </w:p>
    <w:p>
      <w:pPr>
        <w:pStyle w:val="Heading2"/>
        <w:spacing w:after="140" w:before="260"/>
      </w:pPr>
      <w:r>
        <w:rPr>
          <w:b/>
          <w:bCs/>
          <w:color w:val="1A73E8"/>
          <w:sz w:val="24"/>
          <w:szCs w:val="24"/>
        </w:rPr>
        <w:t xml:space="preserve">12.4 Subredes adicionales para administración, monitoreo y backups</w:t>
      </w:r>
    </w:p>
    <w:p>
      <w:pPr>
        <w:spacing w:after="160" w:line="276"/>
        <w:jc w:val="both"/>
      </w:pPr>
      <w:r>
        <w:rPr>
          <w:b w:val="false"/>
          <w:bCs w:val="false"/>
          <w:i w:val="false"/>
          <w:iCs w:val="false"/>
          <w:color w:val="202124"/>
          <w:sz w:val="21"/>
          <w:szCs w:val="21"/>
        </w:rPr>
        <w:t xml:space="preserve">Se incorporó en el diseño (sección 4.4) una subred adicional de Administración/Monitoreo/Backups, separada de las subredes de Aplicación y Base de Datos, para que ninguna tarea operativa (parcheo, backups, monitoreo, soporte remoto) transite por la misma red que el tráfico transaccional del negocio. Esto reduce superficie de ataque y facilita auditoría de accesos.</w:t>
      </w:r>
    </w:p>
    <w:p>
      <w:pPr>
        <w:pStyle w:val="Heading2"/>
        <w:spacing w:after="140" w:before="260"/>
      </w:pPr>
      <w:r>
        <w:rPr>
          <w:b/>
          <w:bCs/>
          <w:color w:val="1A73E8"/>
          <w:sz w:val="24"/>
          <w:szCs w:val="24"/>
        </w:rPr>
        <w:t xml:space="preserve">12.5 Otras recomendaciones</w:t>
      </w:r>
    </w:p>
    <w:p>
      <w:pPr>
        <w:pStyle w:val="ListParagraph"/>
        <w:numPr>
          <w:ilvl w:val="0"/>
          <w:numId w:val="2"/>
        </w:numPr>
        <w:spacing w:after="90" w:line="276"/>
      </w:pPr>
      <w:r>
        <w:rPr>
          <w:color w:val="202124"/>
          <w:sz w:val="21"/>
          <w:szCs w:val="21"/>
        </w:rPr>
        <w:t xml:space="preserve">Habilitar Microsoft Defender for Cloud (plan gratuito como mínimo) para visibilidad de vulnerabilidades en las VMs.</w:t>
      </w:r>
    </w:p>
    <w:p>
      <w:pPr>
        <w:pStyle w:val="ListParagraph"/>
        <w:numPr>
          <w:ilvl w:val="0"/>
          <w:numId w:val="2"/>
        </w:numPr>
        <w:spacing w:after="90" w:line="276"/>
      </w:pPr>
      <w:r>
        <w:rPr>
          <w:color w:val="202124"/>
          <w:sz w:val="21"/>
          <w:szCs w:val="21"/>
        </w:rPr>
        <w:t xml:space="preserve">Forzar TLS 1.2/1.3 y deshabilitar protocolos/cifrados obsoletos en el listener del Application Gateway.</w:t>
      </w:r>
    </w:p>
    <w:p>
      <w:pPr>
        <w:pStyle w:val="ListParagraph"/>
        <w:numPr>
          <w:ilvl w:val="0"/>
          <w:numId w:val="2"/>
        </w:numPr>
        <w:spacing w:after="90" w:line="276"/>
      </w:pPr>
      <w:r>
        <w:rPr>
          <w:color w:val="202124"/>
          <w:sz w:val="21"/>
          <w:szCs w:val="21"/>
        </w:rPr>
        <w:t xml:space="preserve">Definir una política de contraseñas y MFA para todos los accesos administrativos (Azure AD / Entra ID).</w:t>
      </w:r>
    </w:p>
    <w:p>
      <w:pPr>
        <w:pStyle w:val="ListParagraph"/>
        <w:numPr>
          <w:ilvl w:val="0"/>
          <w:numId w:val="2"/>
        </w:numPr>
        <w:spacing w:after="90" w:line="276"/>
      </w:pPr>
      <w:r>
        <w:rPr>
          <w:color w:val="202124"/>
          <w:sz w:val="21"/>
          <w:szCs w:val="21"/>
        </w:rPr>
        <w:t xml:space="preserve">Documentar y versionar la infraestructura como código (Bicep/Terraform) para facilitar réplicas futuras en otras regiones o ambientes (QA).</w:t>
      </w:r>
    </w:p>
    <w:p>
      <w:pPr>
        <w:pStyle w:val="ListParagraph"/>
        <w:numPr>
          <w:ilvl w:val="0"/>
          <w:numId w:val="2"/>
        </w:numPr>
        <w:spacing w:after="90" w:line="276"/>
      </w:pPr>
      <w:r>
        <w:rPr>
          <w:color w:val="202124"/>
          <w:sz w:val="21"/>
          <w:szCs w:val="21"/>
        </w:rPr>
        <w:t xml:space="preserve">Validar con el proveedor externo si la aplicación soporta múltiples instancias del servidor de Aplicación en balanceo (para escalabilidad y alta disponibilidad real, más allá de la redundancia del WAF).</w:t>
      </w:r>
    </w:p>
    <w:p>
      <w:r>
        <w:br w:type="page"/>
      </w:r>
    </w:p>
    <w:p>
      <w:pPr>
        <w:pStyle w:val="Heading1"/>
        <w:pBdr>
          <w:bottom w:val="single" w:color="174EA6" w:sz="8" w:space="4"/>
        </w:pBdr>
        <w:spacing w:after="200" w:before="400"/>
      </w:pPr>
      <w:r>
        <w:rPr>
          <w:b/>
          <w:bCs/>
          <w:color w:val="174EA6"/>
          <w:sz w:val="30"/>
          <w:szCs w:val="30"/>
        </w:rPr>
        <w:t xml:space="preserve">13. Próximos Pasos</w:t>
      </w:r>
    </w:p>
    <w:p>
      <w:pPr>
        <w:pStyle w:val="ListParagraph"/>
        <w:numPr>
          <w:ilvl w:val="0"/>
          <w:numId w:val="2"/>
        </w:numPr>
        <w:spacing w:after="90" w:line="276"/>
      </w:pPr>
      <w:r>
        <w:rPr>
          <w:color w:val="202124"/>
          <w:sz w:val="21"/>
          <w:szCs w:val="21"/>
        </w:rPr>
        <w:t xml:space="preserve">Validar y confirmar con el cliente el modelo de licenciamiento (pay-as-you-go vs. Azure Hybrid Benefit) para Windows Server y SQL Server.</w:t>
      </w:r>
    </w:p>
    <w:p>
      <w:pPr>
        <w:pStyle w:val="ListParagraph"/>
        <w:numPr>
          <w:ilvl w:val="0"/>
          <w:numId w:val="2"/>
        </w:numPr>
        <w:spacing w:after="90" w:line="276"/>
      </w:pPr>
      <w:r>
        <w:rPr>
          <w:color w:val="202124"/>
          <w:sz w:val="21"/>
          <w:szCs w:val="21"/>
        </w:rPr>
        <w:t xml:space="preserve">Confirmar la región de Azure a utilizar (según ubicación de las sucursales y del proveedor).</w:t>
      </w:r>
    </w:p>
    <w:p>
      <w:pPr>
        <w:pStyle w:val="ListParagraph"/>
        <w:numPr>
          <w:ilvl w:val="0"/>
          <w:numId w:val="2"/>
        </w:numPr>
        <w:spacing w:after="90" w:line="276"/>
      </w:pPr>
      <w:r>
        <w:rPr>
          <w:color w:val="202124"/>
          <w:sz w:val="21"/>
          <w:szCs w:val="21"/>
        </w:rPr>
        <w:t xml:space="preserve">Solicitar al proveedor externo la corrección/confirmación del dato de ancho de banda de subida por usuario.</w:t>
      </w:r>
    </w:p>
    <w:p>
      <w:pPr>
        <w:pStyle w:val="ListParagraph"/>
        <w:numPr>
          <w:ilvl w:val="0"/>
          <w:numId w:val="2"/>
        </w:numPr>
        <w:spacing w:after="90" w:line="276"/>
      </w:pPr>
      <w:r>
        <w:rPr>
          <w:color w:val="202124"/>
          <w:sz w:val="21"/>
          <w:szCs w:val="21"/>
        </w:rPr>
        <w:t xml:space="preserve">Generar la estimación final en la calculadora oficial de Azure con la región y el modelo de licenciamiento confirmados, y anexarla como addendum.</w:t>
      </w:r>
    </w:p>
    <w:p>
      <w:pPr>
        <w:pStyle w:val="ListParagraph"/>
        <w:numPr>
          <w:ilvl w:val="0"/>
          <w:numId w:val="2"/>
        </w:numPr>
        <w:spacing w:after="90" w:line="276"/>
      </w:pPr>
      <w:r>
        <w:rPr>
          <w:color w:val="202124"/>
          <w:sz w:val="21"/>
          <w:szCs w:val="21"/>
        </w:rPr>
        <w:t xml:space="preserve">Aprobar el presente documento para dar inicio a la Fase 1 (Planeación y diseño detallado).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6"/>
        <w:szCs w:val="16"/>
      </w:rPr>
      <w:t xml:space="preserve">Página </w:t>
    </w:r>
    <w:r>
      <w:rPr>
        <w:color w:val="5f6368"/>
        <w:sz w:val="16"/>
        <w:szCs w:val="16"/>
      </w:rPr>
      <w:fldChar w:fldCharType="begin"/>
      <w:instrText xml:space="preserve">PAGE</w:instrText>
      <w:fldChar w:fldCharType="separate"/>
      <w:fldChar w:fldCharType="end"/>
    </w:r>
    <w:r>
      <w:rPr>
        <w:color w:val="5f6368"/>
        <w:sz w:val="16"/>
        <w:szCs w:val="16"/>
      </w:rPr>
      <w:t xml:space="preserve"> de </w:t>
    </w:r>
    <w:r>
      <w:rPr>
        <w:color w:val="5f63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f6368"/>
        <w:sz w:val="16"/>
        <w:szCs w:val="16"/>
      </w:rPr>
      <w:t xml:space="preserve">Propuesta de Arquitectura Cloud — Solución Web 3 Niveles en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c7f1bf7f950bf580a21959c187cfcd4745d482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2026-08-27T06:30:00.309Z</dcterms:created>
  <dcterms:modified xsi:type="dcterms:W3CDTF">2026-08-27T06:30:00.323Z</dcterms:modified>
</cp:coreProperties>
</file>

<file path=docProps/custom.xml><?xml version="1.0" encoding="utf-8"?>
<Properties xmlns="http://schemas.openxmlformats.org/officeDocument/2006/custom-properties" xmlns:vt="http://schemas.openxmlformats.org/officeDocument/2006/docPropsVTypes"/>
</file>