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r>
    </w:p>
    <w:p>
      <w:pPr>
        <w:spacing w:after="200"/>
        <w:jc w:val="center"/>
      </w:pPr>
      <w:r>
        <w:rPr>
          <w:b/>
          <w:bCs/>
          <w:color w:val="0B5394"/>
          <w:sz w:val="52"/>
          <w:szCs w:val="52"/>
        </w:rPr>
        <w:t xml:space="preserve">Estrategia de Respaldo y Recuperación</w:t>
      </w:r>
    </w:p>
    <w:p>
      <w:pPr>
        <w:spacing w:after="600"/>
        <w:jc w:val="center"/>
      </w:pPr>
      <w:r>
        <w:rPr>
          <w:b/>
          <w:bCs/>
          <w:color w:val="1F4E79"/>
          <w:sz w:val="40"/>
          <w:szCs w:val="40"/>
        </w:rPr>
        <w:t xml:space="preserve">para Servicios en Microsoft Azure</w:t>
      </w:r>
    </w:p>
    <w:p>
      <w:pPr>
        <w:spacing w:after="200"/>
        <w:jc w:val="center"/>
      </w:pPr>
      <w:r>
        <w:rPr>
          <w:i/>
          <w:iCs/>
          <w:color w:val="595959"/>
          <w:sz w:val="26"/>
          <w:szCs w:val="26"/>
        </w:rPr>
        <w:t xml:space="preserve">Documento técnico de gobierno y operación</w:t>
      </w:r>
    </w:p>
    <w:p>
      <w:pPr>
        <w:spacing w:before="1200"/>
      </w:pPr>
      <w:r>
        <w:t xml:space="preserve"/>
      </w:r>
    </w:p>
    <w:p>
      <w:pPr>
        <w:spacing w:after="80"/>
        <w:jc w:val="center"/>
      </w:pPr>
      <w:r>
        <w:rPr>
          <w:color w:val="595959"/>
          <w:sz w:val="22"/>
          <w:szCs w:val="22"/>
        </w:rPr>
        <w:t xml:space="preserve">Versión 1.0</w:t>
      </w:r>
    </w:p>
    <w:p>
      <w:pPr>
        <w:spacing w:after="80"/>
        <w:jc w:val="center"/>
      </w:pPr>
      <w:r>
        <w:rPr>
          <w:color w:val="595959"/>
          <w:sz w:val="22"/>
          <w:szCs w:val="22"/>
        </w:rPr>
        <w:t xml:space="preserve">Clasificación: Uso Interno</w:t>
      </w:r>
    </w:p>
    <w:p>
      <w:pPr>
        <w:jc w:val="center"/>
      </w:pPr>
      <w:r>
        <w:rPr>
          <w:color w:val="595959"/>
          <w:sz w:val="22"/>
          <w:szCs w:val="22"/>
        </w:rPr>
        <w:t xml:space="preserve">Alcance: VMs, App Services, Bases de Datos, Storage y Logs</w:t>
      </w:r>
    </w:p>
    <w:p>
      <w:r>
        <w:br w:type="page"/>
      </w:r>
    </w:p>
    <w:p>
      <w:pPr>
        <w:pStyle w:val="Heading1"/>
        <w:spacing w:after="200" w:before="360"/>
      </w:pPr>
      <w:r>
        <w:rPr>
          <w:b/>
          <w:bCs/>
          <w:color w:val="0B5394"/>
          <w:sz w:val="32"/>
          <w:szCs w:val="32"/>
        </w:rPr>
        <w:t xml:space="preserve">1. Resumen Ejecutivo</w:t>
      </w:r>
    </w:p>
    <w:p>
      <w:pPr>
        <w:spacing w:after="120" w:line="300"/>
        <w:jc w:val="both"/>
      </w:pPr>
      <w:r>
        <w:t xml:space="preserve">Este documento define la estrategia integral de respaldo y recuperación para las cargas de trabajo desplegadas en Microsoft Azure. Establece un modelo de clasificación por criticidad de servicio, define los objetivos de tiempo (RTO) y punto (RPO) de recuperación para cada nivel, prescribe el tipo de respaldo (completo, diferencial, incremental) que aplica a cada componente, y detalla el ciclo completo de restauración con sus controles asociados.</w:t>
      </w:r>
    </w:p>
    <w:p>
      <w:pPr>
        <w:spacing w:after="120" w:line="300"/>
        <w:jc w:val="both"/>
      </w:pPr>
      <w:r>
        <w:t xml:space="preserve">El enfoque se basa en el principio 3-2-1-1-0: tres copias de los datos, en dos tipos de medios, una copia fuera de la región principal, una copia inmutable y cero errores tras una prueba de restauración. Se prioriza el uso de servicios nativos de Azure (Azure Backup, Azure Site Recovery, backups gestionados de PaaS) sobre soluciones de terceros, salvo cuando existan requisitos específicos de portabilidad o compliance que lo justifiquen.</w:t>
      </w:r>
    </w:p>
    <w:p>
      <w:pPr>
        <w:spacing w:after="120" w:line="300"/>
        <w:jc w:val="both"/>
      </w:pPr>
      <w:r>
        <w:t xml:space="preserve">La estrategia contempla además la resiliencia frente a escenarios de ransomware mediante respaldos inmutables y aislados (vault con soft-delete y multi-user authorization), la recuperación regional ante desastres, y la verificación periódica de restauración (DR drills) como parte del ciclo operativo.</w:t>
      </w:r>
    </w:p>
    <w:p>
      <w:pPr>
        <w:pStyle w:val="Heading1"/>
        <w:spacing w:after="200" w:before="360"/>
      </w:pPr>
      <w:r>
        <w:rPr>
          <w:b/>
          <w:bCs/>
          <w:color w:val="0B5394"/>
          <w:sz w:val="32"/>
          <w:szCs w:val="32"/>
        </w:rPr>
        <w:t xml:space="preserve">2. Objetivos y Alcance</w:t>
      </w:r>
    </w:p>
    <w:p>
      <w:pPr>
        <w:pStyle w:val="Heading2"/>
        <w:spacing w:after="140" w:before="280"/>
      </w:pPr>
      <w:r>
        <w:rPr>
          <w:b/>
          <w:bCs/>
          <w:color w:val="1F4E79"/>
          <w:sz w:val="26"/>
          <w:szCs w:val="26"/>
        </w:rPr>
        <w:t xml:space="preserve">2.1 Objetivos</w:t>
      </w:r>
    </w:p>
    <w:p>
      <w:pPr>
        <w:pStyle w:val="ListParagraph"/>
        <w:numPr>
          <w:ilvl w:val="0"/>
          <w:numId w:val="2"/>
        </w:numPr>
        <w:spacing w:after="80" w:line="290"/>
      </w:pPr>
      <w:r>
        <w:rPr>
          <w:sz w:val="22"/>
          <w:szCs w:val="22"/>
        </w:rPr>
        <w:t xml:space="preserve">Garantizar la continuidad operativa de los servicios críticos del negocio ante incidentes de pérdida, corrupción o cifrado malicioso de datos.</w:t>
      </w:r>
    </w:p>
    <w:p>
      <w:pPr>
        <w:pStyle w:val="ListParagraph"/>
        <w:numPr>
          <w:ilvl w:val="0"/>
          <w:numId w:val="2"/>
        </w:numPr>
        <w:spacing w:after="80" w:line="290"/>
      </w:pPr>
      <w:r>
        <w:rPr>
          <w:sz w:val="22"/>
          <w:szCs w:val="22"/>
        </w:rPr>
        <w:t xml:space="preserve">Definir RTO y RPO formales por nivel de criticidad, alineados con las expectativas del negocio.</w:t>
      </w:r>
    </w:p>
    <w:p>
      <w:pPr>
        <w:pStyle w:val="ListParagraph"/>
        <w:numPr>
          <w:ilvl w:val="0"/>
          <w:numId w:val="2"/>
        </w:numPr>
        <w:spacing w:after="80" w:line="290"/>
      </w:pPr>
      <w:r>
        <w:rPr>
          <w:sz w:val="22"/>
          <w:szCs w:val="22"/>
        </w:rPr>
        <w:t xml:space="preserve">Estandarizar los mecanismos de respaldo nativos en Azure por tipo de servicio.</w:t>
      </w:r>
    </w:p>
    <w:p>
      <w:pPr>
        <w:pStyle w:val="ListParagraph"/>
        <w:numPr>
          <w:ilvl w:val="0"/>
          <w:numId w:val="2"/>
        </w:numPr>
        <w:spacing w:after="80" w:line="290"/>
      </w:pPr>
      <w:r>
        <w:rPr>
          <w:sz w:val="22"/>
          <w:szCs w:val="22"/>
        </w:rPr>
        <w:t xml:space="preserve">Establecer un ciclo de restauración predecible, ensayado y auditable.</w:t>
      </w:r>
    </w:p>
    <w:p>
      <w:pPr>
        <w:pStyle w:val="ListParagraph"/>
        <w:numPr>
          <w:ilvl w:val="0"/>
          <w:numId w:val="2"/>
        </w:numPr>
        <w:spacing w:after="80" w:line="290"/>
      </w:pPr>
      <w:r>
        <w:rPr>
          <w:sz w:val="22"/>
          <w:szCs w:val="22"/>
        </w:rPr>
        <w:t xml:space="preserve">Cumplir con requisitos regulatorios y de retención de información.</w:t>
      </w:r>
    </w:p>
    <w:p>
      <w:pPr>
        <w:pStyle w:val="ListParagraph"/>
        <w:numPr>
          <w:ilvl w:val="0"/>
          <w:numId w:val="2"/>
        </w:numPr>
        <w:spacing w:after="80" w:line="290"/>
      </w:pPr>
      <w:r>
        <w:rPr>
          <w:sz w:val="22"/>
          <w:szCs w:val="22"/>
        </w:rPr>
        <w:t xml:space="preserve">Optimizar costos mediante políticas de retención y niveles de almacenamiento adecuados.</w:t>
      </w:r>
    </w:p>
    <w:p>
      <w:pPr>
        <w:pStyle w:val="Heading2"/>
        <w:spacing w:after="140" w:before="280"/>
      </w:pPr>
      <w:r>
        <w:rPr>
          <w:b/>
          <w:bCs/>
          <w:color w:val="1F4E79"/>
          <w:sz w:val="26"/>
          <w:szCs w:val="26"/>
        </w:rPr>
        <w:t xml:space="preserve">2.2 Alcance</w:t>
      </w:r>
    </w:p>
    <w:p>
      <w:pPr>
        <w:spacing w:after="120" w:line="300"/>
        <w:jc w:val="both"/>
      </w:pPr>
      <w:r>
        <w:t xml:space="preserve">La estrategia aplica a los siguientes servicios desplegados en Azure:</w:t>
      </w:r>
    </w:p>
    <w:p>
      <w:pPr>
        <w:pStyle w:val="ListParagraph"/>
        <w:numPr>
          <w:ilvl w:val="0"/>
          <w:numId w:val="2"/>
        </w:numPr>
        <w:spacing w:after="80" w:line="290"/>
      </w:pPr>
      <w:r>
        <w:rPr>
          <w:sz w:val="22"/>
          <w:szCs w:val="22"/>
        </w:rPr>
        <w:t xml:space="preserve">Máquinas virtuales IaaS (Windows y Linux) y sus discos administrados.</w:t>
      </w:r>
    </w:p>
    <w:p>
      <w:pPr>
        <w:pStyle w:val="ListParagraph"/>
        <w:numPr>
          <w:ilvl w:val="0"/>
          <w:numId w:val="2"/>
        </w:numPr>
        <w:spacing w:after="80" w:line="290"/>
      </w:pPr>
      <w:r>
        <w:rPr>
          <w:sz w:val="22"/>
          <w:szCs w:val="22"/>
        </w:rPr>
        <w:t xml:space="preserve">Azure App Service (Web Apps, API Apps, Function Apps) y sus configuraciones.</w:t>
      </w:r>
    </w:p>
    <w:p>
      <w:pPr>
        <w:pStyle w:val="ListParagraph"/>
        <w:numPr>
          <w:ilvl w:val="0"/>
          <w:numId w:val="2"/>
        </w:numPr>
        <w:spacing w:after="80" w:line="290"/>
      </w:pPr>
      <w:r>
        <w:rPr>
          <w:sz w:val="22"/>
          <w:szCs w:val="22"/>
        </w:rPr>
        <w:t xml:space="preserve">Servicios de base de datos: Azure SQL Database, SQL Managed Instance, SQL Server sobre VM, Azure Database for PostgreSQL/MySQL/MariaDB, Cosmos DB.</w:t>
      </w:r>
    </w:p>
    <w:p>
      <w:pPr>
        <w:pStyle w:val="ListParagraph"/>
        <w:numPr>
          <w:ilvl w:val="0"/>
          <w:numId w:val="2"/>
        </w:numPr>
        <w:spacing w:after="80" w:line="290"/>
      </w:pPr>
      <w:r>
        <w:rPr>
          <w:sz w:val="22"/>
          <w:szCs w:val="22"/>
        </w:rPr>
        <w:t xml:space="preserve">Servicios de almacenamiento: Azure Blob Storage, Azure Files, Managed Disks, Azure NetApp Files.</w:t>
      </w:r>
    </w:p>
    <w:p>
      <w:pPr>
        <w:pStyle w:val="ListParagraph"/>
        <w:numPr>
          <w:ilvl w:val="0"/>
          <w:numId w:val="2"/>
        </w:numPr>
        <w:spacing w:after="80" w:line="290"/>
      </w:pPr>
      <w:r>
        <w:rPr>
          <w:sz w:val="22"/>
          <w:szCs w:val="22"/>
        </w:rPr>
        <w:t xml:space="preserve">Telemetría y logs: Log Analytics Workspaces, Application Insights, Activity Logs, Diagnostic Settings.</w:t>
      </w:r>
    </w:p>
    <w:p>
      <w:pPr>
        <w:pStyle w:val="ListParagraph"/>
        <w:numPr>
          <w:ilvl w:val="0"/>
          <w:numId w:val="2"/>
        </w:numPr>
        <w:spacing w:after="80" w:line="290"/>
      </w:pPr>
      <w:r>
        <w:rPr>
          <w:sz w:val="22"/>
          <w:szCs w:val="22"/>
        </w:rPr>
        <w:t xml:space="preserve">Componentes complementarios: Azure Key Vault, configuración de red, plantillas IaC.</w:t>
      </w:r>
    </w:p>
    <w:p>
      <w:pPr>
        <w:pStyle w:val="Heading2"/>
        <w:spacing w:after="140" w:before="280"/>
      </w:pPr>
      <w:r>
        <w:rPr>
          <w:b/>
          <w:bCs/>
          <w:color w:val="1F4E79"/>
          <w:sz w:val="26"/>
          <w:szCs w:val="26"/>
        </w:rPr>
        <w:t xml:space="preserve">2.3 Fuera de Alcance</w:t>
      </w:r>
    </w:p>
    <w:p>
      <w:pPr>
        <w:pStyle w:val="ListParagraph"/>
        <w:numPr>
          <w:ilvl w:val="0"/>
          <w:numId w:val="2"/>
        </w:numPr>
        <w:spacing w:after="80" w:line="290"/>
      </w:pPr>
      <w:r>
        <w:rPr>
          <w:sz w:val="22"/>
          <w:szCs w:val="22"/>
        </w:rPr>
        <w:t xml:space="preserve">Cargas de trabajo on-premises (cubiertas en plan de DR corporativo separado).</w:t>
      </w:r>
    </w:p>
    <w:p>
      <w:pPr>
        <w:pStyle w:val="ListParagraph"/>
        <w:numPr>
          <w:ilvl w:val="0"/>
          <w:numId w:val="2"/>
        </w:numPr>
        <w:spacing w:after="80" w:line="290"/>
      </w:pPr>
      <w:r>
        <w:rPr>
          <w:sz w:val="22"/>
          <w:szCs w:val="22"/>
        </w:rPr>
        <w:t xml:space="preserve">Estaciones de trabajo y dispositivos de usuario final.</w:t>
      </w:r>
    </w:p>
    <w:p>
      <w:pPr>
        <w:pStyle w:val="ListParagraph"/>
        <w:numPr>
          <w:ilvl w:val="0"/>
          <w:numId w:val="2"/>
        </w:numPr>
        <w:spacing w:after="80" w:line="290"/>
      </w:pPr>
      <w:r>
        <w:rPr>
          <w:sz w:val="22"/>
          <w:szCs w:val="22"/>
        </w:rPr>
        <w:t xml:space="preserve">Servicios SaaS de terceros (Microsoft 365 requiere estrategia independiente).</w:t>
      </w:r>
    </w:p>
    <w:p>
      <w:r>
        <w:br w:type="page"/>
      </w:r>
    </w:p>
    <w:p>
      <w:pPr>
        <w:pStyle w:val="Heading1"/>
        <w:spacing w:after="200" w:before="360"/>
      </w:pPr>
      <w:r>
        <w:rPr>
          <w:b/>
          <w:bCs/>
          <w:color w:val="0B5394"/>
          <w:sz w:val="32"/>
          <w:szCs w:val="32"/>
        </w:rPr>
        <w:t xml:space="preserve">3. Marco de Clasificación por Criticidad</w:t>
      </w:r>
    </w:p>
    <w:p>
      <w:pPr>
        <w:spacing w:after="120" w:line="300"/>
        <w:jc w:val="both"/>
      </w:pPr>
      <w:r>
        <w:t xml:space="preserve">Todo componente bajo el alcance debe ser clasificado en uno de cuatro niveles. La clasificación determina el RTO, RPO, tipo de respaldo, retención y costo asociado. La asignación es responsabilidad del dueño del servicio (Service Owner) en conjunto con el área de continuidad.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3600"/>
        <w:gridCol w:w="3260"/>
      </w:tblGrid>
      <w:tr>
        <w:trPr>
          <w:tblHeader/>
        </w:trPr>
        <w:tc>
          <w:tcPr>
            <w:tcW w:type="dxa" w:w="900"/>
            <w:tcBorders>
              <w:top w:val="single" w:color="0B5394" w:sz="6"/>
              <w:left w:val="single" w:color="0B5394" w:sz="6"/>
              <w:bottom w:val="single" w:color="0B5394" w:sz="6"/>
              <w:right w:val="single" w:color="0B5394" w:sz="6"/>
            </w:tcBorders>
            <w:shd w:fill="0B5394" w:color="auto" w:val="clear"/>
            <w:tcMar>
              <w:top w:type="dxa" w:w="100"/>
              <w:left w:type="dxa" w:w="120"/>
              <w:bottom w:type="dxa" w:w="100"/>
              <w:right w:type="dxa" w:w="120"/>
            </w:tcMar>
          </w:tcPr>
          <w:p>
            <w:pPr>
              <w:jc w:val="left"/>
            </w:pPr>
            <w:r>
              <w:rPr>
                <w:b/>
                <w:bCs/>
                <w:color w:val="FFFFFF"/>
                <w:sz w:val="20"/>
                <w:szCs w:val="20"/>
              </w:rPr>
              <w:t xml:space="preserve">Nivel</w:t>
            </w:r>
          </w:p>
        </w:tc>
        <w:tc>
          <w:tcPr>
            <w:tcW w:type="dxa" w:w="1600"/>
            <w:tcBorders>
              <w:top w:val="single" w:color="0B5394" w:sz="6"/>
              <w:left w:val="single" w:color="0B5394" w:sz="6"/>
              <w:bottom w:val="single" w:color="0B5394" w:sz="6"/>
              <w:right w:val="single" w:color="0B5394" w:sz="6"/>
            </w:tcBorders>
            <w:shd w:fill="0B5394" w:color="auto" w:val="clear"/>
            <w:tcMar>
              <w:top w:type="dxa" w:w="100"/>
              <w:left w:type="dxa" w:w="120"/>
              <w:bottom w:type="dxa" w:w="100"/>
              <w:right w:type="dxa" w:w="120"/>
            </w:tcMar>
          </w:tcPr>
          <w:p>
            <w:pPr>
              <w:jc w:val="left"/>
            </w:pPr>
            <w:r>
              <w:rPr>
                <w:b/>
                <w:bCs/>
                <w:color w:val="FFFFFF"/>
                <w:sz w:val="20"/>
                <w:szCs w:val="20"/>
              </w:rPr>
              <w:t xml:space="preserve">Denominación</w:t>
            </w:r>
          </w:p>
        </w:tc>
        <w:tc>
          <w:tcPr>
            <w:tcW w:type="dxa" w:w="3600"/>
            <w:tcBorders>
              <w:top w:val="single" w:color="0B5394" w:sz="6"/>
              <w:left w:val="single" w:color="0B5394" w:sz="6"/>
              <w:bottom w:val="single" w:color="0B5394" w:sz="6"/>
              <w:right w:val="single" w:color="0B5394" w:sz="6"/>
            </w:tcBorders>
            <w:shd w:fill="0B5394" w:color="auto" w:val="clear"/>
            <w:tcMar>
              <w:top w:type="dxa" w:w="100"/>
              <w:left w:type="dxa" w:w="120"/>
              <w:bottom w:type="dxa" w:w="100"/>
              <w:right w:type="dxa" w:w="120"/>
            </w:tcMar>
          </w:tcPr>
          <w:p>
            <w:pPr>
              <w:jc w:val="left"/>
            </w:pPr>
            <w:r>
              <w:rPr>
                <w:b/>
                <w:bCs/>
                <w:color w:val="FFFFFF"/>
                <w:sz w:val="20"/>
                <w:szCs w:val="20"/>
              </w:rPr>
              <w:t xml:space="preserve">Descripción</w:t>
            </w:r>
          </w:p>
        </w:tc>
        <w:tc>
          <w:tcPr>
            <w:tcW w:type="dxa" w:w="3260"/>
            <w:tcBorders>
              <w:top w:val="single" w:color="0B5394" w:sz="6"/>
              <w:left w:val="single" w:color="0B5394" w:sz="6"/>
              <w:bottom w:val="single" w:color="0B5394" w:sz="6"/>
              <w:right w:val="single" w:color="0B5394" w:sz="6"/>
            </w:tcBorders>
            <w:shd w:fill="0B5394" w:color="auto" w:val="clear"/>
            <w:tcMar>
              <w:top w:type="dxa" w:w="100"/>
              <w:left w:type="dxa" w:w="120"/>
              <w:bottom w:type="dxa" w:w="100"/>
              <w:right w:type="dxa" w:w="120"/>
            </w:tcMar>
          </w:tcPr>
          <w:p>
            <w:pPr>
              <w:jc w:val="left"/>
            </w:pPr>
            <w:r>
              <w:rPr>
                <w:b/>
                <w:bCs/>
                <w:color w:val="FFFFFF"/>
                <w:sz w:val="20"/>
                <w:szCs w:val="20"/>
              </w:rPr>
              <w:t xml:space="preserve">Ejemplos típicos</w:t>
            </w:r>
          </w:p>
        </w:tc>
      </w:tr>
      <w:tr>
        <w:tc>
          <w:tcPr>
            <w:tcW w:type="dxa" w:w="900"/>
            <w:tcBorders>
              <w:top w:val="single" w:color="BFBFBF" w:sz="6"/>
              <w:left w:val="single" w:color="BFBFBF" w:sz="6"/>
              <w:bottom w:val="single" w:color="BFBFBF" w:sz="6"/>
              <w:right w:val="single" w:color="BFBFBF" w:sz="6"/>
            </w:tcBorders>
            <w:tcMar>
              <w:top w:type="dxa" w:w="90"/>
              <w:left w:type="dxa" w:w="120"/>
              <w:bottom w:type="dxa" w:w="90"/>
              <w:right w:type="dxa" w:w="120"/>
            </w:tcMar>
          </w:tcPr>
          <w:p>
            <w:pPr>
              <w:spacing w:after="40"/>
              <w:jc w:val="left"/>
            </w:pPr>
            <w:r>
              <w:rPr>
                <w:sz w:val="19"/>
                <w:szCs w:val="19"/>
              </w:rPr>
              <w:t xml:space="preserve">Tier 0</w:t>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tcPr>
          <w:p>
            <w:pPr>
              <w:spacing w:after="40"/>
              <w:jc w:val="left"/>
            </w:pPr>
            <w:r>
              <w:rPr>
                <w:sz w:val="19"/>
                <w:szCs w:val="19"/>
              </w:rPr>
              <w:t xml:space="preserve">Misión crítica</w:t>
            </w:r>
          </w:p>
        </w:tc>
        <w:tc>
          <w:tcPr>
            <w:tcW w:type="dxa" w:w="3600"/>
            <w:tcBorders>
              <w:top w:val="single" w:color="BFBFBF" w:sz="6"/>
              <w:left w:val="single" w:color="BFBFBF" w:sz="6"/>
              <w:bottom w:val="single" w:color="BFBFBF" w:sz="6"/>
              <w:right w:val="single" w:color="BFBFBF" w:sz="6"/>
            </w:tcBorders>
            <w:tcMar>
              <w:top w:type="dxa" w:w="90"/>
              <w:left w:type="dxa" w:w="120"/>
              <w:bottom w:type="dxa" w:w="90"/>
              <w:right w:type="dxa" w:w="120"/>
            </w:tcMar>
          </w:tcPr>
          <w:p>
            <w:pPr>
              <w:spacing w:after="40"/>
              <w:jc w:val="left"/>
            </w:pPr>
            <w:r>
              <w:rPr>
                <w:sz w:val="19"/>
                <w:szCs w:val="19"/>
              </w:rPr>
              <w:t xml:space="preserve">Indisponibilidad genera pérdida financiera inmediata, impacto regulatorio o reputacional severo. Requiere alta disponibilidad y DR multi-región.</w:t>
            </w:r>
          </w:p>
        </w:tc>
        <w:tc>
          <w:tcPr>
            <w:tcW w:type="dxa" w:w="3260"/>
            <w:tcBorders>
              <w:top w:val="single" w:color="BFBFBF" w:sz="6"/>
              <w:left w:val="single" w:color="BFBFBF" w:sz="6"/>
              <w:bottom w:val="single" w:color="BFBFBF" w:sz="6"/>
              <w:right w:val="single" w:color="BFBFBF" w:sz="6"/>
            </w:tcBorders>
            <w:tcMar>
              <w:top w:type="dxa" w:w="90"/>
              <w:left w:type="dxa" w:w="120"/>
              <w:bottom w:type="dxa" w:w="90"/>
              <w:right w:type="dxa" w:w="120"/>
            </w:tcMar>
          </w:tcPr>
          <w:p>
            <w:pPr>
              <w:spacing w:after="40"/>
              <w:jc w:val="left"/>
            </w:pPr>
            <w:r>
              <w:rPr>
                <w:sz w:val="19"/>
                <w:szCs w:val="19"/>
              </w:rPr>
              <w:t xml:space="preserve">Core bancario, pasarela de pagos, ERP transaccional, sistemas de salud en línea.</w:t>
            </w:r>
          </w:p>
        </w:tc>
      </w:tr>
      <w:tr>
        <w:tc>
          <w:tcPr>
            <w:tcW w:type="dxa" w:w="900"/>
            <w:tcBorders>
              <w:top w:val="single" w:color="BFBFBF" w:sz="6"/>
              <w:left w:val="single" w:color="BFBFBF" w:sz="6"/>
              <w:bottom w:val="single" w:color="BFBFBF" w:sz="6"/>
              <w:right w:val="single" w:color="BFBFBF" w:sz="6"/>
            </w:tcBorders>
            <w:shd w:fill="F2F2F2" w:color="auto" w:val="clear"/>
            <w:tcMar>
              <w:top w:type="dxa" w:w="90"/>
              <w:left w:type="dxa" w:w="120"/>
              <w:bottom w:type="dxa" w:w="90"/>
              <w:right w:type="dxa" w:w="120"/>
            </w:tcMar>
          </w:tcPr>
          <w:p>
            <w:pPr>
              <w:spacing w:after="40"/>
              <w:jc w:val="left"/>
            </w:pPr>
            <w:r>
              <w:rPr>
                <w:sz w:val="19"/>
                <w:szCs w:val="19"/>
              </w:rPr>
              <w:t xml:space="preserve">Tier 1</w:t>
            </w:r>
          </w:p>
        </w:tc>
        <w:tc>
          <w:tcPr>
            <w:tcW w:type="dxa" w:w="1600"/>
            <w:tcBorders>
              <w:top w:val="single" w:color="BFBFBF" w:sz="6"/>
              <w:left w:val="single" w:color="BFBFBF" w:sz="6"/>
              <w:bottom w:val="single" w:color="BFBFBF" w:sz="6"/>
              <w:right w:val="single" w:color="BFBFBF" w:sz="6"/>
            </w:tcBorders>
            <w:shd w:fill="F2F2F2" w:color="auto" w:val="clear"/>
            <w:tcMar>
              <w:top w:type="dxa" w:w="90"/>
              <w:left w:type="dxa" w:w="120"/>
              <w:bottom w:type="dxa" w:w="90"/>
              <w:right w:type="dxa" w:w="120"/>
            </w:tcMar>
          </w:tcPr>
          <w:p>
            <w:pPr>
              <w:spacing w:after="40"/>
              <w:jc w:val="left"/>
            </w:pPr>
            <w:r>
              <w:rPr>
                <w:sz w:val="19"/>
                <w:szCs w:val="19"/>
              </w:rPr>
              <w:t xml:space="preserve">Crítico de negocio</w:t>
            </w:r>
          </w:p>
        </w:tc>
        <w:tc>
          <w:tcPr>
            <w:tcW w:type="dxa" w:w="3600"/>
            <w:tcBorders>
              <w:top w:val="single" w:color="BFBFBF" w:sz="6"/>
              <w:left w:val="single" w:color="BFBFBF" w:sz="6"/>
              <w:bottom w:val="single" w:color="BFBFBF" w:sz="6"/>
              <w:right w:val="single" w:color="BFBFBF" w:sz="6"/>
            </w:tcBorders>
            <w:shd w:fill="F2F2F2" w:color="auto" w:val="clear"/>
            <w:tcMar>
              <w:top w:type="dxa" w:w="90"/>
              <w:left w:type="dxa" w:w="120"/>
              <w:bottom w:type="dxa" w:w="90"/>
              <w:right w:type="dxa" w:w="120"/>
            </w:tcMar>
          </w:tcPr>
          <w:p>
            <w:pPr>
              <w:spacing w:after="40"/>
              <w:jc w:val="left"/>
            </w:pPr>
            <w:r>
              <w:rPr>
                <w:sz w:val="19"/>
                <w:szCs w:val="19"/>
              </w:rPr>
              <w:t xml:space="preserve">Indisponibilidad afecta operación de áreas clave de negocio en cuestión de horas. Recuperación rápida pero tolera ventana de minutos.</w:t>
            </w:r>
          </w:p>
        </w:tc>
        <w:tc>
          <w:tcPr>
            <w:tcW w:type="dxa" w:w="3260"/>
            <w:tcBorders>
              <w:top w:val="single" w:color="BFBFBF" w:sz="6"/>
              <w:left w:val="single" w:color="BFBFBF" w:sz="6"/>
              <w:bottom w:val="single" w:color="BFBFBF" w:sz="6"/>
              <w:right w:val="single" w:color="BFBFBF" w:sz="6"/>
            </w:tcBorders>
            <w:shd w:fill="F2F2F2" w:color="auto" w:val="clear"/>
            <w:tcMar>
              <w:top w:type="dxa" w:w="90"/>
              <w:left w:type="dxa" w:w="120"/>
              <w:bottom w:type="dxa" w:w="90"/>
              <w:right w:type="dxa" w:w="120"/>
            </w:tcMar>
          </w:tcPr>
          <w:p>
            <w:pPr>
              <w:spacing w:after="40"/>
              <w:jc w:val="left"/>
            </w:pPr>
            <w:r>
              <w:rPr>
                <w:sz w:val="19"/>
                <w:szCs w:val="19"/>
              </w:rPr>
              <w:t xml:space="preserve">CRM, portales transaccionales, BD operacionales, e-commerce.</w:t>
            </w:r>
          </w:p>
        </w:tc>
      </w:tr>
      <w:tr>
        <w:tc>
          <w:tcPr>
            <w:tcW w:type="dxa" w:w="900"/>
            <w:tcBorders>
              <w:top w:val="single" w:color="BFBFBF" w:sz="6"/>
              <w:left w:val="single" w:color="BFBFBF" w:sz="6"/>
              <w:bottom w:val="single" w:color="BFBFBF" w:sz="6"/>
              <w:right w:val="single" w:color="BFBFBF" w:sz="6"/>
            </w:tcBorders>
            <w:tcMar>
              <w:top w:type="dxa" w:w="90"/>
              <w:left w:type="dxa" w:w="120"/>
              <w:bottom w:type="dxa" w:w="90"/>
              <w:right w:type="dxa" w:w="120"/>
            </w:tcMar>
          </w:tcPr>
          <w:p>
            <w:pPr>
              <w:spacing w:after="40"/>
              <w:jc w:val="left"/>
            </w:pPr>
            <w:r>
              <w:rPr>
                <w:sz w:val="19"/>
                <w:szCs w:val="19"/>
              </w:rPr>
              <w:t xml:space="preserve">Tier 2</w:t>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tcPr>
          <w:p>
            <w:pPr>
              <w:spacing w:after="40"/>
              <w:jc w:val="left"/>
            </w:pPr>
            <w:r>
              <w:rPr>
                <w:sz w:val="19"/>
                <w:szCs w:val="19"/>
              </w:rPr>
              <w:t xml:space="preserve">Importante</w:t>
            </w:r>
          </w:p>
        </w:tc>
        <w:tc>
          <w:tcPr>
            <w:tcW w:type="dxa" w:w="3600"/>
            <w:tcBorders>
              <w:top w:val="single" w:color="BFBFBF" w:sz="6"/>
              <w:left w:val="single" w:color="BFBFBF" w:sz="6"/>
              <w:bottom w:val="single" w:color="BFBFBF" w:sz="6"/>
              <w:right w:val="single" w:color="BFBFBF" w:sz="6"/>
            </w:tcBorders>
            <w:tcMar>
              <w:top w:type="dxa" w:w="90"/>
              <w:left w:type="dxa" w:w="120"/>
              <w:bottom w:type="dxa" w:w="90"/>
              <w:right w:type="dxa" w:w="120"/>
            </w:tcMar>
          </w:tcPr>
          <w:p>
            <w:pPr>
              <w:spacing w:after="40"/>
              <w:jc w:val="left"/>
            </w:pPr>
            <w:r>
              <w:rPr>
                <w:sz w:val="19"/>
                <w:szCs w:val="19"/>
              </w:rPr>
              <w:t xml:space="preserve">Soporta procesos internos relevantes. Tolera horas de indisponibilidad sin impacto material.</w:t>
            </w:r>
          </w:p>
        </w:tc>
        <w:tc>
          <w:tcPr>
            <w:tcW w:type="dxa" w:w="3260"/>
            <w:tcBorders>
              <w:top w:val="single" w:color="BFBFBF" w:sz="6"/>
              <w:left w:val="single" w:color="BFBFBF" w:sz="6"/>
              <w:bottom w:val="single" w:color="BFBFBF" w:sz="6"/>
              <w:right w:val="single" w:color="BFBFBF" w:sz="6"/>
            </w:tcBorders>
            <w:tcMar>
              <w:top w:type="dxa" w:w="90"/>
              <w:left w:type="dxa" w:w="120"/>
              <w:bottom w:type="dxa" w:w="90"/>
              <w:right w:type="dxa" w:w="120"/>
            </w:tcMar>
          </w:tcPr>
          <w:p>
            <w:pPr>
              <w:spacing w:after="40"/>
              <w:jc w:val="left"/>
            </w:pPr>
            <w:r>
              <w:rPr>
                <w:sz w:val="19"/>
                <w:szCs w:val="19"/>
              </w:rPr>
              <w:t xml:space="preserve">Intranets, sistemas de reportería, ambientes de QA, aplicaciones internas.</w:t>
            </w:r>
          </w:p>
        </w:tc>
      </w:tr>
      <w:tr>
        <w:tc>
          <w:tcPr>
            <w:tcW w:type="dxa" w:w="900"/>
            <w:tcBorders>
              <w:top w:val="single" w:color="BFBFBF" w:sz="6"/>
              <w:left w:val="single" w:color="BFBFBF" w:sz="6"/>
              <w:bottom w:val="single" w:color="BFBFBF" w:sz="6"/>
              <w:right w:val="single" w:color="BFBFBF" w:sz="6"/>
            </w:tcBorders>
            <w:shd w:fill="F2F2F2" w:color="auto" w:val="clear"/>
            <w:tcMar>
              <w:top w:type="dxa" w:w="90"/>
              <w:left w:type="dxa" w:w="120"/>
              <w:bottom w:type="dxa" w:w="90"/>
              <w:right w:type="dxa" w:w="120"/>
            </w:tcMar>
          </w:tcPr>
          <w:p>
            <w:pPr>
              <w:spacing w:after="40"/>
              <w:jc w:val="left"/>
            </w:pPr>
            <w:r>
              <w:rPr>
                <w:sz w:val="19"/>
                <w:szCs w:val="19"/>
              </w:rPr>
              <w:t xml:space="preserve">Tier 3</w:t>
            </w:r>
          </w:p>
        </w:tc>
        <w:tc>
          <w:tcPr>
            <w:tcW w:type="dxa" w:w="1600"/>
            <w:tcBorders>
              <w:top w:val="single" w:color="BFBFBF" w:sz="6"/>
              <w:left w:val="single" w:color="BFBFBF" w:sz="6"/>
              <w:bottom w:val="single" w:color="BFBFBF" w:sz="6"/>
              <w:right w:val="single" w:color="BFBFBF" w:sz="6"/>
            </w:tcBorders>
            <w:shd w:fill="F2F2F2" w:color="auto" w:val="clear"/>
            <w:tcMar>
              <w:top w:type="dxa" w:w="90"/>
              <w:left w:type="dxa" w:w="120"/>
              <w:bottom w:type="dxa" w:w="90"/>
              <w:right w:type="dxa" w:w="120"/>
            </w:tcMar>
          </w:tcPr>
          <w:p>
            <w:pPr>
              <w:spacing w:after="40"/>
              <w:jc w:val="left"/>
            </w:pPr>
            <w:r>
              <w:rPr>
                <w:sz w:val="19"/>
                <w:szCs w:val="19"/>
              </w:rPr>
              <w:t xml:space="preserve">Estándar / No crítico</w:t>
            </w:r>
          </w:p>
        </w:tc>
        <w:tc>
          <w:tcPr>
            <w:tcW w:type="dxa" w:w="3600"/>
            <w:tcBorders>
              <w:top w:val="single" w:color="BFBFBF" w:sz="6"/>
              <w:left w:val="single" w:color="BFBFBF" w:sz="6"/>
              <w:bottom w:val="single" w:color="BFBFBF" w:sz="6"/>
              <w:right w:val="single" w:color="BFBFBF" w:sz="6"/>
            </w:tcBorders>
            <w:shd w:fill="F2F2F2" w:color="auto" w:val="clear"/>
            <w:tcMar>
              <w:top w:type="dxa" w:w="90"/>
              <w:left w:type="dxa" w:w="120"/>
              <w:bottom w:type="dxa" w:w="90"/>
              <w:right w:type="dxa" w:w="120"/>
            </w:tcMar>
          </w:tcPr>
          <w:p>
            <w:pPr>
              <w:spacing w:after="40"/>
              <w:jc w:val="left"/>
            </w:pPr>
            <w:r>
              <w:rPr>
                <w:sz w:val="19"/>
                <w:szCs w:val="19"/>
              </w:rPr>
              <w:t xml:space="preserve">Procesos auxiliares, ambientes de desarrollo, datos históricos.</w:t>
            </w:r>
          </w:p>
        </w:tc>
        <w:tc>
          <w:tcPr>
            <w:tcW w:type="dxa" w:w="3260"/>
            <w:tcBorders>
              <w:top w:val="single" w:color="BFBFBF" w:sz="6"/>
              <w:left w:val="single" w:color="BFBFBF" w:sz="6"/>
              <w:bottom w:val="single" w:color="BFBFBF" w:sz="6"/>
              <w:right w:val="single" w:color="BFBFBF" w:sz="6"/>
            </w:tcBorders>
            <w:shd w:fill="F2F2F2" w:color="auto" w:val="clear"/>
            <w:tcMar>
              <w:top w:type="dxa" w:w="90"/>
              <w:left w:type="dxa" w:w="120"/>
              <w:bottom w:type="dxa" w:w="90"/>
              <w:right w:type="dxa" w:w="120"/>
            </w:tcMar>
          </w:tcPr>
          <w:p>
            <w:pPr>
              <w:spacing w:after="40"/>
              <w:jc w:val="left"/>
            </w:pPr>
            <w:r>
              <w:rPr>
                <w:sz w:val="19"/>
                <w:szCs w:val="19"/>
              </w:rPr>
              <w:t xml:space="preserve">Dev/Sandbox, archivado, BI no transaccional.</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18"/>
              <w:bottom w:val="single" w:color="2E75B6" w:sz="6"/>
              <w:right w:val="single" w:color="2E75B6" w:sz="6"/>
            </w:tcBorders>
            <w:shd w:fill="D9E2F3" w:color="auto" w:val="clear"/>
            <w:tcMar>
              <w:top w:type="dxa" w:w="140"/>
              <w:left w:type="dxa" w:w="200"/>
              <w:bottom w:type="dxa" w:w="140"/>
              <w:right w:type="dxa" w:w="160"/>
            </w:tcMar>
          </w:tcPr>
          <w:p>
            <w:pPr>
              <w:spacing w:after="80"/>
            </w:pPr>
            <w:r>
              <w:rPr>
                <w:b/>
                <w:bCs/>
                <w:color w:val="1F4E79"/>
                <w:sz w:val="22"/>
                <w:szCs w:val="22"/>
              </w:rPr>
              <w:t xml:space="preserve">Criterios para la clasificación</w:t>
            </w:r>
          </w:p>
          <w:p>
            <w:pPr>
              <w:spacing w:after="60" w:line="280"/>
              <w:jc w:val="both"/>
            </w:pPr>
            <w:r>
              <w:rPr>
                <w:sz w:val="20"/>
                <w:szCs w:val="20"/>
              </w:rPr>
              <w:t xml:space="preserve">Impacto financiero por hora de indisponibilidad.</w:t>
            </w:r>
          </w:p>
          <w:p>
            <w:pPr>
              <w:spacing w:after="60" w:line="280"/>
              <w:jc w:val="both"/>
            </w:pPr>
            <w:r>
              <w:rPr>
                <w:sz w:val="20"/>
                <w:szCs w:val="20"/>
              </w:rPr>
              <w:t xml:space="preserve">Impacto regulatorio o contractual (SLAs externos).</w:t>
            </w:r>
          </w:p>
          <w:p>
            <w:pPr>
              <w:spacing w:after="60" w:line="280"/>
              <w:jc w:val="both"/>
            </w:pPr>
            <w:r>
              <w:rPr>
                <w:sz w:val="20"/>
                <w:szCs w:val="20"/>
              </w:rPr>
              <w:t xml:space="preserve">Dependencia de otros sistemas críticos aguas arriba o aguas abajo.</w:t>
            </w:r>
          </w:p>
          <w:p>
            <w:pPr>
              <w:spacing w:after="60" w:line="280"/>
              <w:jc w:val="both"/>
            </w:pPr>
            <w:r>
              <w:rPr>
                <w:sz w:val="20"/>
                <w:szCs w:val="20"/>
              </w:rPr>
              <w:t xml:space="preserve">Volumen y sensibilidad de los datos (PII, PCI, datos de salud).</w:t>
            </w:r>
          </w:p>
          <w:p>
            <w:pPr>
              <w:spacing w:after="60" w:line="280"/>
              <w:jc w:val="both"/>
            </w:pPr>
            <w:r>
              <w:rPr>
                <w:sz w:val="20"/>
                <w:szCs w:val="20"/>
              </w:rPr>
              <w:t xml:space="preserve">Tiempo máximo tolerable de inactividad declarado por el área de negocio.</w:t>
            </w:r>
          </w:p>
        </w:tc>
      </w:tr>
    </w:tbl>
    <w:p>
      <w:r>
        <w:br w:type="page"/>
      </w:r>
    </w:p>
    <w:p>
      <w:pPr>
        <w:pStyle w:val="Heading1"/>
        <w:spacing w:after="200" w:before="360"/>
      </w:pPr>
      <w:r>
        <w:rPr>
          <w:b/>
          <w:bCs/>
          <w:color w:val="0B5394"/>
          <w:sz w:val="32"/>
          <w:szCs w:val="32"/>
        </w:rPr>
        <w:t xml:space="preserve">4. Definición de RTO y RPO por Nivel</w:t>
      </w:r>
    </w:p>
    <w:p>
      <w:pPr>
        <w:pStyle w:val="Heading2"/>
        <w:spacing w:after="140" w:before="280"/>
      </w:pPr>
      <w:r>
        <w:rPr>
          <w:b/>
          <w:bCs/>
          <w:color w:val="1F4E79"/>
          <w:sz w:val="26"/>
          <w:szCs w:val="26"/>
        </w:rPr>
        <w:t xml:space="preserve">4.1 Conceptos</w:t>
      </w:r>
    </w:p>
    <w:p>
      <w:pPr>
        <w:spacing w:after="120" w:line="300"/>
        <w:jc w:val="both"/>
      </w:pPr>
      <w:r>
        <w:t xml:space="preserve">Antes de presentar la matriz, conviene precisar las definiciones que se aplicarán en todo el documento:</w:t>
      </w:r>
    </w:p>
    <w:p>
      <w:pPr>
        <w:pStyle w:val="ListParagraph"/>
        <w:numPr>
          <w:ilvl w:val="0"/>
          <w:numId w:val="2"/>
        </w:numPr>
        <w:spacing w:after="80" w:line="290"/>
      </w:pPr>
      <w:r>
        <w:rPr>
          <w:b/>
          <w:bCs/>
          <w:sz w:val="22"/>
          <w:szCs w:val="22"/>
        </w:rPr>
        <w:t xml:space="preserve">RTO (Recovery Time Objective): </w:t>
      </w:r>
      <w:r>
        <w:rPr>
          <w:sz w:val="22"/>
          <w:szCs w:val="22"/>
        </w:rPr>
        <w:t xml:space="preserve">tiempo máximo aceptable entre la ocurrencia de un incidente y la restauración del servicio a un estado operativo.</w:t>
      </w:r>
    </w:p>
    <w:p>
      <w:pPr>
        <w:pStyle w:val="ListParagraph"/>
        <w:numPr>
          <w:ilvl w:val="0"/>
          <w:numId w:val="2"/>
        </w:numPr>
        <w:spacing w:after="80" w:line="290"/>
      </w:pPr>
      <w:r>
        <w:rPr>
          <w:b/>
          <w:bCs/>
          <w:sz w:val="22"/>
          <w:szCs w:val="22"/>
        </w:rPr>
        <w:t xml:space="preserve">RPO (Recovery Point Objective): </w:t>
      </w:r>
      <w:r>
        <w:rPr>
          <w:sz w:val="22"/>
          <w:szCs w:val="22"/>
        </w:rPr>
        <w:t xml:space="preserve">cantidad máxima de datos (medida en tiempo) que el negocio puede permitirse perder. Equivale a la frecuencia mínima de respaldo.</w:t>
      </w:r>
    </w:p>
    <w:p>
      <w:pPr>
        <w:pStyle w:val="ListParagraph"/>
        <w:numPr>
          <w:ilvl w:val="0"/>
          <w:numId w:val="2"/>
        </w:numPr>
        <w:spacing w:after="80" w:line="290"/>
      </w:pPr>
      <w:r>
        <w:rPr>
          <w:b/>
          <w:bCs/>
          <w:sz w:val="22"/>
          <w:szCs w:val="22"/>
        </w:rPr>
        <w:t xml:space="preserve">MTTR (Mean Time To Recover): </w:t>
      </w:r>
      <w:r>
        <w:rPr>
          <w:sz w:val="22"/>
          <w:szCs w:val="22"/>
        </w:rPr>
        <w:t xml:space="preserve">tiempo promedio medido en restauraciones reales o pruebas, indicador de cumplimiento del RTO.</w:t>
      </w:r>
    </w:p>
    <w:p>
      <w:pPr>
        <w:pStyle w:val="ListParagraph"/>
        <w:numPr>
          <w:ilvl w:val="0"/>
          <w:numId w:val="2"/>
        </w:numPr>
        <w:spacing w:after="80" w:line="290"/>
      </w:pPr>
      <w:r>
        <w:rPr>
          <w:b/>
          <w:bCs/>
          <w:sz w:val="22"/>
          <w:szCs w:val="22"/>
        </w:rPr>
        <w:t xml:space="preserve">Retención: </w:t>
      </w:r>
      <w:r>
        <w:rPr>
          <w:sz w:val="22"/>
          <w:szCs w:val="22"/>
        </w:rPr>
        <w:t xml:space="preserve">tiempo durante el cual una copia de respaldo permanece disponible para restauración.</w:t>
      </w:r>
    </w:p>
    <w:p>
      <w:pPr>
        <w:pStyle w:val="Heading2"/>
        <w:spacing w:after="140" w:before="280"/>
      </w:pPr>
      <w:r>
        <w:rPr>
          <w:b/>
          <w:bCs/>
          <w:color w:val="1F4E79"/>
          <w:sz w:val="26"/>
          <w:szCs w:val="26"/>
        </w:rPr>
        <w:t xml:space="preserve">4.2 Matriz RTO / RPO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1500"/>
        <w:gridCol w:w="2700"/>
        <w:gridCol w:w="2760"/>
      </w:tblGrid>
      <w:tr>
        <w:trPr>
          <w:tblHeader/>
        </w:trPr>
        <w:tc>
          <w:tcPr>
            <w:tcW w:type="dxa" w:w="900"/>
            <w:tcBorders>
              <w:top w:val="single" w:color="0B5394" w:sz="6"/>
              <w:left w:val="single" w:color="0B5394" w:sz="6"/>
              <w:bottom w:val="single" w:color="0B5394" w:sz="6"/>
              <w:right w:val="single" w:color="0B5394" w:sz="6"/>
            </w:tcBorders>
            <w:shd w:fill="0B5394" w:color="auto" w:val="clear"/>
            <w:tcMar>
              <w:top w:type="dxa" w:w="100"/>
              <w:left w:type="dxa" w:w="120"/>
              <w:bottom w:type="dxa" w:w="100"/>
              <w:right w:type="dxa" w:w="120"/>
            </w:tcMar>
          </w:tcPr>
          <w:p>
            <w:pPr>
              <w:jc w:val="left"/>
            </w:pPr>
            <w:r>
              <w:rPr>
                <w:b/>
                <w:bCs/>
                <w:color w:val="FFFFFF"/>
                <w:sz w:val="20"/>
                <w:szCs w:val="20"/>
              </w:rPr>
              <w:t xml:space="preserve">Nivel</w:t>
            </w:r>
          </w:p>
        </w:tc>
        <w:tc>
          <w:tcPr>
            <w:tcW w:type="dxa" w:w="1500"/>
            <w:tcBorders>
              <w:top w:val="single" w:color="0B5394" w:sz="6"/>
              <w:left w:val="single" w:color="0B5394" w:sz="6"/>
              <w:bottom w:val="single" w:color="0B5394" w:sz="6"/>
              <w:right w:val="single" w:color="0B5394" w:sz="6"/>
            </w:tcBorders>
            <w:shd w:fill="0B5394" w:color="auto" w:val="clear"/>
            <w:tcMar>
              <w:top w:type="dxa" w:w="100"/>
              <w:left w:type="dxa" w:w="120"/>
              <w:bottom w:type="dxa" w:w="100"/>
              <w:right w:type="dxa" w:w="120"/>
            </w:tcMar>
          </w:tcPr>
          <w:p>
            <w:pPr>
              <w:jc w:val="left"/>
            </w:pPr>
            <w:r>
              <w:rPr>
                <w:b/>
                <w:bCs/>
                <w:color w:val="FFFFFF"/>
                <w:sz w:val="20"/>
                <w:szCs w:val="20"/>
              </w:rPr>
              <w:t xml:space="preserve">RTO objetivo</w:t>
            </w:r>
          </w:p>
        </w:tc>
        <w:tc>
          <w:tcPr>
            <w:tcW w:type="dxa" w:w="1500"/>
            <w:tcBorders>
              <w:top w:val="single" w:color="0B5394" w:sz="6"/>
              <w:left w:val="single" w:color="0B5394" w:sz="6"/>
              <w:bottom w:val="single" w:color="0B5394" w:sz="6"/>
              <w:right w:val="single" w:color="0B5394" w:sz="6"/>
            </w:tcBorders>
            <w:shd w:fill="0B5394" w:color="auto" w:val="clear"/>
            <w:tcMar>
              <w:top w:type="dxa" w:w="100"/>
              <w:left w:type="dxa" w:w="120"/>
              <w:bottom w:type="dxa" w:w="100"/>
              <w:right w:type="dxa" w:w="120"/>
            </w:tcMar>
          </w:tcPr>
          <w:p>
            <w:pPr>
              <w:jc w:val="left"/>
            </w:pPr>
            <w:r>
              <w:rPr>
                <w:b/>
                <w:bCs/>
                <w:color w:val="FFFFFF"/>
                <w:sz w:val="20"/>
                <w:szCs w:val="20"/>
              </w:rPr>
              <w:t xml:space="preserve">RPO objetivo</w:t>
            </w:r>
          </w:p>
        </w:tc>
        <w:tc>
          <w:tcPr>
            <w:tcW w:type="dxa" w:w="2700"/>
            <w:tcBorders>
              <w:top w:val="single" w:color="0B5394" w:sz="6"/>
              <w:left w:val="single" w:color="0B5394" w:sz="6"/>
              <w:bottom w:val="single" w:color="0B5394" w:sz="6"/>
              <w:right w:val="single" w:color="0B5394" w:sz="6"/>
            </w:tcBorders>
            <w:shd w:fill="0B5394" w:color="auto" w:val="clear"/>
            <w:tcMar>
              <w:top w:type="dxa" w:w="100"/>
              <w:left w:type="dxa" w:w="120"/>
              <w:bottom w:type="dxa" w:w="100"/>
              <w:right w:type="dxa" w:w="120"/>
            </w:tcMar>
          </w:tcPr>
          <w:p>
            <w:pPr>
              <w:jc w:val="left"/>
            </w:pPr>
            <w:r>
              <w:rPr>
                <w:b/>
                <w:bCs/>
                <w:color w:val="FFFFFF"/>
                <w:sz w:val="20"/>
                <w:szCs w:val="20"/>
              </w:rPr>
              <w:t xml:space="preserve">Retención mínima</w:t>
            </w:r>
          </w:p>
        </w:tc>
        <w:tc>
          <w:tcPr>
            <w:tcW w:type="dxa" w:w="2760"/>
            <w:tcBorders>
              <w:top w:val="single" w:color="0B5394" w:sz="6"/>
              <w:left w:val="single" w:color="0B5394" w:sz="6"/>
              <w:bottom w:val="single" w:color="0B5394" w:sz="6"/>
              <w:right w:val="single" w:color="0B5394" w:sz="6"/>
            </w:tcBorders>
            <w:shd w:fill="0B5394" w:color="auto" w:val="clear"/>
            <w:tcMar>
              <w:top w:type="dxa" w:w="100"/>
              <w:left w:type="dxa" w:w="120"/>
              <w:bottom w:type="dxa" w:w="100"/>
              <w:right w:type="dxa" w:w="120"/>
            </w:tcMar>
          </w:tcPr>
          <w:p>
            <w:pPr>
              <w:jc w:val="left"/>
            </w:pPr>
            <w:r>
              <w:rPr>
                <w:b/>
                <w:bCs/>
                <w:color w:val="FFFFFF"/>
                <w:sz w:val="20"/>
                <w:szCs w:val="20"/>
              </w:rPr>
              <w:t xml:space="preserve">Estrategia DR</w:t>
            </w:r>
          </w:p>
        </w:tc>
      </w:tr>
      <w:tr>
        <w:tc>
          <w:tcPr>
            <w:tcW w:type="dxa" w:w="900"/>
            <w:tcBorders>
              <w:top w:val="single" w:color="BFBFBF" w:sz="6"/>
              <w:left w:val="single" w:color="BFBFBF" w:sz="6"/>
              <w:bottom w:val="single" w:color="BFBFBF" w:sz="6"/>
              <w:right w:val="single" w:color="BFBFBF" w:sz="6"/>
            </w:tcBorders>
            <w:tcMar>
              <w:top w:type="dxa" w:w="90"/>
              <w:left w:type="dxa" w:w="120"/>
              <w:bottom w:type="dxa" w:w="90"/>
              <w:right w:type="dxa" w:w="120"/>
            </w:tcMar>
          </w:tcPr>
          <w:p>
            <w:pPr>
              <w:spacing w:after="40"/>
              <w:jc w:val="left"/>
            </w:pPr>
            <w:r>
              <w:rPr>
                <w:sz w:val="19"/>
                <w:szCs w:val="19"/>
              </w:rPr>
              <w:t xml:space="preserve">Tier 0</w:t>
            </w:r>
          </w:p>
        </w:tc>
        <w:tc>
          <w:tcPr>
            <w:tcW w:type="dxa" w:w="1500"/>
            <w:tcBorders>
              <w:top w:val="single" w:color="BFBFBF" w:sz="6"/>
              <w:left w:val="single" w:color="BFBFBF" w:sz="6"/>
              <w:bottom w:val="single" w:color="BFBFBF" w:sz="6"/>
              <w:right w:val="single" w:color="BFBFBF" w:sz="6"/>
            </w:tcBorders>
            <w:tcMar>
              <w:top w:type="dxa" w:w="90"/>
              <w:left w:type="dxa" w:w="120"/>
              <w:bottom w:type="dxa" w:w="90"/>
              <w:right w:type="dxa" w:w="120"/>
            </w:tcMar>
          </w:tcPr>
          <w:p>
            <w:pPr>
              <w:spacing w:after="40"/>
              <w:jc w:val="left"/>
            </w:pPr>
            <w:r>
              <w:rPr>
                <w:sz w:val="19"/>
                <w:szCs w:val="19"/>
              </w:rPr>
              <w:t xml:space="preserve">≤ 1 hora</w:t>
            </w:r>
          </w:p>
        </w:tc>
        <w:tc>
          <w:tcPr>
            <w:tcW w:type="dxa" w:w="1500"/>
            <w:tcBorders>
              <w:top w:val="single" w:color="BFBFBF" w:sz="6"/>
              <w:left w:val="single" w:color="BFBFBF" w:sz="6"/>
              <w:bottom w:val="single" w:color="BFBFBF" w:sz="6"/>
              <w:right w:val="single" w:color="BFBFBF" w:sz="6"/>
            </w:tcBorders>
            <w:tcMar>
              <w:top w:type="dxa" w:w="90"/>
              <w:left w:type="dxa" w:w="120"/>
              <w:bottom w:type="dxa" w:w="90"/>
              <w:right w:type="dxa" w:w="120"/>
            </w:tcMar>
          </w:tcPr>
          <w:p>
            <w:pPr>
              <w:spacing w:after="40"/>
              <w:jc w:val="left"/>
            </w:pPr>
            <w:r>
              <w:rPr>
                <w:sz w:val="19"/>
                <w:szCs w:val="19"/>
              </w:rPr>
              <w:t xml:space="preserve">≤ 15 minutos</w:t>
            </w:r>
          </w:p>
        </w:tc>
        <w:tc>
          <w:tcPr>
            <w:tcW w:type="dxa" w:w="2700"/>
            <w:tcBorders>
              <w:top w:val="single" w:color="BFBFBF" w:sz="6"/>
              <w:left w:val="single" w:color="BFBFBF" w:sz="6"/>
              <w:bottom w:val="single" w:color="BFBFBF" w:sz="6"/>
              <w:right w:val="single" w:color="BFBFBF" w:sz="6"/>
            </w:tcBorders>
            <w:tcMar>
              <w:top w:type="dxa" w:w="90"/>
              <w:left w:type="dxa" w:w="120"/>
              <w:bottom w:type="dxa" w:w="90"/>
              <w:right w:type="dxa" w:w="120"/>
            </w:tcMar>
          </w:tcPr>
          <w:p>
            <w:pPr>
              <w:spacing w:after="40"/>
              <w:jc w:val="left"/>
            </w:pPr>
            <w:r>
              <w:rPr>
                <w:sz w:val="19"/>
                <w:szCs w:val="19"/>
              </w:rPr>
              <w:t xml:space="preserve">35 días diario + 12 meses + 7 años GFS</w:t>
            </w:r>
          </w:p>
        </w:tc>
        <w:tc>
          <w:tcPr>
            <w:tcW w:type="dxa" w:w="2760"/>
            <w:tcBorders>
              <w:top w:val="single" w:color="BFBFBF" w:sz="6"/>
              <w:left w:val="single" w:color="BFBFBF" w:sz="6"/>
              <w:bottom w:val="single" w:color="BFBFBF" w:sz="6"/>
              <w:right w:val="single" w:color="BFBFBF" w:sz="6"/>
            </w:tcBorders>
            <w:tcMar>
              <w:top w:type="dxa" w:w="90"/>
              <w:left w:type="dxa" w:w="120"/>
              <w:bottom w:type="dxa" w:w="90"/>
              <w:right w:type="dxa" w:w="120"/>
            </w:tcMar>
          </w:tcPr>
          <w:p>
            <w:pPr>
              <w:spacing w:after="40"/>
              <w:jc w:val="left"/>
            </w:pPr>
            <w:r>
              <w:rPr>
                <w:sz w:val="19"/>
                <w:szCs w:val="19"/>
              </w:rPr>
              <w:t xml:space="preserve">Activo-Activo o Activo-Pasivo multi-región (ASR / geo-redundancia nativa)</w:t>
            </w:r>
          </w:p>
        </w:tc>
      </w:tr>
      <w:tr>
        <w:tc>
          <w:tcPr>
            <w:tcW w:type="dxa" w:w="900"/>
            <w:tcBorders>
              <w:top w:val="single" w:color="BFBFBF" w:sz="6"/>
              <w:left w:val="single" w:color="BFBFBF" w:sz="6"/>
              <w:bottom w:val="single" w:color="BFBFBF" w:sz="6"/>
              <w:right w:val="single" w:color="BFBFBF" w:sz="6"/>
            </w:tcBorders>
            <w:shd w:fill="F2F2F2" w:color="auto" w:val="clear"/>
            <w:tcMar>
              <w:top w:type="dxa" w:w="90"/>
              <w:left w:type="dxa" w:w="120"/>
              <w:bottom w:type="dxa" w:w="90"/>
              <w:right w:type="dxa" w:w="120"/>
            </w:tcMar>
          </w:tcPr>
          <w:p>
            <w:pPr>
              <w:spacing w:after="40"/>
              <w:jc w:val="left"/>
            </w:pPr>
            <w:r>
              <w:rPr>
                <w:sz w:val="19"/>
                <w:szCs w:val="19"/>
              </w:rPr>
              <w:t xml:space="preserve">Tier 1</w:t>
            </w:r>
          </w:p>
        </w:tc>
        <w:tc>
          <w:tcPr>
            <w:tcW w:type="dxa" w:w="1500"/>
            <w:tcBorders>
              <w:top w:val="single" w:color="BFBFBF" w:sz="6"/>
              <w:left w:val="single" w:color="BFBFBF" w:sz="6"/>
              <w:bottom w:val="single" w:color="BFBFBF" w:sz="6"/>
              <w:right w:val="single" w:color="BFBFBF" w:sz="6"/>
            </w:tcBorders>
            <w:shd w:fill="F2F2F2" w:color="auto" w:val="clear"/>
            <w:tcMar>
              <w:top w:type="dxa" w:w="90"/>
              <w:left w:type="dxa" w:w="120"/>
              <w:bottom w:type="dxa" w:w="90"/>
              <w:right w:type="dxa" w:w="120"/>
            </w:tcMar>
          </w:tcPr>
          <w:p>
            <w:pPr>
              <w:spacing w:after="40"/>
              <w:jc w:val="left"/>
            </w:pPr>
            <w:r>
              <w:rPr>
                <w:sz w:val="19"/>
                <w:szCs w:val="19"/>
              </w:rPr>
              <w:t xml:space="preserve">≤ 4 horas</w:t>
            </w:r>
          </w:p>
        </w:tc>
        <w:tc>
          <w:tcPr>
            <w:tcW w:type="dxa" w:w="1500"/>
            <w:tcBorders>
              <w:top w:val="single" w:color="BFBFBF" w:sz="6"/>
              <w:left w:val="single" w:color="BFBFBF" w:sz="6"/>
              <w:bottom w:val="single" w:color="BFBFBF" w:sz="6"/>
              <w:right w:val="single" w:color="BFBFBF" w:sz="6"/>
            </w:tcBorders>
            <w:shd w:fill="F2F2F2" w:color="auto" w:val="clear"/>
            <w:tcMar>
              <w:top w:type="dxa" w:w="90"/>
              <w:left w:type="dxa" w:w="120"/>
              <w:bottom w:type="dxa" w:w="90"/>
              <w:right w:type="dxa" w:w="120"/>
            </w:tcMar>
          </w:tcPr>
          <w:p>
            <w:pPr>
              <w:spacing w:after="40"/>
              <w:jc w:val="left"/>
            </w:pPr>
            <w:r>
              <w:rPr>
                <w:sz w:val="19"/>
                <w:szCs w:val="19"/>
              </w:rPr>
              <w:t xml:space="preserve">≤ 1 hora</w:t>
            </w:r>
          </w:p>
        </w:tc>
        <w:tc>
          <w:tcPr>
            <w:tcW w:type="dxa" w:w="2700"/>
            <w:tcBorders>
              <w:top w:val="single" w:color="BFBFBF" w:sz="6"/>
              <w:left w:val="single" w:color="BFBFBF" w:sz="6"/>
              <w:bottom w:val="single" w:color="BFBFBF" w:sz="6"/>
              <w:right w:val="single" w:color="BFBFBF" w:sz="6"/>
            </w:tcBorders>
            <w:shd w:fill="F2F2F2" w:color="auto" w:val="clear"/>
            <w:tcMar>
              <w:top w:type="dxa" w:w="90"/>
              <w:left w:type="dxa" w:w="120"/>
              <w:bottom w:type="dxa" w:w="90"/>
              <w:right w:type="dxa" w:w="120"/>
            </w:tcMar>
          </w:tcPr>
          <w:p>
            <w:pPr>
              <w:spacing w:after="40"/>
              <w:jc w:val="left"/>
            </w:pPr>
            <w:r>
              <w:rPr>
                <w:sz w:val="19"/>
                <w:szCs w:val="19"/>
              </w:rPr>
              <w:t xml:space="preserve">30 días diario + 12 meses</w:t>
            </w:r>
          </w:p>
        </w:tc>
        <w:tc>
          <w:tcPr>
            <w:tcW w:type="dxa" w:w="2760"/>
            <w:tcBorders>
              <w:top w:val="single" w:color="BFBFBF" w:sz="6"/>
              <w:left w:val="single" w:color="BFBFBF" w:sz="6"/>
              <w:bottom w:val="single" w:color="BFBFBF" w:sz="6"/>
              <w:right w:val="single" w:color="BFBFBF" w:sz="6"/>
            </w:tcBorders>
            <w:shd w:fill="F2F2F2" w:color="auto" w:val="clear"/>
            <w:tcMar>
              <w:top w:type="dxa" w:w="90"/>
              <w:left w:type="dxa" w:w="120"/>
              <w:bottom w:type="dxa" w:w="90"/>
              <w:right w:type="dxa" w:w="120"/>
            </w:tcMar>
          </w:tcPr>
          <w:p>
            <w:pPr>
              <w:spacing w:after="40"/>
              <w:jc w:val="left"/>
            </w:pPr>
            <w:r>
              <w:rPr>
                <w:sz w:val="19"/>
                <w:szCs w:val="19"/>
              </w:rPr>
              <w:t xml:space="preserve">Replicación geo-redundante; failover regional bajo demanda</w:t>
            </w:r>
          </w:p>
        </w:tc>
      </w:tr>
      <w:tr>
        <w:tc>
          <w:tcPr>
            <w:tcW w:type="dxa" w:w="900"/>
            <w:tcBorders>
              <w:top w:val="single" w:color="BFBFBF" w:sz="6"/>
              <w:left w:val="single" w:color="BFBFBF" w:sz="6"/>
              <w:bottom w:val="single" w:color="BFBFBF" w:sz="6"/>
              <w:right w:val="single" w:color="BFBFBF" w:sz="6"/>
            </w:tcBorders>
            <w:tcMar>
              <w:top w:type="dxa" w:w="90"/>
              <w:left w:type="dxa" w:w="120"/>
              <w:bottom w:type="dxa" w:w="90"/>
              <w:right w:type="dxa" w:w="120"/>
            </w:tcMar>
          </w:tcPr>
          <w:p>
            <w:pPr>
              <w:spacing w:after="40"/>
              <w:jc w:val="left"/>
            </w:pPr>
            <w:r>
              <w:rPr>
                <w:sz w:val="19"/>
                <w:szCs w:val="19"/>
              </w:rPr>
              <w:t xml:space="preserve">Tier 2</w:t>
            </w:r>
          </w:p>
        </w:tc>
        <w:tc>
          <w:tcPr>
            <w:tcW w:type="dxa" w:w="1500"/>
            <w:tcBorders>
              <w:top w:val="single" w:color="BFBFBF" w:sz="6"/>
              <w:left w:val="single" w:color="BFBFBF" w:sz="6"/>
              <w:bottom w:val="single" w:color="BFBFBF" w:sz="6"/>
              <w:right w:val="single" w:color="BFBFBF" w:sz="6"/>
            </w:tcBorders>
            <w:tcMar>
              <w:top w:type="dxa" w:w="90"/>
              <w:left w:type="dxa" w:w="120"/>
              <w:bottom w:type="dxa" w:w="90"/>
              <w:right w:type="dxa" w:w="120"/>
            </w:tcMar>
          </w:tcPr>
          <w:p>
            <w:pPr>
              <w:spacing w:after="40"/>
              <w:jc w:val="left"/>
            </w:pPr>
            <w:r>
              <w:rPr>
                <w:sz w:val="19"/>
                <w:szCs w:val="19"/>
              </w:rPr>
              <w:t xml:space="preserve">≤ 24 horas</w:t>
            </w:r>
          </w:p>
        </w:tc>
        <w:tc>
          <w:tcPr>
            <w:tcW w:type="dxa" w:w="1500"/>
            <w:tcBorders>
              <w:top w:val="single" w:color="BFBFBF" w:sz="6"/>
              <w:left w:val="single" w:color="BFBFBF" w:sz="6"/>
              <w:bottom w:val="single" w:color="BFBFBF" w:sz="6"/>
              <w:right w:val="single" w:color="BFBFBF" w:sz="6"/>
            </w:tcBorders>
            <w:tcMar>
              <w:top w:type="dxa" w:w="90"/>
              <w:left w:type="dxa" w:w="120"/>
              <w:bottom w:type="dxa" w:w="90"/>
              <w:right w:type="dxa" w:w="120"/>
            </w:tcMar>
          </w:tcPr>
          <w:p>
            <w:pPr>
              <w:spacing w:after="40"/>
              <w:jc w:val="left"/>
            </w:pPr>
            <w:r>
              <w:rPr>
                <w:sz w:val="19"/>
                <w:szCs w:val="19"/>
              </w:rPr>
              <w:t xml:space="preserve">≤ 12 horas</w:t>
            </w:r>
          </w:p>
        </w:tc>
        <w:tc>
          <w:tcPr>
            <w:tcW w:type="dxa" w:w="2700"/>
            <w:tcBorders>
              <w:top w:val="single" w:color="BFBFBF" w:sz="6"/>
              <w:left w:val="single" w:color="BFBFBF" w:sz="6"/>
              <w:bottom w:val="single" w:color="BFBFBF" w:sz="6"/>
              <w:right w:val="single" w:color="BFBFBF" w:sz="6"/>
            </w:tcBorders>
            <w:tcMar>
              <w:top w:type="dxa" w:w="90"/>
              <w:left w:type="dxa" w:w="120"/>
              <w:bottom w:type="dxa" w:w="90"/>
              <w:right w:type="dxa" w:w="120"/>
            </w:tcMar>
          </w:tcPr>
          <w:p>
            <w:pPr>
              <w:spacing w:after="40"/>
              <w:jc w:val="left"/>
            </w:pPr>
            <w:r>
              <w:rPr>
                <w:sz w:val="19"/>
                <w:szCs w:val="19"/>
              </w:rPr>
              <w:t xml:space="preserve">14 días diario + 6 meses</w:t>
            </w:r>
          </w:p>
        </w:tc>
        <w:tc>
          <w:tcPr>
            <w:tcW w:type="dxa" w:w="2760"/>
            <w:tcBorders>
              <w:top w:val="single" w:color="BFBFBF" w:sz="6"/>
              <w:left w:val="single" w:color="BFBFBF" w:sz="6"/>
              <w:bottom w:val="single" w:color="BFBFBF" w:sz="6"/>
              <w:right w:val="single" w:color="BFBFBF" w:sz="6"/>
            </w:tcBorders>
            <w:tcMar>
              <w:top w:type="dxa" w:w="90"/>
              <w:left w:type="dxa" w:w="120"/>
              <w:bottom w:type="dxa" w:w="90"/>
              <w:right w:type="dxa" w:w="120"/>
            </w:tcMar>
          </w:tcPr>
          <w:p>
            <w:pPr>
              <w:spacing w:after="40"/>
              <w:jc w:val="left"/>
            </w:pPr>
            <w:r>
              <w:rPr>
                <w:sz w:val="19"/>
                <w:szCs w:val="19"/>
              </w:rPr>
              <w:t xml:space="preserve">Restauración desde respaldo geo-redundante</w:t>
            </w:r>
          </w:p>
        </w:tc>
      </w:tr>
      <w:tr>
        <w:tc>
          <w:tcPr>
            <w:tcW w:type="dxa" w:w="900"/>
            <w:tcBorders>
              <w:top w:val="single" w:color="BFBFBF" w:sz="6"/>
              <w:left w:val="single" w:color="BFBFBF" w:sz="6"/>
              <w:bottom w:val="single" w:color="BFBFBF" w:sz="6"/>
              <w:right w:val="single" w:color="BFBFBF" w:sz="6"/>
            </w:tcBorders>
            <w:shd w:fill="F2F2F2" w:color="auto" w:val="clear"/>
            <w:tcMar>
              <w:top w:type="dxa" w:w="90"/>
              <w:left w:type="dxa" w:w="120"/>
              <w:bottom w:type="dxa" w:w="90"/>
              <w:right w:type="dxa" w:w="120"/>
            </w:tcMar>
          </w:tcPr>
          <w:p>
            <w:pPr>
              <w:spacing w:after="40"/>
              <w:jc w:val="left"/>
            </w:pPr>
            <w:r>
              <w:rPr>
                <w:sz w:val="19"/>
                <w:szCs w:val="19"/>
              </w:rPr>
              <w:t xml:space="preserve">Tier 3</w:t>
            </w:r>
          </w:p>
        </w:tc>
        <w:tc>
          <w:tcPr>
            <w:tcW w:type="dxa" w:w="1500"/>
            <w:tcBorders>
              <w:top w:val="single" w:color="BFBFBF" w:sz="6"/>
              <w:left w:val="single" w:color="BFBFBF" w:sz="6"/>
              <w:bottom w:val="single" w:color="BFBFBF" w:sz="6"/>
              <w:right w:val="single" w:color="BFBFBF" w:sz="6"/>
            </w:tcBorders>
            <w:shd w:fill="F2F2F2" w:color="auto" w:val="clear"/>
            <w:tcMar>
              <w:top w:type="dxa" w:w="90"/>
              <w:left w:type="dxa" w:w="120"/>
              <w:bottom w:type="dxa" w:w="90"/>
              <w:right w:type="dxa" w:w="120"/>
            </w:tcMar>
          </w:tcPr>
          <w:p>
            <w:pPr>
              <w:spacing w:after="40"/>
              <w:jc w:val="left"/>
            </w:pPr>
            <w:r>
              <w:rPr>
                <w:sz w:val="19"/>
                <w:szCs w:val="19"/>
              </w:rPr>
              <w:t xml:space="preserve">≤ 72 horas</w:t>
            </w:r>
          </w:p>
        </w:tc>
        <w:tc>
          <w:tcPr>
            <w:tcW w:type="dxa" w:w="1500"/>
            <w:tcBorders>
              <w:top w:val="single" w:color="BFBFBF" w:sz="6"/>
              <w:left w:val="single" w:color="BFBFBF" w:sz="6"/>
              <w:bottom w:val="single" w:color="BFBFBF" w:sz="6"/>
              <w:right w:val="single" w:color="BFBFBF" w:sz="6"/>
            </w:tcBorders>
            <w:shd w:fill="F2F2F2" w:color="auto" w:val="clear"/>
            <w:tcMar>
              <w:top w:type="dxa" w:w="90"/>
              <w:left w:type="dxa" w:w="120"/>
              <w:bottom w:type="dxa" w:w="90"/>
              <w:right w:type="dxa" w:w="120"/>
            </w:tcMar>
          </w:tcPr>
          <w:p>
            <w:pPr>
              <w:spacing w:after="40"/>
              <w:jc w:val="left"/>
            </w:pPr>
            <w:r>
              <w:rPr>
                <w:sz w:val="19"/>
                <w:szCs w:val="19"/>
              </w:rPr>
              <w:t xml:space="preserve">≤ 24 horas</w:t>
            </w:r>
          </w:p>
        </w:tc>
        <w:tc>
          <w:tcPr>
            <w:tcW w:type="dxa" w:w="2700"/>
            <w:tcBorders>
              <w:top w:val="single" w:color="BFBFBF" w:sz="6"/>
              <w:left w:val="single" w:color="BFBFBF" w:sz="6"/>
              <w:bottom w:val="single" w:color="BFBFBF" w:sz="6"/>
              <w:right w:val="single" w:color="BFBFBF" w:sz="6"/>
            </w:tcBorders>
            <w:shd w:fill="F2F2F2" w:color="auto" w:val="clear"/>
            <w:tcMar>
              <w:top w:type="dxa" w:w="90"/>
              <w:left w:type="dxa" w:w="120"/>
              <w:bottom w:type="dxa" w:w="90"/>
              <w:right w:type="dxa" w:w="120"/>
            </w:tcMar>
          </w:tcPr>
          <w:p>
            <w:pPr>
              <w:spacing w:after="40"/>
              <w:jc w:val="left"/>
            </w:pPr>
            <w:r>
              <w:rPr>
                <w:sz w:val="19"/>
                <w:szCs w:val="19"/>
              </w:rPr>
              <w:t xml:space="preserve">7 días diario + 3 meses</w:t>
            </w:r>
          </w:p>
        </w:tc>
        <w:tc>
          <w:tcPr>
            <w:tcW w:type="dxa" w:w="2760"/>
            <w:tcBorders>
              <w:top w:val="single" w:color="BFBFBF" w:sz="6"/>
              <w:left w:val="single" w:color="BFBFBF" w:sz="6"/>
              <w:bottom w:val="single" w:color="BFBFBF" w:sz="6"/>
              <w:right w:val="single" w:color="BFBFBF" w:sz="6"/>
            </w:tcBorders>
            <w:shd w:fill="F2F2F2" w:color="auto" w:val="clear"/>
            <w:tcMar>
              <w:top w:type="dxa" w:w="90"/>
              <w:left w:type="dxa" w:w="120"/>
              <w:bottom w:type="dxa" w:w="90"/>
              <w:right w:type="dxa" w:w="120"/>
            </w:tcMar>
          </w:tcPr>
          <w:p>
            <w:pPr>
              <w:spacing w:after="40"/>
              <w:jc w:val="left"/>
            </w:pPr>
            <w:r>
              <w:rPr>
                <w:sz w:val="19"/>
                <w:szCs w:val="19"/>
              </w:rPr>
              <w:t xml:space="preserve">Restauración desde respaldo LRS / ZRS</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18"/>
              <w:bottom w:val="single" w:color="2E75B6" w:sz="6"/>
              <w:right w:val="single" w:color="2E75B6" w:sz="6"/>
            </w:tcBorders>
            <w:shd w:fill="D9E2F3" w:color="auto" w:val="clear"/>
            <w:tcMar>
              <w:top w:type="dxa" w:w="140"/>
              <w:left w:type="dxa" w:w="200"/>
              <w:bottom w:type="dxa" w:w="140"/>
              <w:right w:type="dxa" w:w="160"/>
            </w:tcMar>
          </w:tcPr>
          <w:p>
            <w:pPr>
              <w:spacing w:after="80"/>
            </w:pPr>
            <w:r>
              <w:rPr>
                <w:b/>
                <w:bCs/>
                <w:color w:val="1F4E79"/>
                <w:sz w:val="22"/>
                <w:szCs w:val="22"/>
              </w:rPr>
              <w:t xml:space="preserve">Importante sobre el RPO</w:t>
            </w:r>
          </w:p>
          <w:p>
            <w:pPr>
              <w:spacing w:after="60" w:line="280"/>
              <w:jc w:val="both"/>
            </w:pPr>
            <w:r>
              <w:rPr>
                <w:sz w:val="20"/>
                <w:szCs w:val="20"/>
              </w:rPr>
              <w:t xml:space="preserve">El RPO declarado debe ser efectivamente alcanzable por el mecanismo de respaldo configurado. Por ejemplo: Azure Backup para VMs ofrece un mínimo de 4 horas entre snapshots (en política mejorada). Si se requiere RPO menor a 1 hora se debe combinar con replicación a nivel de aplicación, Azure Site Recovery (replicación continua) o backups transaccionales (BD).</w:t>
            </w:r>
          </w:p>
          <w:p>
            <w:pPr>
              <w:spacing w:after="60" w:line="280"/>
              <w:jc w:val="both"/>
            </w:pPr>
            <w:r>
              <w:rPr>
                <w:sz w:val="20"/>
                <w:szCs w:val="20"/>
              </w:rPr>
              <w:t xml:space="preserve">Para servicios PaaS, varios respaldos son automáticos pero con RPO/retención fijos; consultar el detalle por servicio en la sección 6.</w:t>
            </w:r>
          </w:p>
        </w:tc>
      </w:tr>
    </w:tbl>
    <w:p>
      <w:r>
        <w:br w:type="page"/>
      </w:r>
    </w:p>
    <w:p>
      <w:pPr>
        <w:pStyle w:val="Heading1"/>
        <w:spacing w:after="200" w:before="360"/>
      </w:pPr>
      <w:r>
        <w:rPr>
          <w:b/>
          <w:bCs/>
          <w:color w:val="0B5394"/>
          <w:sz w:val="32"/>
          <w:szCs w:val="32"/>
        </w:rPr>
        <w:t xml:space="preserve">5. Tipos de Respaldo y Esquema GFS</w:t>
      </w:r>
    </w:p>
    <w:p>
      <w:pPr>
        <w:pStyle w:val="Heading2"/>
        <w:spacing w:after="140" w:before="280"/>
      </w:pPr>
      <w:r>
        <w:rPr>
          <w:b/>
          <w:bCs/>
          <w:color w:val="1F4E79"/>
          <w:sz w:val="26"/>
          <w:szCs w:val="26"/>
        </w:rPr>
        <w:t xml:space="preserve">5.1 Tipos de respaldo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700"/>
        <w:gridCol w:w="2700"/>
        <w:gridCol w:w="2660"/>
      </w:tblGrid>
      <w:tr>
        <w:trPr>
          <w:tblHeader/>
        </w:trPr>
        <w:tc>
          <w:tcPr>
            <w:tcW w:type="dxa" w:w="1300"/>
            <w:tcBorders>
              <w:top w:val="single" w:color="0B5394" w:sz="6"/>
              <w:left w:val="single" w:color="0B5394" w:sz="6"/>
              <w:bottom w:val="single" w:color="0B5394" w:sz="6"/>
              <w:right w:val="single" w:color="0B5394" w:sz="6"/>
            </w:tcBorders>
            <w:shd w:fill="0B5394" w:color="auto" w:val="clear"/>
            <w:tcMar>
              <w:top w:type="dxa" w:w="100"/>
              <w:left w:type="dxa" w:w="120"/>
              <w:bottom w:type="dxa" w:w="100"/>
              <w:right w:type="dxa" w:w="120"/>
            </w:tcMar>
          </w:tcPr>
          <w:p>
            <w:pPr>
              <w:jc w:val="left"/>
            </w:pPr>
            <w:r>
              <w:rPr>
                <w:b/>
                <w:bCs/>
                <w:color w:val="FFFFFF"/>
                <w:sz w:val="20"/>
                <w:szCs w:val="20"/>
              </w:rPr>
              <w:t xml:space="preserve">Tipo</w:t>
            </w:r>
          </w:p>
        </w:tc>
        <w:tc>
          <w:tcPr>
            <w:tcW w:type="dxa" w:w="2700"/>
            <w:tcBorders>
              <w:top w:val="single" w:color="0B5394" w:sz="6"/>
              <w:left w:val="single" w:color="0B5394" w:sz="6"/>
              <w:bottom w:val="single" w:color="0B5394" w:sz="6"/>
              <w:right w:val="single" w:color="0B5394" w:sz="6"/>
            </w:tcBorders>
            <w:shd w:fill="0B5394" w:color="auto" w:val="clear"/>
            <w:tcMar>
              <w:top w:type="dxa" w:w="100"/>
              <w:left w:type="dxa" w:w="120"/>
              <w:bottom w:type="dxa" w:w="100"/>
              <w:right w:type="dxa" w:w="120"/>
            </w:tcMar>
          </w:tcPr>
          <w:p>
            <w:pPr>
              <w:jc w:val="left"/>
            </w:pPr>
            <w:r>
              <w:rPr>
                <w:b/>
                <w:bCs/>
                <w:color w:val="FFFFFF"/>
                <w:sz w:val="20"/>
                <w:szCs w:val="20"/>
              </w:rPr>
              <w:t xml:space="preserve">Definición</w:t>
            </w:r>
          </w:p>
        </w:tc>
        <w:tc>
          <w:tcPr>
            <w:tcW w:type="dxa" w:w="2700"/>
            <w:tcBorders>
              <w:top w:val="single" w:color="0B5394" w:sz="6"/>
              <w:left w:val="single" w:color="0B5394" w:sz="6"/>
              <w:bottom w:val="single" w:color="0B5394" w:sz="6"/>
              <w:right w:val="single" w:color="0B5394" w:sz="6"/>
            </w:tcBorders>
            <w:shd w:fill="0B5394" w:color="auto" w:val="clear"/>
            <w:tcMar>
              <w:top w:type="dxa" w:w="100"/>
              <w:left w:type="dxa" w:w="120"/>
              <w:bottom w:type="dxa" w:w="100"/>
              <w:right w:type="dxa" w:w="120"/>
            </w:tcMar>
          </w:tcPr>
          <w:p>
            <w:pPr>
              <w:jc w:val="left"/>
            </w:pPr>
            <w:r>
              <w:rPr>
                <w:b/>
                <w:bCs/>
                <w:color w:val="FFFFFF"/>
                <w:sz w:val="20"/>
                <w:szCs w:val="20"/>
              </w:rPr>
              <w:t xml:space="preserve">Ventaja</w:t>
            </w:r>
          </w:p>
        </w:tc>
        <w:tc>
          <w:tcPr>
            <w:tcW w:type="dxa" w:w="2660"/>
            <w:tcBorders>
              <w:top w:val="single" w:color="0B5394" w:sz="6"/>
              <w:left w:val="single" w:color="0B5394" w:sz="6"/>
              <w:bottom w:val="single" w:color="0B5394" w:sz="6"/>
              <w:right w:val="single" w:color="0B5394" w:sz="6"/>
            </w:tcBorders>
            <w:shd w:fill="0B5394" w:color="auto" w:val="clear"/>
            <w:tcMar>
              <w:top w:type="dxa" w:w="100"/>
              <w:left w:type="dxa" w:w="120"/>
              <w:bottom w:type="dxa" w:w="100"/>
              <w:right w:type="dxa" w:w="120"/>
            </w:tcMar>
          </w:tcPr>
          <w:p>
            <w:pPr>
              <w:jc w:val="left"/>
            </w:pPr>
            <w:r>
              <w:rPr>
                <w:b/>
                <w:bCs/>
                <w:color w:val="FFFFFF"/>
                <w:sz w:val="20"/>
                <w:szCs w:val="20"/>
              </w:rPr>
              <w:t xml:space="preserve">Limitación</w:t>
            </w:r>
          </w:p>
        </w:tc>
      </w:tr>
      <w:tr>
        <w:tc>
          <w:tcPr>
            <w:tcW w:type="dxa" w:w="1300"/>
            <w:tcBorders>
              <w:top w:val="single" w:color="BFBFBF" w:sz="6"/>
              <w:left w:val="single" w:color="BFBFBF" w:sz="6"/>
              <w:bottom w:val="single" w:color="BFBFBF" w:sz="6"/>
              <w:right w:val="single" w:color="BFBFBF" w:sz="6"/>
            </w:tcBorders>
            <w:tcMar>
              <w:top w:type="dxa" w:w="90"/>
              <w:left w:type="dxa" w:w="120"/>
              <w:bottom w:type="dxa" w:w="90"/>
              <w:right w:type="dxa" w:w="120"/>
            </w:tcMar>
          </w:tcPr>
          <w:p>
            <w:pPr>
              <w:spacing w:after="40"/>
              <w:jc w:val="left"/>
            </w:pPr>
            <w:r>
              <w:rPr>
                <w:sz w:val="19"/>
                <w:szCs w:val="19"/>
              </w:rPr>
              <w:t xml:space="preserve">Completo (Full)</w:t>
            </w:r>
          </w:p>
        </w:tc>
        <w:tc>
          <w:tcPr>
            <w:tcW w:type="dxa" w:w="2700"/>
            <w:tcBorders>
              <w:top w:val="single" w:color="BFBFBF" w:sz="6"/>
              <w:left w:val="single" w:color="BFBFBF" w:sz="6"/>
              <w:bottom w:val="single" w:color="BFBFBF" w:sz="6"/>
              <w:right w:val="single" w:color="BFBFBF" w:sz="6"/>
            </w:tcBorders>
            <w:tcMar>
              <w:top w:type="dxa" w:w="90"/>
              <w:left w:type="dxa" w:w="120"/>
              <w:bottom w:type="dxa" w:w="90"/>
              <w:right w:type="dxa" w:w="120"/>
            </w:tcMar>
          </w:tcPr>
          <w:p>
            <w:pPr>
              <w:spacing w:after="40"/>
              <w:jc w:val="left"/>
            </w:pPr>
            <w:r>
              <w:rPr>
                <w:sz w:val="19"/>
                <w:szCs w:val="19"/>
              </w:rPr>
              <w:t xml:space="preserve">Copia íntegra de todos los datos del componente.</w:t>
            </w:r>
          </w:p>
        </w:tc>
        <w:tc>
          <w:tcPr>
            <w:tcW w:type="dxa" w:w="2700"/>
            <w:tcBorders>
              <w:top w:val="single" w:color="BFBFBF" w:sz="6"/>
              <w:left w:val="single" w:color="BFBFBF" w:sz="6"/>
              <w:bottom w:val="single" w:color="BFBFBF" w:sz="6"/>
              <w:right w:val="single" w:color="BFBFBF" w:sz="6"/>
            </w:tcBorders>
            <w:tcMar>
              <w:top w:type="dxa" w:w="90"/>
              <w:left w:type="dxa" w:w="120"/>
              <w:bottom w:type="dxa" w:w="90"/>
              <w:right w:type="dxa" w:w="120"/>
            </w:tcMar>
          </w:tcPr>
          <w:p>
            <w:pPr>
              <w:spacing w:after="40"/>
              <w:jc w:val="left"/>
            </w:pPr>
            <w:r>
              <w:rPr>
                <w:sz w:val="19"/>
                <w:szCs w:val="19"/>
              </w:rPr>
              <w:t xml:space="preserve">Restauración rápida en un solo paso; menor complejidad operativa.</w:t>
            </w:r>
          </w:p>
        </w:tc>
        <w:tc>
          <w:tcPr>
            <w:tcW w:type="dxa" w:w="2660"/>
            <w:tcBorders>
              <w:top w:val="single" w:color="BFBFBF" w:sz="6"/>
              <w:left w:val="single" w:color="BFBFBF" w:sz="6"/>
              <w:bottom w:val="single" w:color="BFBFBF" w:sz="6"/>
              <w:right w:val="single" w:color="BFBFBF" w:sz="6"/>
            </w:tcBorders>
            <w:tcMar>
              <w:top w:type="dxa" w:w="90"/>
              <w:left w:type="dxa" w:w="120"/>
              <w:bottom w:type="dxa" w:w="90"/>
              <w:right w:type="dxa" w:w="120"/>
            </w:tcMar>
          </w:tcPr>
          <w:p>
            <w:pPr>
              <w:spacing w:after="40"/>
              <w:jc w:val="left"/>
            </w:pPr>
            <w:r>
              <w:rPr>
                <w:sz w:val="19"/>
                <w:szCs w:val="19"/>
              </w:rPr>
              <w:t xml:space="preserve">Mayor consumo de almacenamiento y ventana de respaldo más amplia.</w:t>
            </w:r>
          </w:p>
        </w:tc>
      </w:tr>
      <w:tr>
        <w:tc>
          <w:tcPr>
            <w:tcW w:type="dxa" w:w="1300"/>
            <w:tcBorders>
              <w:top w:val="single" w:color="BFBFBF" w:sz="6"/>
              <w:left w:val="single" w:color="BFBFBF" w:sz="6"/>
              <w:bottom w:val="single" w:color="BFBFBF" w:sz="6"/>
              <w:right w:val="single" w:color="BFBFBF" w:sz="6"/>
            </w:tcBorders>
            <w:shd w:fill="F2F2F2" w:color="auto" w:val="clear"/>
            <w:tcMar>
              <w:top w:type="dxa" w:w="90"/>
              <w:left w:type="dxa" w:w="120"/>
              <w:bottom w:type="dxa" w:w="90"/>
              <w:right w:type="dxa" w:w="120"/>
            </w:tcMar>
          </w:tcPr>
          <w:p>
            <w:pPr>
              <w:spacing w:after="40"/>
              <w:jc w:val="left"/>
            </w:pPr>
            <w:r>
              <w:rPr>
                <w:sz w:val="19"/>
                <w:szCs w:val="19"/>
              </w:rPr>
              <w:t xml:space="preserve">Diferencial</w:t>
            </w:r>
          </w:p>
        </w:tc>
        <w:tc>
          <w:tcPr>
            <w:tcW w:type="dxa" w:w="2700"/>
            <w:tcBorders>
              <w:top w:val="single" w:color="BFBFBF" w:sz="6"/>
              <w:left w:val="single" w:color="BFBFBF" w:sz="6"/>
              <w:bottom w:val="single" w:color="BFBFBF" w:sz="6"/>
              <w:right w:val="single" w:color="BFBFBF" w:sz="6"/>
            </w:tcBorders>
            <w:shd w:fill="F2F2F2" w:color="auto" w:val="clear"/>
            <w:tcMar>
              <w:top w:type="dxa" w:w="90"/>
              <w:left w:type="dxa" w:w="120"/>
              <w:bottom w:type="dxa" w:w="90"/>
              <w:right w:type="dxa" w:w="120"/>
            </w:tcMar>
          </w:tcPr>
          <w:p>
            <w:pPr>
              <w:spacing w:after="40"/>
              <w:jc w:val="left"/>
            </w:pPr>
            <w:r>
              <w:rPr>
                <w:sz w:val="19"/>
                <w:szCs w:val="19"/>
              </w:rPr>
              <w:t xml:space="preserve">Copia los datos modificados desde el último respaldo completo.</w:t>
            </w:r>
          </w:p>
        </w:tc>
        <w:tc>
          <w:tcPr>
            <w:tcW w:type="dxa" w:w="2700"/>
            <w:tcBorders>
              <w:top w:val="single" w:color="BFBFBF" w:sz="6"/>
              <w:left w:val="single" w:color="BFBFBF" w:sz="6"/>
              <w:bottom w:val="single" w:color="BFBFBF" w:sz="6"/>
              <w:right w:val="single" w:color="BFBFBF" w:sz="6"/>
            </w:tcBorders>
            <w:shd w:fill="F2F2F2" w:color="auto" w:val="clear"/>
            <w:tcMar>
              <w:top w:type="dxa" w:w="90"/>
              <w:left w:type="dxa" w:w="120"/>
              <w:bottom w:type="dxa" w:w="90"/>
              <w:right w:type="dxa" w:w="120"/>
            </w:tcMar>
          </w:tcPr>
          <w:p>
            <w:pPr>
              <w:spacing w:after="40"/>
              <w:jc w:val="left"/>
            </w:pPr>
            <w:r>
              <w:rPr>
                <w:sz w:val="19"/>
                <w:szCs w:val="19"/>
              </w:rPr>
              <w:t xml:space="preserve">Restauración requiere solo el último full + el último diferencial.</w:t>
            </w:r>
          </w:p>
        </w:tc>
        <w:tc>
          <w:tcPr>
            <w:tcW w:type="dxa" w:w="2660"/>
            <w:tcBorders>
              <w:top w:val="single" w:color="BFBFBF" w:sz="6"/>
              <w:left w:val="single" w:color="BFBFBF" w:sz="6"/>
              <w:bottom w:val="single" w:color="BFBFBF" w:sz="6"/>
              <w:right w:val="single" w:color="BFBFBF" w:sz="6"/>
            </w:tcBorders>
            <w:shd w:fill="F2F2F2" w:color="auto" w:val="clear"/>
            <w:tcMar>
              <w:top w:type="dxa" w:w="90"/>
              <w:left w:type="dxa" w:w="120"/>
              <w:bottom w:type="dxa" w:w="90"/>
              <w:right w:type="dxa" w:w="120"/>
            </w:tcMar>
          </w:tcPr>
          <w:p>
            <w:pPr>
              <w:spacing w:after="40"/>
              <w:jc w:val="left"/>
            </w:pPr>
            <w:r>
              <w:rPr>
                <w:sz w:val="19"/>
                <w:szCs w:val="19"/>
              </w:rPr>
              <w:t xml:space="preserve">Crece progresivamente entre fulls; mayor que incremental.</w:t>
            </w:r>
          </w:p>
        </w:tc>
      </w:tr>
      <w:tr>
        <w:tc>
          <w:tcPr>
            <w:tcW w:type="dxa" w:w="1300"/>
            <w:tcBorders>
              <w:top w:val="single" w:color="BFBFBF" w:sz="6"/>
              <w:left w:val="single" w:color="BFBFBF" w:sz="6"/>
              <w:bottom w:val="single" w:color="BFBFBF" w:sz="6"/>
              <w:right w:val="single" w:color="BFBFBF" w:sz="6"/>
            </w:tcBorders>
            <w:tcMar>
              <w:top w:type="dxa" w:w="90"/>
              <w:left w:type="dxa" w:w="120"/>
              <w:bottom w:type="dxa" w:w="90"/>
              <w:right w:type="dxa" w:w="120"/>
            </w:tcMar>
          </w:tcPr>
          <w:p>
            <w:pPr>
              <w:spacing w:after="40"/>
              <w:jc w:val="left"/>
            </w:pPr>
            <w:r>
              <w:rPr>
                <w:sz w:val="19"/>
                <w:szCs w:val="19"/>
              </w:rPr>
              <w:t xml:space="preserve">Incremental</w:t>
            </w:r>
          </w:p>
        </w:tc>
        <w:tc>
          <w:tcPr>
            <w:tcW w:type="dxa" w:w="2700"/>
            <w:tcBorders>
              <w:top w:val="single" w:color="BFBFBF" w:sz="6"/>
              <w:left w:val="single" w:color="BFBFBF" w:sz="6"/>
              <w:bottom w:val="single" w:color="BFBFBF" w:sz="6"/>
              <w:right w:val="single" w:color="BFBFBF" w:sz="6"/>
            </w:tcBorders>
            <w:tcMar>
              <w:top w:type="dxa" w:w="90"/>
              <w:left w:type="dxa" w:w="120"/>
              <w:bottom w:type="dxa" w:w="90"/>
              <w:right w:type="dxa" w:w="120"/>
            </w:tcMar>
          </w:tcPr>
          <w:p>
            <w:pPr>
              <w:spacing w:after="40"/>
              <w:jc w:val="left"/>
            </w:pPr>
            <w:r>
              <w:rPr>
                <w:sz w:val="19"/>
                <w:szCs w:val="19"/>
              </w:rPr>
              <w:t xml:space="preserve">Copia los datos modificados desde el último respaldo (full o incremental).</w:t>
            </w:r>
          </w:p>
        </w:tc>
        <w:tc>
          <w:tcPr>
            <w:tcW w:type="dxa" w:w="2700"/>
            <w:tcBorders>
              <w:top w:val="single" w:color="BFBFBF" w:sz="6"/>
              <w:left w:val="single" w:color="BFBFBF" w:sz="6"/>
              <w:bottom w:val="single" w:color="BFBFBF" w:sz="6"/>
              <w:right w:val="single" w:color="BFBFBF" w:sz="6"/>
            </w:tcBorders>
            <w:tcMar>
              <w:top w:type="dxa" w:w="90"/>
              <w:left w:type="dxa" w:w="120"/>
              <w:bottom w:type="dxa" w:w="90"/>
              <w:right w:type="dxa" w:w="120"/>
            </w:tcMar>
          </w:tcPr>
          <w:p>
            <w:pPr>
              <w:spacing w:after="40"/>
              <w:jc w:val="left"/>
            </w:pPr>
            <w:r>
              <w:rPr>
                <w:sz w:val="19"/>
                <w:szCs w:val="19"/>
              </w:rPr>
              <w:t xml:space="preserve">Menor consumo de almacenamiento y ventana mínima.</w:t>
            </w:r>
          </w:p>
        </w:tc>
        <w:tc>
          <w:tcPr>
            <w:tcW w:type="dxa" w:w="2660"/>
            <w:tcBorders>
              <w:top w:val="single" w:color="BFBFBF" w:sz="6"/>
              <w:left w:val="single" w:color="BFBFBF" w:sz="6"/>
              <w:bottom w:val="single" w:color="BFBFBF" w:sz="6"/>
              <w:right w:val="single" w:color="BFBFBF" w:sz="6"/>
            </w:tcBorders>
            <w:tcMar>
              <w:top w:type="dxa" w:w="90"/>
              <w:left w:type="dxa" w:w="120"/>
              <w:bottom w:type="dxa" w:w="90"/>
              <w:right w:type="dxa" w:w="120"/>
            </w:tcMar>
          </w:tcPr>
          <w:p>
            <w:pPr>
              <w:spacing w:after="40"/>
              <w:jc w:val="left"/>
            </w:pPr>
            <w:r>
              <w:rPr>
                <w:sz w:val="19"/>
                <w:szCs w:val="19"/>
              </w:rPr>
              <w:t xml:space="preserve">Restauración encadena el full + todos los incrementales; más complejo y lento.</w:t>
            </w:r>
          </w:p>
        </w:tc>
      </w:tr>
      <w:tr>
        <w:tc>
          <w:tcPr>
            <w:tcW w:type="dxa" w:w="1300"/>
            <w:tcBorders>
              <w:top w:val="single" w:color="BFBFBF" w:sz="6"/>
              <w:left w:val="single" w:color="BFBFBF" w:sz="6"/>
              <w:bottom w:val="single" w:color="BFBFBF" w:sz="6"/>
              <w:right w:val="single" w:color="BFBFBF" w:sz="6"/>
            </w:tcBorders>
            <w:shd w:fill="F2F2F2" w:color="auto" w:val="clear"/>
            <w:tcMar>
              <w:top w:type="dxa" w:w="90"/>
              <w:left w:type="dxa" w:w="120"/>
              <w:bottom w:type="dxa" w:w="90"/>
              <w:right w:type="dxa" w:w="120"/>
            </w:tcMar>
          </w:tcPr>
          <w:p>
            <w:pPr>
              <w:spacing w:after="40"/>
              <w:jc w:val="left"/>
            </w:pPr>
            <w:r>
              <w:rPr>
                <w:sz w:val="19"/>
                <w:szCs w:val="19"/>
              </w:rPr>
              <w:t xml:space="preserve">Snapshot</w:t>
            </w:r>
          </w:p>
        </w:tc>
        <w:tc>
          <w:tcPr>
            <w:tcW w:type="dxa" w:w="2700"/>
            <w:tcBorders>
              <w:top w:val="single" w:color="BFBFBF" w:sz="6"/>
              <w:left w:val="single" w:color="BFBFBF" w:sz="6"/>
              <w:bottom w:val="single" w:color="BFBFBF" w:sz="6"/>
              <w:right w:val="single" w:color="BFBFBF" w:sz="6"/>
            </w:tcBorders>
            <w:shd w:fill="F2F2F2" w:color="auto" w:val="clear"/>
            <w:tcMar>
              <w:top w:type="dxa" w:w="90"/>
              <w:left w:type="dxa" w:w="120"/>
              <w:bottom w:type="dxa" w:w="90"/>
              <w:right w:type="dxa" w:w="120"/>
            </w:tcMar>
          </w:tcPr>
          <w:p>
            <w:pPr>
              <w:spacing w:after="40"/>
              <w:jc w:val="left"/>
            </w:pPr>
            <w:r>
              <w:rPr>
                <w:sz w:val="19"/>
                <w:szCs w:val="19"/>
              </w:rPr>
              <w:t xml:space="preserve">Copia consistente a nivel de bloque o archivo en un punto en el tiempo, gestionada por la plataforma.</w:t>
            </w:r>
          </w:p>
        </w:tc>
        <w:tc>
          <w:tcPr>
            <w:tcW w:type="dxa" w:w="2700"/>
            <w:tcBorders>
              <w:top w:val="single" w:color="BFBFBF" w:sz="6"/>
              <w:left w:val="single" w:color="BFBFBF" w:sz="6"/>
              <w:bottom w:val="single" w:color="BFBFBF" w:sz="6"/>
              <w:right w:val="single" w:color="BFBFBF" w:sz="6"/>
            </w:tcBorders>
            <w:shd w:fill="F2F2F2" w:color="auto" w:val="clear"/>
            <w:tcMar>
              <w:top w:type="dxa" w:w="90"/>
              <w:left w:type="dxa" w:w="120"/>
              <w:bottom w:type="dxa" w:w="90"/>
              <w:right w:type="dxa" w:w="120"/>
            </w:tcMar>
          </w:tcPr>
          <w:p>
            <w:pPr>
              <w:spacing w:after="40"/>
              <w:jc w:val="left"/>
            </w:pPr>
            <w:r>
              <w:rPr>
                <w:sz w:val="19"/>
                <w:szCs w:val="19"/>
              </w:rPr>
              <w:t xml:space="preserve">Muy bajo impacto, casi instantáneo. Base del modelo Azure Backup.</w:t>
            </w:r>
          </w:p>
        </w:tc>
        <w:tc>
          <w:tcPr>
            <w:tcW w:type="dxa" w:w="2660"/>
            <w:tcBorders>
              <w:top w:val="single" w:color="BFBFBF" w:sz="6"/>
              <w:left w:val="single" w:color="BFBFBF" w:sz="6"/>
              <w:bottom w:val="single" w:color="BFBFBF" w:sz="6"/>
              <w:right w:val="single" w:color="BFBFBF" w:sz="6"/>
            </w:tcBorders>
            <w:shd w:fill="F2F2F2" w:color="auto" w:val="clear"/>
            <w:tcMar>
              <w:top w:type="dxa" w:w="90"/>
              <w:left w:type="dxa" w:w="120"/>
              <w:bottom w:type="dxa" w:w="90"/>
              <w:right w:type="dxa" w:w="120"/>
            </w:tcMar>
          </w:tcPr>
          <w:p>
            <w:pPr>
              <w:spacing w:after="40"/>
              <w:jc w:val="left"/>
            </w:pPr>
            <w:r>
              <w:rPr>
                <w:sz w:val="19"/>
                <w:szCs w:val="19"/>
              </w:rPr>
              <w:t xml:space="preserve">Depende de la plataforma; debe complementarse con copias en bóveda.</w:t>
            </w:r>
          </w:p>
        </w:tc>
      </w:tr>
      <w:tr>
        <w:tc>
          <w:tcPr>
            <w:tcW w:type="dxa" w:w="1300"/>
            <w:tcBorders>
              <w:top w:val="single" w:color="BFBFBF" w:sz="6"/>
              <w:left w:val="single" w:color="BFBFBF" w:sz="6"/>
              <w:bottom w:val="single" w:color="BFBFBF" w:sz="6"/>
              <w:right w:val="single" w:color="BFBFBF" w:sz="6"/>
            </w:tcBorders>
            <w:tcMar>
              <w:top w:type="dxa" w:w="90"/>
              <w:left w:type="dxa" w:w="120"/>
              <w:bottom w:type="dxa" w:w="90"/>
              <w:right w:type="dxa" w:w="120"/>
            </w:tcMar>
          </w:tcPr>
          <w:p>
            <w:pPr>
              <w:spacing w:after="40"/>
              <w:jc w:val="left"/>
            </w:pPr>
            <w:r>
              <w:rPr>
                <w:sz w:val="19"/>
                <w:szCs w:val="19"/>
              </w:rPr>
              <w:t xml:space="preserve">Log / Transaccional</w:t>
            </w:r>
          </w:p>
        </w:tc>
        <w:tc>
          <w:tcPr>
            <w:tcW w:type="dxa" w:w="2700"/>
            <w:tcBorders>
              <w:top w:val="single" w:color="BFBFBF" w:sz="6"/>
              <w:left w:val="single" w:color="BFBFBF" w:sz="6"/>
              <w:bottom w:val="single" w:color="BFBFBF" w:sz="6"/>
              <w:right w:val="single" w:color="BFBFBF" w:sz="6"/>
            </w:tcBorders>
            <w:tcMar>
              <w:top w:type="dxa" w:w="90"/>
              <w:left w:type="dxa" w:w="120"/>
              <w:bottom w:type="dxa" w:w="90"/>
              <w:right w:type="dxa" w:w="120"/>
            </w:tcMar>
          </w:tcPr>
          <w:p>
            <w:pPr>
              <w:spacing w:after="40"/>
              <w:jc w:val="left"/>
            </w:pPr>
            <w:r>
              <w:rPr>
                <w:sz w:val="19"/>
                <w:szCs w:val="19"/>
              </w:rPr>
              <w:t xml:space="preserve">Respaldo continuo del registro de transacciones (en bases de datos).</w:t>
            </w:r>
          </w:p>
        </w:tc>
        <w:tc>
          <w:tcPr>
            <w:tcW w:type="dxa" w:w="2700"/>
            <w:tcBorders>
              <w:top w:val="single" w:color="BFBFBF" w:sz="6"/>
              <w:left w:val="single" w:color="BFBFBF" w:sz="6"/>
              <w:bottom w:val="single" w:color="BFBFBF" w:sz="6"/>
              <w:right w:val="single" w:color="BFBFBF" w:sz="6"/>
            </w:tcBorders>
            <w:tcMar>
              <w:top w:type="dxa" w:w="90"/>
              <w:left w:type="dxa" w:w="120"/>
              <w:bottom w:type="dxa" w:w="90"/>
              <w:right w:type="dxa" w:w="120"/>
            </w:tcMar>
          </w:tcPr>
          <w:p>
            <w:pPr>
              <w:spacing w:after="40"/>
              <w:jc w:val="left"/>
            </w:pPr>
            <w:r>
              <w:rPr>
                <w:sz w:val="19"/>
                <w:szCs w:val="19"/>
              </w:rPr>
              <w:t xml:space="preserve">Permite Point-in-Time Restore con RPO de minutos o segundos.</w:t>
            </w:r>
          </w:p>
        </w:tc>
        <w:tc>
          <w:tcPr>
            <w:tcW w:type="dxa" w:w="2660"/>
            <w:tcBorders>
              <w:top w:val="single" w:color="BFBFBF" w:sz="6"/>
              <w:left w:val="single" w:color="BFBFBF" w:sz="6"/>
              <w:bottom w:val="single" w:color="BFBFBF" w:sz="6"/>
              <w:right w:val="single" w:color="BFBFBF" w:sz="6"/>
            </w:tcBorders>
            <w:tcMar>
              <w:top w:type="dxa" w:w="90"/>
              <w:left w:type="dxa" w:w="120"/>
              <w:bottom w:type="dxa" w:w="90"/>
              <w:right w:type="dxa" w:w="120"/>
            </w:tcMar>
          </w:tcPr>
          <w:p>
            <w:pPr>
              <w:spacing w:after="40"/>
              <w:jc w:val="left"/>
            </w:pPr>
            <w:r>
              <w:rPr>
                <w:sz w:val="19"/>
                <w:szCs w:val="19"/>
              </w:rPr>
              <w:t xml:space="preserve">Aplica solo a motores transaccionales (SQL, PostgreSQL, MySQL).</w:t>
            </w:r>
          </w:p>
        </w:tc>
      </w:tr>
    </w:tbl>
    <w:p>
      <w:pPr>
        <w:pStyle w:val="Heading2"/>
        <w:spacing w:after="140" w:before="280"/>
      </w:pPr>
      <w:r>
        <w:rPr>
          <w:b/>
          <w:bCs/>
          <w:color w:val="1F4E79"/>
          <w:sz w:val="26"/>
          <w:szCs w:val="26"/>
        </w:rPr>
        <w:t xml:space="preserve">5.2 Esquema GFS recomendado (Grandfather-Father-Son)</w:t>
      </w:r>
    </w:p>
    <w:p>
      <w:pPr>
        <w:spacing w:after="120" w:line="300"/>
        <w:jc w:val="both"/>
      </w:pPr>
      <w:r>
        <w:t xml:space="preserve">Se adopta el esquema GFS como base de retención para todos los Tier 0, 1 y 2. Combina frecuencia operativa con preservación histórica, optimizando costo y cumplimiento.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2400"/>
        <w:gridCol w:w="2860"/>
      </w:tblGrid>
      <w:tr>
        <w:trPr>
          <w:tblHeader/>
        </w:trPr>
        <w:tc>
          <w:tcPr>
            <w:tcW w:type="dxa" w:w="1700"/>
            <w:tcBorders>
              <w:top w:val="single" w:color="0B5394" w:sz="6"/>
              <w:left w:val="single" w:color="0B5394" w:sz="6"/>
              <w:bottom w:val="single" w:color="0B5394" w:sz="6"/>
              <w:right w:val="single" w:color="0B5394" w:sz="6"/>
            </w:tcBorders>
            <w:shd w:fill="0B5394" w:color="auto" w:val="clear"/>
            <w:tcMar>
              <w:top w:type="dxa" w:w="100"/>
              <w:left w:type="dxa" w:w="120"/>
              <w:bottom w:type="dxa" w:w="100"/>
              <w:right w:type="dxa" w:w="120"/>
            </w:tcMar>
          </w:tcPr>
          <w:p>
            <w:pPr>
              <w:jc w:val="left"/>
            </w:pPr>
            <w:r>
              <w:rPr>
                <w:b/>
                <w:bCs/>
                <w:color w:val="FFFFFF"/>
                <w:sz w:val="20"/>
                <w:szCs w:val="20"/>
              </w:rPr>
              <w:t xml:space="preserve">Tipo</w:t>
            </w:r>
          </w:p>
        </w:tc>
        <w:tc>
          <w:tcPr>
            <w:tcW w:type="dxa" w:w="2400"/>
            <w:tcBorders>
              <w:top w:val="single" w:color="0B5394" w:sz="6"/>
              <w:left w:val="single" w:color="0B5394" w:sz="6"/>
              <w:bottom w:val="single" w:color="0B5394" w:sz="6"/>
              <w:right w:val="single" w:color="0B5394" w:sz="6"/>
            </w:tcBorders>
            <w:shd w:fill="0B5394" w:color="auto" w:val="clear"/>
            <w:tcMar>
              <w:top w:type="dxa" w:w="100"/>
              <w:left w:type="dxa" w:w="120"/>
              <w:bottom w:type="dxa" w:w="100"/>
              <w:right w:type="dxa" w:w="120"/>
            </w:tcMar>
          </w:tcPr>
          <w:p>
            <w:pPr>
              <w:jc w:val="left"/>
            </w:pPr>
            <w:r>
              <w:rPr>
                <w:b/>
                <w:bCs/>
                <w:color w:val="FFFFFF"/>
                <w:sz w:val="20"/>
                <w:szCs w:val="20"/>
              </w:rPr>
              <w:t xml:space="preserve">Frecuencia</w:t>
            </w:r>
          </w:p>
        </w:tc>
        <w:tc>
          <w:tcPr>
            <w:tcW w:type="dxa" w:w="2400"/>
            <w:tcBorders>
              <w:top w:val="single" w:color="0B5394" w:sz="6"/>
              <w:left w:val="single" w:color="0B5394" w:sz="6"/>
              <w:bottom w:val="single" w:color="0B5394" w:sz="6"/>
              <w:right w:val="single" w:color="0B5394" w:sz="6"/>
            </w:tcBorders>
            <w:shd w:fill="0B5394" w:color="auto" w:val="clear"/>
            <w:tcMar>
              <w:top w:type="dxa" w:w="100"/>
              <w:left w:type="dxa" w:w="120"/>
              <w:bottom w:type="dxa" w:w="100"/>
              <w:right w:type="dxa" w:w="120"/>
            </w:tcMar>
          </w:tcPr>
          <w:p>
            <w:pPr>
              <w:jc w:val="left"/>
            </w:pPr>
            <w:r>
              <w:rPr>
                <w:b/>
                <w:bCs/>
                <w:color w:val="FFFFFF"/>
                <w:sz w:val="20"/>
                <w:szCs w:val="20"/>
              </w:rPr>
              <w:t xml:space="preserve">Retención</w:t>
            </w:r>
          </w:p>
        </w:tc>
        <w:tc>
          <w:tcPr>
            <w:tcW w:type="dxa" w:w="2860"/>
            <w:tcBorders>
              <w:top w:val="single" w:color="0B5394" w:sz="6"/>
              <w:left w:val="single" w:color="0B5394" w:sz="6"/>
              <w:bottom w:val="single" w:color="0B5394" w:sz="6"/>
              <w:right w:val="single" w:color="0B5394" w:sz="6"/>
            </w:tcBorders>
            <w:shd w:fill="0B5394" w:color="auto" w:val="clear"/>
            <w:tcMar>
              <w:top w:type="dxa" w:w="100"/>
              <w:left w:type="dxa" w:w="120"/>
              <w:bottom w:type="dxa" w:w="100"/>
              <w:right w:type="dxa" w:w="120"/>
            </w:tcMar>
          </w:tcPr>
          <w:p>
            <w:pPr>
              <w:jc w:val="left"/>
            </w:pPr>
            <w:r>
              <w:rPr>
                <w:b/>
                <w:bCs/>
                <w:color w:val="FFFFFF"/>
                <w:sz w:val="20"/>
                <w:szCs w:val="20"/>
              </w:rPr>
              <w:t xml:space="preserve">Propósito</w:t>
            </w:r>
          </w:p>
        </w:tc>
      </w:tr>
      <w:tr>
        <w:tc>
          <w:tcPr>
            <w:tcW w:type="dxa" w:w="1700"/>
            <w:tcBorders>
              <w:top w:val="single" w:color="BFBFBF" w:sz="6"/>
              <w:left w:val="single" w:color="BFBFBF" w:sz="6"/>
              <w:bottom w:val="single" w:color="BFBFBF" w:sz="6"/>
              <w:right w:val="single" w:color="BFBFBF" w:sz="6"/>
            </w:tcBorders>
            <w:tcMar>
              <w:top w:type="dxa" w:w="90"/>
              <w:left w:type="dxa" w:w="120"/>
              <w:bottom w:type="dxa" w:w="90"/>
              <w:right w:type="dxa" w:w="120"/>
            </w:tcMar>
          </w:tcPr>
          <w:p>
            <w:pPr>
              <w:spacing w:after="40"/>
              <w:jc w:val="left"/>
            </w:pPr>
            <w:r>
              <w:rPr>
                <w:sz w:val="19"/>
                <w:szCs w:val="19"/>
              </w:rPr>
              <w:t xml:space="preserve">Son (diario)</w:t>
            </w:r>
          </w:p>
        </w:tc>
        <w:tc>
          <w:tcPr>
            <w:tcW w:type="dxa" w:w="2400"/>
            <w:tcBorders>
              <w:top w:val="single" w:color="BFBFBF" w:sz="6"/>
              <w:left w:val="single" w:color="BFBFBF" w:sz="6"/>
              <w:bottom w:val="single" w:color="BFBFBF" w:sz="6"/>
              <w:right w:val="single" w:color="BFBFBF" w:sz="6"/>
            </w:tcBorders>
            <w:tcMar>
              <w:top w:type="dxa" w:w="90"/>
              <w:left w:type="dxa" w:w="120"/>
              <w:bottom w:type="dxa" w:w="90"/>
              <w:right w:type="dxa" w:w="120"/>
            </w:tcMar>
          </w:tcPr>
          <w:p>
            <w:pPr>
              <w:spacing w:after="40"/>
              <w:jc w:val="left"/>
            </w:pPr>
            <w:r>
              <w:rPr>
                <w:sz w:val="19"/>
                <w:szCs w:val="19"/>
              </w:rPr>
              <w:t xml:space="preserve">Incremental diario</w:t>
            </w:r>
          </w:p>
        </w:tc>
        <w:tc>
          <w:tcPr>
            <w:tcW w:type="dxa" w:w="2400"/>
            <w:tcBorders>
              <w:top w:val="single" w:color="BFBFBF" w:sz="6"/>
              <w:left w:val="single" w:color="BFBFBF" w:sz="6"/>
              <w:bottom w:val="single" w:color="BFBFBF" w:sz="6"/>
              <w:right w:val="single" w:color="BFBFBF" w:sz="6"/>
            </w:tcBorders>
            <w:tcMar>
              <w:top w:type="dxa" w:w="90"/>
              <w:left w:type="dxa" w:w="120"/>
              <w:bottom w:type="dxa" w:w="90"/>
              <w:right w:type="dxa" w:w="120"/>
            </w:tcMar>
          </w:tcPr>
          <w:p>
            <w:pPr>
              <w:spacing w:after="40"/>
              <w:jc w:val="left"/>
            </w:pPr>
            <w:r>
              <w:rPr>
                <w:sz w:val="19"/>
                <w:szCs w:val="19"/>
              </w:rPr>
              <w:t xml:space="preserve">14–35 días</w:t>
            </w:r>
          </w:p>
        </w:tc>
        <w:tc>
          <w:tcPr>
            <w:tcW w:type="dxa" w:w="2860"/>
            <w:tcBorders>
              <w:top w:val="single" w:color="BFBFBF" w:sz="6"/>
              <w:left w:val="single" w:color="BFBFBF" w:sz="6"/>
              <w:bottom w:val="single" w:color="BFBFBF" w:sz="6"/>
              <w:right w:val="single" w:color="BFBFBF" w:sz="6"/>
            </w:tcBorders>
            <w:tcMar>
              <w:top w:type="dxa" w:w="90"/>
              <w:left w:type="dxa" w:w="120"/>
              <w:bottom w:type="dxa" w:w="90"/>
              <w:right w:type="dxa" w:w="120"/>
            </w:tcMar>
          </w:tcPr>
          <w:p>
            <w:pPr>
              <w:spacing w:after="40"/>
              <w:jc w:val="left"/>
            </w:pPr>
            <w:r>
              <w:rPr>
                <w:sz w:val="19"/>
                <w:szCs w:val="19"/>
              </w:rPr>
              <w:t xml:space="preserve">Recuperación operativa reciente</w:t>
            </w:r>
          </w:p>
        </w:tc>
      </w:tr>
      <w:tr>
        <w:tc>
          <w:tcPr>
            <w:tcW w:type="dxa" w:w="1700"/>
            <w:tcBorders>
              <w:top w:val="single" w:color="BFBFBF" w:sz="6"/>
              <w:left w:val="single" w:color="BFBFBF" w:sz="6"/>
              <w:bottom w:val="single" w:color="BFBFBF" w:sz="6"/>
              <w:right w:val="single" w:color="BFBFBF" w:sz="6"/>
            </w:tcBorders>
            <w:shd w:fill="F2F2F2" w:color="auto" w:val="clear"/>
            <w:tcMar>
              <w:top w:type="dxa" w:w="90"/>
              <w:left w:type="dxa" w:w="120"/>
              <w:bottom w:type="dxa" w:w="90"/>
              <w:right w:type="dxa" w:w="120"/>
            </w:tcMar>
          </w:tcPr>
          <w:p>
            <w:pPr>
              <w:spacing w:after="40"/>
              <w:jc w:val="left"/>
            </w:pPr>
            <w:r>
              <w:rPr>
                <w:sz w:val="19"/>
                <w:szCs w:val="19"/>
              </w:rPr>
              <w:t xml:space="preserve">Father (semanal)</w:t>
            </w:r>
          </w:p>
        </w:tc>
        <w:tc>
          <w:tcPr>
            <w:tcW w:type="dxa" w:w="2400"/>
            <w:tcBorders>
              <w:top w:val="single" w:color="BFBFBF" w:sz="6"/>
              <w:left w:val="single" w:color="BFBFBF" w:sz="6"/>
              <w:bottom w:val="single" w:color="BFBFBF" w:sz="6"/>
              <w:right w:val="single" w:color="BFBFBF" w:sz="6"/>
            </w:tcBorders>
            <w:shd w:fill="F2F2F2" w:color="auto" w:val="clear"/>
            <w:tcMar>
              <w:top w:type="dxa" w:w="90"/>
              <w:left w:type="dxa" w:w="120"/>
              <w:bottom w:type="dxa" w:w="90"/>
              <w:right w:type="dxa" w:w="120"/>
            </w:tcMar>
          </w:tcPr>
          <w:p>
            <w:pPr>
              <w:spacing w:after="40"/>
              <w:jc w:val="left"/>
            </w:pPr>
            <w:r>
              <w:rPr>
                <w:sz w:val="19"/>
                <w:szCs w:val="19"/>
              </w:rPr>
              <w:t xml:space="preserve">Diferencial / Full semanal (domingo)</w:t>
            </w:r>
          </w:p>
        </w:tc>
        <w:tc>
          <w:tcPr>
            <w:tcW w:type="dxa" w:w="2400"/>
            <w:tcBorders>
              <w:top w:val="single" w:color="BFBFBF" w:sz="6"/>
              <w:left w:val="single" w:color="BFBFBF" w:sz="6"/>
              <w:bottom w:val="single" w:color="BFBFBF" w:sz="6"/>
              <w:right w:val="single" w:color="BFBFBF" w:sz="6"/>
            </w:tcBorders>
            <w:shd w:fill="F2F2F2" w:color="auto" w:val="clear"/>
            <w:tcMar>
              <w:top w:type="dxa" w:w="90"/>
              <w:left w:type="dxa" w:w="120"/>
              <w:bottom w:type="dxa" w:w="90"/>
              <w:right w:type="dxa" w:w="120"/>
            </w:tcMar>
          </w:tcPr>
          <w:p>
            <w:pPr>
              <w:spacing w:after="40"/>
              <w:jc w:val="left"/>
            </w:pPr>
            <w:r>
              <w:rPr>
                <w:sz w:val="19"/>
                <w:szCs w:val="19"/>
              </w:rPr>
              <w:t xml:space="preserve">8–12 semanas</w:t>
            </w:r>
          </w:p>
        </w:tc>
        <w:tc>
          <w:tcPr>
            <w:tcW w:type="dxa" w:w="2860"/>
            <w:tcBorders>
              <w:top w:val="single" w:color="BFBFBF" w:sz="6"/>
              <w:left w:val="single" w:color="BFBFBF" w:sz="6"/>
              <w:bottom w:val="single" w:color="BFBFBF" w:sz="6"/>
              <w:right w:val="single" w:color="BFBFBF" w:sz="6"/>
            </w:tcBorders>
            <w:shd w:fill="F2F2F2" w:color="auto" w:val="clear"/>
            <w:tcMar>
              <w:top w:type="dxa" w:w="90"/>
              <w:left w:type="dxa" w:w="120"/>
              <w:bottom w:type="dxa" w:w="90"/>
              <w:right w:type="dxa" w:w="120"/>
            </w:tcMar>
          </w:tcPr>
          <w:p>
            <w:pPr>
              <w:spacing w:after="40"/>
              <w:jc w:val="left"/>
            </w:pPr>
            <w:r>
              <w:rPr>
                <w:sz w:val="19"/>
                <w:szCs w:val="19"/>
              </w:rPr>
              <w:t xml:space="preserve">Recuperación de mediano plazo</w:t>
            </w:r>
          </w:p>
        </w:tc>
      </w:tr>
      <w:tr>
        <w:tc>
          <w:tcPr>
            <w:tcW w:type="dxa" w:w="1700"/>
            <w:tcBorders>
              <w:top w:val="single" w:color="BFBFBF" w:sz="6"/>
              <w:left w:val="single" w:color="BFBFBF" w:sz="6"/>
              <w:bottom w:val="single" w:color="BFBFBF" w:sz="6"/>
              <w:right w:val="single" w:color="BFBFBF" w:sz="6"/>
            </w:tcBorders>
            <w:tcMar>
              <w:top w:type="dxa" w:w="90"/>
              <w:left w:type="dxa" w:w="120"/>
              <w:bottom w:type="dxa" w:w="90"/>
              <w:right w:type="dxa" w:w="120"/>
            </w:tcMar>
          </w:tcPr>
          <w:p>
            <w:pPr>
              <w:spacing w:after="40"/>
              <w:jc w:val="left"/>
            </w:pPr>
            <w:r>
              <w:rPr>
                <w:sz w:val="19"/>
                <w:szCs w:val="19"/>
              </w:rPr>
              <w:t xml:space="preserve">Grandfather (mensual)</w:t>
            </w:r>
          </w:p>
        </w:tc>
        <w:tc>
          <w:tcPr>
            <w:tcW w:type="dxa" w:w="2400"/>
            <w:tcBorders>
              <w:top w:val="single" w:color="BFBFBF" w:sz="6"/>
              <w:left w:val="single" w:color="BFBFBF" w:sz="6"/>
              <w:bottom w:val="single" w:color="BFBFBF" w:sz="6"/>
              <w:right w:val="single" w:color="BFBFBF" w:sz="6"/>
            </w:tcBorders>
            <w:tcMar>
              <w:top w:type="dxa" w:w="90"/>
              <w:left w:type="dxa" w:w="120"/>
              <w:bottom w:type="dxa" w:w="90"/>
              <w:right w:type="dxa" w:w="120"/>
            </w:tcMar>
          </w:tcPr>
          <w:p>
            <w:pPr>
              <w:spacing w:after="40"/>
              <w:jc w:val="left"/>
            </w:pPr>
            <w:r>
              <w:rPr>
                <w:sz w:val="19"/>
                <w:szCs w:val="19"/>
              </w:rPr>
              <w:t xml:space="preserve">Full mensual (primer domingo del mes)</w:t>
            </w:r>
          </w:p>
        </w:tc>
        <w:tc>
          <w:tcPr>
            <w:tcW w:type="dxa" w:w="2400"/>
            <w:tcBorders>
              <w:top w:val="single" w:color="BFBFBF" w:sz="6"/>
              <w:left w:val="single" w:color="BFBFBF" w:sz="6"/>
              <w:bottom w:val="single" w:color="BFBFBF" w:sz="6"/>
              <w:right w:val="single" w:color="BFBFBF" w:sz="6"/>
            </w:tcBorders>
            <w:tcMar>
              <w:top w:type="dxa" w:w="90"/>
              <w:left w:type="dxa" w:w="120"/>
              <w:bottom w:type="dxa" w:w="90"/>
              <w:right w:type="dxa" w:w="120"/>
            </w:tcMar>
          </w:tcPr>
          <w:p>
            <w:pPr>
              <w:spacing w:after="40"/>
              <w:jc w:val="left"/>
            </w:pPr>
            <w:r>
              <w:rPr>
                <w:sz w:val="19"/>
                <w:szCs w:val="19"/>
              </w:rPr>
              <w:t xml:space="preserve">12 meses</w:t>
            </w:r>
          </w:p>
        </w:tc>
        <w:tc>
          <w:tcPr>
            <w:tcW w:type="dxa" w:w="2860"/>
            <w:tcBorders>
              <w:top w:val="single" w:color="BFBFBF" w:sz="6"/>
              <w:left w:val="single" w:color="BFBFBF" w:sz="6"/>
              <w:bottom w:val="single" w:color="BFBFBF" w:sz="6"/>
              <w:right w:val="single" w:color="BFBFBF" w:sz="6"/>
            </w:tcBorders>
            <w:tcMar>
              <w:top w:type="dxa" w:w="90"/>
              <w:left w:type="dxa" w:w="120"/>
              <w:bottom w:type="dxa" w:w="90"/>
              <w:right w:type="dxa" w:w="120"/>
            </w:tcMar>
          </w:tcPr>
          <w:p>
            <w:pPr>
              <w:spacing w:after="40"/>
              <w:jc w:val="left"/>
            </w:pPr>
            <w:r>
              <w:rPr>
                <w:sz w:val="19"/>
                <w:szCs w:val="19"/>
              </w:rPr>
              <w:t xml:space="preserve">Cumplimiento y auditoría</w:t>
            </w:r>
          </w:p>
        </w:tc>
      </w:tr>
      <w:tr>
        <w:tc>
          <w:tcPr>
            <w:tcW w:type="dxa" w:w="1700"/>
            <w:tcBorders>
              <w:top w:val="single" w:color="BFBFBF" w:sz="6"/>
              <w:left w:val="single" w:color="BFBFBF" w:sz="6"/>
              <w:bottom w:val="single" w:color="BFBFBF" w:sz="6"/>
              <w:right w:val="single" w:color="BFBFBF" w:sz="6"/>
            </w:tcBorders>
            <w:shd w:fill="F2F2F2" w:color="auto" w:val="clear"/>
            <w:tcMar>
              <w:top w:type="dxa" w:w="90"/>
              <w:left w:type="dxa" w:w="120"/>
              <w:bottom w:type="dxa" w:w="90"/>
              <w:right w:type="dxa" w:w="120"/>
            </w:tcMar>
          </w:tcPr>
          <w:p>
            <w:pPr>
              <w:spacing w:after="40"/>
              <w:jc w:val="left"/>
            </w:pPr>
            <w:r>
              <w:rPr>
                <w:sz w:val="19"/>
                <w:szCs w:val="19"/>
              </w:rPr>
              <w:t xml:space="preserve">Yearly (anual)</w:t>
            </w:r>
          </w:p>
        </w:tc>
        <w:tc>
          <w:tcPr>
            <w:tcW w:type="dxa" w:w="2400"/>
            <w:tcBorders>
              <w:top w:val="single" w:color="BFBFBF" w:sz="6"/>
              <w:left w:val="single" w:color="BFBFBF" w:sz="6"/>
              <w:bottom w:val="single" w:color="BFBFBF" w:sz="6"/>
              <w:right w:val="single" w:color="BFBFBF" w:sz="6"/>
            </w:tcBorders>
            <w:shd w:fill="F2F2F2" w:color="auto" w:val="clear"/>
            <w:tcMar>
              <w:top w:type="dxa" w:w="90"/>
              <w:left w:type="dxa" w:w="120"/>
              <w:bottom w:type="dxa" w:w="90"/>
              <w:right w:type="dxa" w:w="120"/>
            </w:tcMar>
          </w:tcPr>
          <w:p>
            <w:pPr>
              <w:spacing w:after="40"/>
              <w:jc w:val="left"/>
            </w:pPr>
            <w:r>
              <w:rPr>
                <w:sz w:val="19"/>
                <w:szCs w:val="19"/>
              </w:rPr>
              <w:t xml:space="preserve">Full anual archivado</w:t>
            </w:r>
          </w:p>
        </w:tc>
        <w:tc>
          <w:tcPr>
            <w:tcW w:type="dxa" w:w="2400"/>
            <w:tcBorders>
              <w:top w:val="single" w:color="BFBFBF" w:sz="6"/>
              <w:left w:val="single" w:color="BFBFBF" w:sz="6"/>
              <w:bottom w:val="single" w:color="BFBFBF" w:sz="6"/>
              <w:right w:val="single" w:color="BFBFBF" w:sz="6"/>
            </w:tcBorders>
            <w:shd w:fill="F2F2F2" w:color="auto" w:val="clear"/>
            <w:tcMar>
              <w:top w:type="dxa" w:w="90"/>
              <w:left w:type="dxa" w:w="120"/>
              <w:bottom w:type="dxa" w:w="90"/>
              <w:right w:type="dxa" w:w="120"/>
            </w:tcMar>
          </w:tcPr>
          <w:p>
            <w:pPr>
              <w:spacing w:after="40"/>
              <w:jc w:val="left"/>
            </w:pPr>
            <w:r>
              <w:rPr>
                <w:sz w:val="19"/>
                <w:szCs w:val="19"/>
              </w:rPr>
              <w:t xml:space="preserve">5–7 años (según norma)</w:t>
            </w:r>
          </w:p>
        </w:tc>
        <w:tc>
          <w:tcPr>
            <w:tcW w:type="dxa" w:w="2860"/>
            <w:tcBorders>
              <w:top w:val="single" w:color="BFBFBF" w:sz="6"/>
              <w:left w:val="single" w:color="BFBFBF" w:sz="6"/>
              <w:bottom w:val="single" w:color="BFBFBF" w:sz="6"/>
              <w:right w:val="single" w:color="BFBFBF" w:sz="6"/>
            </w:tcBorders>
            <w:shd w:fill="F2F2F2" w:color="auto" w:val="clear"/>
            <w:tcMar>
              <w:top w:type="dxa" w:w="90"/>
              <w:left w:type="dxa" w:w="120"/>
              <w:bottom w:type="dxa" w:w="90"/>
              <w:right w:type="dxa" w:w="120"/>
            </w:tcMar>
          </w:tcPr>
          <w:p>
            <w:pPr>
              <w:spacing w:after="40"/>
              <w:jc w:val="left"/>
            </w:pPr>
            <w:r>
              <w:rPr>
                <w:sz w:val="19"/>
                <w:szCs w:val="19"/>
              </w:rPr>
              <w:t xml:space="preserve">Retención regulatoria de largo plazo</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18"/>
              <w:bottom w:val="single" w:color="2E75B6" w:sz="6"/>
              <w:right w:val="single" w:color="2E75B6" w:sz="6"/>
            </w:tcBorders>
            <w:shd w:fill="D9E2F3" w:color="auto" w:val="clear"/>
            <w:tcMar>
              <w:top w:type="dxa" w:w="140"/>
              <w:left w:type="dxa" w:w="200"/>
              <w:bottom w:type="dxa" w:w="140"/>
              <w:right w:type="dxa" w:w="160"/>
            </w:tcMar>
          </w:tcPr>
          <w:p>
            <w:pPr>
              <w:spacing w:after="80"/>
            </w:pPr>
            <w:r>
              <w:rPr>
                <w:b/>
                <w:bCs/>
                <w:color w:val="1F4E79"/>
                <w:sz w:val="22"/>
                <w:szCs w:val="22"/>
              </w:rPr>
              <w:t xml:space="preserve">Nota sobre Azure Backup</w:t>
            </w:r>
          </w:p>
          <w:p>
            <w:pPr>
              <w:spacing w:after="60" w:line="280"/>
              <w:jc w:val="both"/>
            </w:pPr>
            <w:r>
              <w:rPr>
                <w:sz w:val="20"/>
                <w:szCs w:val="20"/>
              </w:rPr>
              <w:t xml:space="preserve">El servicio Azure Backup gestiona internamente snapshots y copias incrementales hacia el Recovery Services Vault o Backup Vault. La política se expresa en términos de frecuencia y retención (D/W/M/Y), no de tipo de copia. Los fulls completos son operados de forma transparente y eficiente por la plataforma.</w:t>
            </w:r>
          </w:p>
        </w:tc>
      </w:tr>
    </w:tbl>
    <w:p>
      <w:r>
        <w:br w:type="page"/>
      </w:r>
    </w:p>
    <w:p>
      <w:pPr>
        <w:pStyle w:val="Heading1"/>
        <w:spacing w:after="200" w:before="360"/>
      </w:pPr>
      <w:r>
        <w:rPr>
          <w:b/>
          <w:bCs/>
          <w:color w:val="0B5394"/>
          <w:sz w:val="32"/>
          <w:szCs w:val="32"/>
        </w:rPr>
        <w:t xml:space="preserve">6. Estrategia de Respaldo por Servicio</w:t>
      </w:r>
    </w:p>
    <w:p>
      <w:pPr>
        <w:pStyle w:val="Heading2"/>
        <w:spacing w:after="140" w:before="280"/>
      </w:pPr>
      <w:r>
        <w:rPr>
          <w:b/>
          <w:bCs/>
          <w:color w:val="1F4E79"/>
          <w:sz w:val="26"/>
          <w:szCs w:val="26"/>
        </w:rPr>
        <w:t xml:space="preserve">6.1 Azure Virtual Machines (IaaS)</w:t>
      </w:r>
    </w:p>
    <w:p>
      <w:pPr>
        <w:spacing w:after="120" w:line="300"/>
        <w:jc w:val="both"/>
      </w:pPr>
      <w:r>
        <w:t xml:space="preserve">Las VMs se respaldan mediante Azure Backup con el agente VM Extension, generando snapshots consistentes con la aplicación (Windows: VSS; Linux: pre/post scripts). El primer respaldo es completo y los subsiguientes son incrementales a nivel de bloque, almacenados en el Recovery Services Vault.</w:t>
      </w:r>
    </w:p>
    <w:p>
      <w:pPr>
        <w:pStyle w:val="Heading3"/>
        <w:spacing w:after="100" w:before="200"/>
      </w:pPr>
      <w:r>
        <w:rPr>
          <w:b/>
          <w:bCs/>
          <w:color w:val="2E75B6"/>
          <w:sz w:val="22"/>
          <w:szCs w:val="22"/>
        </w:rPr>
        <w:t xml:space="preserve">Configuración recomendada</w:t>
      </w:r>
    </w:p>
    <w:p>
      <w:pPr>
        <w:pStyle w:val="ListParagraph"/>
        <w:numPr>
          <w:ilvl w:val="0"/>
          <w:numId w:val="2"/>
        </w:numPr>
        <w:spacing w:after="80" w:line="290"/>
      </w:pPr>
      <w:r>
        <w:rPr>
          <w:sz w:val="22"/>
          <w:szCs w:val="22"/>
        </w:rPr>
        <w:t xml:space="preserve">Política Enhanced para VMs Tier 0/1 (permite múltiples snapshots por día, RPO desde 4 horas).</w:t>
      </w:r>
    </w:p>
    <w:p>
      <w:pPr>
        <w:pStyle w:val="ListParagraph"/>
        <w:numPr>
          <w:ilvl w:val="0"/>
          <w:numId w:val="2"/>
        </w:numPr>
        <w:spacing w:after="80" w:line="290"/>
      </w:pPr>
      <w:r>
        <w:rPr>
          <w:sz w:val="22"/>
          <w:szCs w:val="22"/>
        </w:rPr>
        <w:t xml:space="preserve">Política Standard para Tier 2/3 (un snapshot diario).</w:t>
      </w:r>
    </w:p>
    <w:p>
      <w:pPr>
        <w:pStyle w:val="ListParagraph"/>
        <w:numPr>
          <w:ilvl w:val="0"/>
          <w:numId w:val="2"/>
        </w:numPr>
        <w:spacing w:after="80" w:line="290"/>
      </w:pPr>
      <w:r>
        <w:rPr>
          <w:sz w:val="22"/>
          <w:szCs w:val="22"/>
        </w:rPr>
        <w:t xml:space="preserve">Habilitar Cross-Region Restore (CRR) con almacenamiento GRS para Tier 0 y 1.</w:t>
      </w:r>
    </w:p>
    <w:p>
      <w:pPr>
        <w:pStyle w:val="ListParagraph"/>
        <w:numPr>
          <w:ilvl w:val="0"/>
          <w:numId w:val="2"/>
        </w:numPr>
        <w:spacing w:after="80" w:line="290"/>
      </w:pPr>
      <w:r>
        <w:rPr>
          <w:sz w:val="22"/>
          <w:szCs w:val="22"/>
        </w:rPr>
        <w:t xml:space="preserve">Activar Soft Delete (mínimo 14 días, recomendado 30) y Immutable Vault para protección anti-ransomware.</w:t>
      </w:r>
    </w:p>
    <w:p>
      <w:pPr>
        <w:pStyle w:val="ListParagraph"/>
        <w:numPr>
          <w:ilvl w:val="0"/>
          <w:numId w:val="2"/>
        </w:numPr>
        <w:spacing w:after="80" w:line="290"/>
      </w:pPr>
      <w:r>
        <w:rPr>
          <w:sz w:val="22"/>
          <w:szCs w:val="22"/>
        </w:rPr>
        <w:t xml:space="preserve">Habilitar Multi-User Authorization (MUA) sobre el vault.</w:t>
      </w:r>
    </w:p>
    <w:p>
      <w:pPr>
        <w:pStyle w:val="ListParagraph"/>
        <w:numPr>
          <w:ilvl w:val="0"/>
          <w:numId w:val="2"/>
        </w:numPr>
        <w:spacing w:after="80" w:line="290"/>
      </w:pPr>
      <w:r>
        <w:rPr>
          <w:sz w:val="22"/>
          <w:szCs w:val="22"/>
        </w:rPr>
        <w:t xml:space="preserve">Para Tier 0: complementar con Azure Site Recovery (ASR) para replicación continua a región secundaria, alcanzando RPO de segundos.</w:t>
      </w:r>
    </w:p>
    <w:p>
      <w:pPr>
        <w:pStyle w:val="ListParagraph"/>
        <w:numPr>
          <w:ilvl w:val="0"/>
          <w:numId w:val="2"/>
        </w:numPr>
        <w:spacing w:after="80" w:line="290"/>
      </w:pPr>
      <w:r>
        <w:rPr>
          <w:sz w:val="22"/>
          <w:szCs w:val="22"/>
        </w:rPr>
        <w:t xml:space="preserve">Excluir discos temporales y discos de paginación de la política.</w:t>
      </w:r>
    </w:p>
    <w:p>
      <w:pPr>
        <w:pStyle w:val="Heading3"/>
        <w:spacing w:after="100" w:before="200"/>
      </w:pPr>
      <w:r>
        <w:rPr>
          <w:b/>
          <w:bCs/>
          <w:color w:val="2E75B6"/>
          <w:sz w:val="22"/>
          <w:szCs w:val="22"/>
        </w:rPr>
        <w:t xml:space="preserve">Restauración disponible</w:t>
      </w:r>
    </w:p>
    <w:p>
      <w:pPr>
        <w:pStyle w:val="ListParagraph"/>
        <w:numPr>
          <w:ilvl w:val="0"/>
          <w:numId w:val="2"/>
        </w:numPr>
        <w:spacing w:after="80" w:line="290"/>
      </w:pPr>
      <w:r>
        <w:rPr>
          <w:sz w:val="22"/>
          <w:szCs w:val="22"/>
        </w:rPr>
        <w:t xml:space="preserve">Create New VM: provisiona una nueva VM desde el punto de recuperación.</w:t>
      </w:r>
    </w:p>
    <w:p>
      <w:pPr>
        <w:pStyle w:val="ListParagraph"/>
        <w:numPr>
          <w:ilvl w:val="0"/>
          <w:numId w:val="2"/>
        </w:numPr>
        <w:spacing w:after="80" w:line="290"/>
      </w:pPr>
      <w:r>
        <w:rPr>
          <w:sz w:val="22"/>
          <w:szCs w:val="22"/>
        </w:rPr>
        <w:t xml:space="preserve">Replace existing: reemplaza discos manteniendo la configuración.</w:t>
      </w:r>
    </w:p>
    <w:p>
      <w:pPr>
        <w:pStyle w:val="ListParagraph"/>
        <w:numPr>
          <w:ilvl w:val="0"/>
          <w:numId w:val="2"/>
        </w:numPr>
        <w:spacing w:after="80" w:line="290"/>
      </w:pPr>
      <w:r>
        <w:rPr>
          <w:sz w:val="22"/>
          <w:szCs w:val="22"/>
        </w:rPr>
        <w:t xml:space="preserve">Restore disks: restaura solo los discos para análisis o copia parcial.</w:t>
      </w:r>
    </w:p>
    <w:p>
      <w:pPr>
        <w:pStyle w:val="ListParagraph"/>
        <w:numPr>
          <w:ilvl w:val="0"/>
          <w:numId w:val="2"/>
        </w:numPr>
        <w:spacing w:after="80" w:line="290"/>
      </w:pPr>
      <w:r>
        <w:rPr>
          <w:sz w:val="22"/>
          <w:szCs w:val="22"/>
        </w:rPr>
        <w:t xml:space="preserve">File Recovery: monta un volumen del snapshot para extraer archivos individuales.</w:t>
      </w:r>
    </w:p>
    <w:p>
      <w:pPr>
        <w:pStyle w:val="Heading2"/>
        <w:spacing w:after="140" w:before="280"/>
      </w:pPr>
      <w:r>
        <w:rPr>
          <w:b/>
          <w:bCs/>
          <w:color w:val="1F4E79"/>
          <w:sz w:val="26"/>
          <w:szCs w:val="26"/>
        </w:rPr>
        <w:t xml:space="preserve">6.2 Azure App Service</w:t>
      </w:r>
    </w:p>
    <w:p>
      <w:pPr>
        <w:spacing w:after="120" w:line="300"/>
        <w:jc w:val="both"/>
      </w:pPr>
      <w:r>
        <w:t xml:space="preserve">Azure App Service ofrece dos modalidades de respaldo: Standard Backup (manual o programado, hasta 10 GB por backup) y Custom Backup (sin límite de tamaño, controlado por el cliente). Ambos se almacenan en una cuenta de Storage del cliente.</w:t>
      </w:r>
    </w:p>
    <w:p>
      <w:pPr>
        <w:pStyle w:val="Heading3"/>
        <w:spacing w:after="100" w:before="200"/>
      </w:pPr>
      <w:r>
        <w:rPr>
          <w:b/>
          <w:bCs/>
          <w:color w:val="2E75B6"/>
          <w:sz w:val="22"/>
          <w:szCs w:val="22"/>
        </w:rPr>
        <w:t xml:space="preserve">Configuración recomendada</w:t>
      </w:r>
    </w:p>
    <w:p>
      <w:pPr>
        <w:pStyle w:val="ListParagraph"/>
        <w:numPr>
          <w:ilvl w:val="0"/>
          <w:numId w:val="2"/>
        </w:numPr>
        <w:spacing w:after="80" w:line="290"/>
      </w:pPr>
      <w:r>
        <w:rPr>
          <w:sz w:val="22"/>
          <w:szCs w:val="22"/>
        </w:rPr>
        <w:t xml:space="preserve">Habilitar Backup programado con frecuencia diaria como mínimo.</w:t>
      </w:r>
    </w:p>
    <w:p>
      <w:pPr>
        <w:pStyle w:val="ListParagraph"/>
        <w:numPr>
          <w:ilvl w:val="0"/>
          <w:numId w:val="2"/>
        </w:numPr>
        <w:spacing w:after="80" w:line="290"/>
      </w:pPr>
      <w:r>
        <w:rPr>
          <w:sz w:val="22"/>
          <w:szCs w:val="22"/>
        </w:rPr>
        <w:t xml:space="preserve">Almacenar respaldos en cuenta dedicada con cifrado CMK y versionado de blobs.</w:t>
      </w:r>
    </w:p>
    <w:p>
      <w:pPr>
        <w:pStyle w:val="ListParagraph"/>
        <w:numPr>
          <w:ilvl w:val="0"/>
          <w:numId w:val="2"/>
        </w:numPr>
        <w:spacing w:after="80" w:line="290"/>
      </w:pPr>
      <w:r>
        <w:rPr>
          <w:sz w:val="22"/>
          <w:szCs w:val="22"/>
        </w:rPr>
        <w:t xml:space="preserve">Incluir la base de datos vinculada solo si es SQL/MySQL in-app o externa configurada (de lo contrario, respaldar BD por separado).</w:t>
      </w:r>
    </w:p>
    <w:p>
      <w:pPr>
        <w:pStyle w:val="ListParagraph"/>
        <w:numPr>
          <w:ilvl w:val="0"/>
          <w:numId w:val="2"/>
        </w:numPr>
        <w:spacing w:after="80" w:line="290"/>
      </w:pPr>
      <w:r>
        <w:rPr>
          <w:sz w:val="22"/>
          <w:szCs w:val="22"/>
        </w:rPr>
        <w:t xml:space="preserve">Versionar y respaldar la configuración de la App (App Settings, Connection Strings) en Key Vault y repositorio IaC (Bicep/Terraform).</w:t>
      </w:r>
    </w:p>
    <w:p>
      <w:pPr>
        <w:pStyle w:val="ListParagraph"/>
        <w:numPr>
          <w:ilvl w:val="0"/>
          <w:numId w:val="2"/>
        </w:numPr>
        <w:spacing w:after="80" w:line="290"/>
      </w:pPr>
      <w:r>
        <w:rPr>
          <w:sz w:val="22"/>
          <w:szCs w:val="22"/>
        </w:rPr>
        <w:t xml:space="preserve">Aprovechar Deployment Slots para realizar rollback rápido (RTO de minutos) sin restaurar desde respaldo.</w:t>
      </w:r>
    </w:p>
    <w:p>
      <w:pPr>
        <w:pStyle w:val="ListParagraph"/>
        <w:numPr>
          <w:ilvl w:val="0"/>
          <w:numId w:val="2"/>
        </w:numPr>
        <w:spacing w:after="80" w:line="290"/>
      </w:pPr>
      <w:r>
        <w:rPr>
          <w:sz w:val="22"/>
          <w:szCs w:val="22"/>
        </w:rPr>
        <w:t xml:space="preserve">Para Tier 0/1: replicar la cuenta de Storage de respaldos en GZRS o GRS.</w:t>
      </w:r>
    </w:p>
    <w:p>
      <w:pPr>
        <w:pStyle w:val="Heading3"/>
        <w:spacing w:after="100" w:before="200"/>
      </w:pPr>
      <w:r>
        <w:rPr>
          <w:b/>
          <w:bCs/>
          <w:color w:val="2E75B6"/>
          <w:sz w:val="22"/>
          <w:szCs w:val="22"/>
        </w:rPr>
        <w:t xml:space="preserve">Restauración</w:t>
      </w:r>
    </w:p>
    <w:p>
      <w:pPr>
        <w:pStyle w:val="ListParagraph"/>
        <w:numPr>
          <w:ilvl w:val="0"/>
          <w:numId w:val="2"/>
        </w:numPr>
        <w:spacing w:after="80" w:line="290"/>
      </w:pPr>
      <w:r>
        <w:rPr>
          <w:sz w:val="22"/>
          <w:szCs w:val="22"/>
        </w:rPr>
        <w:t xml:space="preserve">Restaurar en la misma App (sobre-escritura).</w:t>
      </w:r>
    </w:p>
    <w:p>
      <w:pPr>
        <w:pStyle w:val="ListParagraph"/>
        <w:numPr>
          <w:ilvl w:val="0"/>
          <w:numId w:val="2"/>
        </w:numPr>
        <w:spacing w:after="80" w:line="290"/>
      </w:pPr>
      <w:r>
        <w:rPr>
          <w:sz w:val="22"/>
          <w:szCs w:val="22"/>
        </w:rPr>
        <w:t xml:space="preserve">Restaurar a una nueva App (recomendado para validar antes de cortar tráfico).</w:t>
      </w:r>
    </w:p>
    <w:p>
      <w:pPr>
        <w:pStyle w:val="ListParagraph"/>
        <w:numPr>
          <w:ilvl w:val="0"/>
          <w:numId w:val="2"/>
        </w:numPr>
        <w:spacing w:after="80" w:line="290"/>
      </w:pPr>
      <w:r>
        <w:rPr>
          <w:sz w:val="22"/>
          <w:szCs w:val="22"/>
        </w:rPr>
        <w:t xml:space="preserve">Restaurar a un Deployment Slot y luego hacer swap.</w:t>
      </w:r>
    </w:p>
    <w:p>
      <w:r>
        <w:br w:type="page"/>
      </w:r>
    </w:p>
    <w:p>
      <w:pPr>
        <w:pStyle w:val="Heading2"/>
        <w:spacing w:after="140" w:before="280"/>
      </w:pPr>
      <w:r>
        <w:rPr>
          <w:b/>
          <w:bCs/>
          <w:color w:val="1F4E79"/>
          <w:sz w:val="26"/>
          <w:szCs w:val="26"/>
        </w:rPr>
        <w:t xml:space="preserve">6.3 Servicios de Base de Datos</w:t>
      </w:r>
    </w:p>
    <w:p>
      <w:pPr>
        <w:pStyle w:val="Heading3"/>
        <w:spacing w:after="100" w:before="200"/>
      </w:pPr>
      <w:r>
        <w:rPr>
          <w:b/>
          <w:bCs/>
          <w:color w:val="2E75B6"/>
          <w:sz w:val="22"/>
          <w:szCs w:val="22"/>
        </w:rPr>
        <w:t xml:space="preserve">6.3.1 Azure SQL Database / SQL Managed Instance</w:t>
      </w:r>
    </w:p>
    <w:p>
      <w:pPr>
        <w:spacing w:after="120" w:line="300"/>
        <w:jc w:val="both"/>
      </w:pPr>
      <w:r>
        <w:t xml:space="preserve">Ofrecen respaldos automáticos gestionados por Microsoft: full semanal, diferencial cada 12-24 horas, y log cada 5-10 minutos. Habilitan Point-in-Time Restore (PITR) por defecto.</w:t>
      </w:r>
    </w:p>
    <w:p>
      <w:pPr>
        <w:pStyle w:val="ListParagraph"/>
        <w:numPr>
          <w:ilvl w:val="0"/>
          <w:numId w:val="2"/>
        </w:numPr>
        <w:spacing w:after="80" w:line="290"/>
      </w:pPr>
      <w:r>
        <w:rPr>
          <w:sz w:val="22"/>
          <w:szCs w:val="22"/>
        </w:rPr>
        <w:t xml:space="preserve">PITR: configurable entre 1 y 35 días (Tier 0/1: 35 días).</w:t>
      </w:r>
    </w:p>
    <w:p>
      <w:pPr>
        <w:pStyle w:val="ListParagraph"/>
        <w:numPr>
          <w:ilvl w:val="0"/>
          <w:numId w:val="2"/>
        </w:numPr>
        <w:spacing w:after="80" w:line="290"/>
      </w:pPr>
      <w:r>
        <w:rPr>
          <w:sz w:val="22"/>
          <w:szCs w:val="22"/>
        </w:rPr>
        <w:t xml:space="preserve">Long-Term Retention (LTR): configurar W/M/Y según matriz del nivel.</w:t>
      </w:r>
    </w:p>
    <w:p>
      <w:pPr>
        <w:pStyle w:val="ListParagraph"/>
        <w:numPr>
          <w:ilvl w:val="0"/>
          <w:numId w:val="2"/>
        </w:numPr>
        <w:spacing w:after="80" w:line="290"/>
      </w:pPr>
      <w:r>
        <w:rPr>
          <w:sz w:val="22"/>
          <w:szCs w:val="22"/>
        </w:rPr>
        <w:t xml:space="preserve">Habilitar geo-redundancia de respaldos (RA-GRS o GZRS).</w:t>
      </w:r>
    </w:p>
    <w:p>
      <w:pPr>
        <w:pStyle w:val="ListParagraph"/>
        <w:numPr>
          <w:ilvl w:val="0"/>
          <w:numId w:val="2"/>
        </w:numPr>
        <w:spacing w:after="80" w:line="290"/>
      </w:pPr>
      <w:r>
        <w:rPr>
          <w:sz w:val="22"/>
          <w:szCs w:val="22"/>
        </w:rPr>
        <w:t xml:space="preserve">Para Tier 0: activar Active Geo-Replication o Auto-Failover Groups.</w:t>
      </w:r>
    </w:p>
    <w:p>
      <w:pPr>
        <w:pStyle w:val="ListParagraph"/>
        <w:numPr>
          <w:ilvl w:val="0"/>
          <w:numId w:val="2"/>
        </w:numPr>
        <w:spacing w:after="80" w:line="290"/>
      </w:pPr>
      <w:r>
        <w:rPr>
          <w:sz w:val="22"/>
          <w:szCs w:val="22"/>
        </w:rPr>
        <w:t xml:space="preserve">Exportar BACPAC periódicamente a Storage como copia adicional independiente del servicio.</w:t>
      </w:r>
    </w:p>
    <w:p>
      <w:pPr>
        <w:pStyle w:val="Heading3"/>
        <w:spacing w:after="100" w:before="200"/>
      </w:pPr>
      <w:r>
        <w:rPr>
          <w:b/>
          <w:bCs/>
          <w:color w:val="2E75B6"/>
          <w:sz w:val="22"/>
          <w:szCs w:val="22"/>
        </w:rPr>
        <w:t xml:space="preserve">6.3.2 SQL Server sobre Azure VM</w:t>
      </w:r>
    </w:p>
    <w:p>
      <w:pPr>
        <w:pStyle w:val="ListParagraph"/>
        <w:numPr>
          <w:ilvl w:val="0"/>
          <w:numId w:val="2"/>
        </w:numPr>
        <w:spacing w:after="80" w:line="290"/>
      </w:pPr>
      <w:r>
        <w:rPr>
          <w:sz w:val="22"/>
          <w:szCs w:val="22"/>
        </w:rPr>
        <w:t xml:space="preserve">Usar Azure Backup for SQL Server in Azure VM (respaldo nativo a nivel de motor).</w:t>
      </w:r>
    </w:p>
    <w:p>
      <w:pPr>
        <w:pStyle w:val="ListParagraph"/>
        <w:numPr>
          <w:ilvl w:val="0"/>
          <w:numId w:val="2"/>
        </w:numPr>
        <w:spacing w:after="80" w:line="290"/>
      </w:pPr>
      <w:r>
        <w:rPr>
          <w:sz w:val="22"/>
          <w:szCs w:val="22"/>
        </w:rPr>
        <w:t xml:space="preserve">Política con full semanal, diferencial diario, log cada 15 minutos.</w:t>
      </w:r>
    </w:p>
    <w:p>
      <w:pPr>
        <w:pStyle w:val="ListParagraph"/>
        <w:numPr>
          <w:ilvl w:val="0"/>
          <w:numId w:val="2"/>
        </w:numPr>
        <w:spacing w:after="80" w:line="290"/>
      </w:pPr>
      <w:r>
        <w:rPr>
          <w:sz w:val="22"/>
          <w:szCs w:val="22"/>
        </w:rPr>
        <w:t xml:space="preserve">Habilitar CRR y soft-delete sobre el vault.</w:t>
      </w:r>
    </w:p>
    <w:p>
      <w:pPr>
        <w:pStyle w:val="ListParagraph"/>
        <w:numPr>
          <w:ilvl w:val="0"/>
          <w:numId w:val="2"/>
        </w:numPr>
        <w:spacing w:after="80" w:line="290"/>
      </w:pPr>
      <w:r>
        <w:rPr>
          <w:sz w:val="22"/>
          <w:szCs w:val="22"/>
        </w:rPr>
        <w:t xml:space="preserve">Combinar con Always On Availability Groups para Tier 0.</w:t>
      </w:r>
    </w:p>
    <w:p>
      <w:pPr>
        <w:pStyle w:val="Heading3"/>
        <w:spacing w:after="100" w:before="200"/>
      </w:pPr>
      <w:r>
        <w:rPr>
          <w:b/>
          <w:bCs/>
          <w:color w:val="2E75B6"/>
          <w:sz w:val="22"/>
          <w:szCs w:val="22"/>
        </w:rPr>
        <w:t xml:space="preserve">6.3.3 Azure Database for PostgreSQL / MySQL / MariaDB</w:t>
      </w:r>
    </w:p>
    <w:p>
      <w:pPr>
        <w:pStyle w:val="ListParagraph"/>
        <w:numPr>
          <w:ilvl w:val="0"/>
          <w:numId w:val="2"/>
        </w:numPr>
        <w:spacing w:after="80" w:line="290"/>
      </w:pPr>
      <w:r>
        <w:rPr>
          <w:sz w:val="22"/>
          <w:szCs w:val="22"/>
        </w:rPr>
        <w:t xml:space="preserve">Respaldos automáticos diarios + WAL/binlogs continuos para PITR.</w:t>
      </w:r>
    </w:p>
    <w:p>
      <w:pPr>
        <w:pStyle w:val="ListParagraph"/>
        <w:numPr>
          <w:ilvl w:val="0"/>
          <w:numId w:val="2"/>
        </w:numPr>
        <w:spacing w:after="80" w:line="290"/>
      </w:pPr>
      <w:r>
        <w:rPr>
          <w:sz w:val="22"/>
          <w:szCs w:val="22"/>
        </w:rPr>
        <w:t xml:space="preserve">Retención configurable entre 7 y 35 días.</w:t>
      </w:r>
    </w:p>
    <w:p>
      <w:pPr>
        <w:pStyle w:val="ListParagraph"/>
        <w:numPr>
          <w:ilvl w:val="0"/>
          <w:numId w:val="2"/>
        </w:numPr>
        <w:spacing w:after="80" w:line="290"/>
      </w:pPr>
      <w:r>
        <w:rPr>
          <w:sz w:val="22"/>
          <w:szCs w:val="22"/>
        </w:rPr>
        <w:t xml:space="preserve">Habilitar geo-redundant backups (GRS) en Tier 0/1.</w:t>
      </w:r>
    </w:p>
    <w:p>
      <w:pPr>
        <w:pStyle w:val="ListParagraph"/>
        <w:numPr>
          <w:ilvl w:val="0"/>
          <w:numId w:val="2"/>
        </w:numPr>
        <w:spacing w:after="80" w:line="290"/>
      </w:pPr>
      <w:r>
        <w:rPr>
          <w:sz w:val="22"/>
          <w:szCs w:val="22"/>
        </w:rPr>
        <w:t xml:space="preserve">Para mayor retención, realizar dumps lógicos programados (pg_dump / mysqldump) a Storage.</w:t>
      </w:r>
    </w:p>
    <w:p>
      <w:pPr>
        <w:pStyle w:val="ListParagraph"/>
        <w:numPr>
          <w:ilvl w:val="0"/>
          <w:numId w:val="2"/>
        </w:numPr>
        <w:spacing w:after="80" w:line="290"/>
      </w:pPr>
      <w:r>
        <w:rPr>
          <w:sz w:val="22"/>
          <w:szCs w:val="22"/>
        </w:rPr>
        <w:t xml:space="preserve">PostgreSQL Flexible Server: aprovechar Long-Term Retention nativa (preview/GA según región).</w:t>
      </w:r>
    </w:p>
    <w:p>
      <w:pPr>
        <w:pStyle w:val="Heading3"/>
        <w:spacing w:after="100" w:before="200"/>
      </w:pPr>
      <w:r>
        <w:rPr>
          <w:b/>
          <w:bCs/>
          <w:color w:val="2E75B6"/>
          <w:sz w:val="22"/>
          <w:szCs w:val="22"/>
        </w:rPr>
        <w:t xml:space="preserve">6.3.4 Azure Cosmos DB</w:t>
      </w:r>
    </w:p>
    <w:p>
      <w:pPr>
        <w:pStyle w:val="ListParagraph"/>
        <w:numPr>
          <w:ilvl w:val="0"/>
          <w:numId w:val="2"/>
        </w:numPr>
        <w:spacing w:after="80" w:line="290"/>
      </w:pPr>
      <w:r>
        <w:rPr>
          <w:sz w:val="22"/>
          <w:szCs w:val="22"/>
        </w:rPr>
        <w:t xml:space="preserve">Modo Periodic Backup por defecto: cada 4 horas, retención de 2 copias (8 horas).</w:t>
      </w:r>
    </w:p>
    <w:p>
      <w:pPr>
        <w:pStyle w:val="ListParagraph"/>
        <w:numPr>
          <w:ilvl w:val="0"/>
          <w:numId w:val="2"/>
        </w:numPr>
        <w:spacing w:after="80" w:line="290"/>
      </w:pPr>
      <w:r>
        <w:rPr>
          <w:sz w:val="22"/>
          <w:szCs w:val="22"/>
        </w:rPr>
        <w:t xml:space="preserve">Modo Continuous Backup recomendado para Tier 0/1: PITR de hasta 30 días con RPO de segundos.</w:t>
      </w:r>
    </w:p>
    <w:p>
      <w:pPr>
        <w:pStyle w:val="ListParagraph"/>
        <w:numPr>
          <w:ilvl w:val="0"/>
          <w:numId w:val="2"/>
        </w:numPr>
        <w:spacing w:after="80" w:line="290"/>
      </w:pPr>
      <w:r>
        <w:rPr>
          <w:sz w:val="22"/>
          <w:szCs w:val="22"/>
        </w:rPr>
        <w:t xml:space="preserve">Tomar exportaciones a Storage o ADLS para retención de largo plazo (no nativa).</w:t>
      </w:r>
    </w:p>
    <w:p>
      <w:pPr>
        <w:pStyle w:val="ListParagraph"/>
        <w:numPr>
          <w:ilvl w:val="0"/>
          <w:numId w:val="2"/>
        </w:numPr>
        <w:spacing w:after="80" w:line="290"/>
      </w:pPr>
      <w:r>
        <w:rPr>
          <w:sz w:val="22"/>
          <w:szCs w:val="22"/>
        </w:rPr>
        <w:t xml:space="preserve">Configurar replicación multi-región con escritura multi-master para Tier 0.</w:t>
      </w:r>
    </w:p>
    <w:p>
      <w:r>
        <w:br w:type="page"/>
      </w:r>
    </w:p>
    <w:p>
      <w:pPr>
        <w:pStyle w:val="Heading2"/>
        <w:spacing w:after="140" w:before="280"/>
      </w:pPr>
      <w:r>
        <w:rPr>
          <w:b/>
          <w:bCs/>
          <w:color w:val="1F4E79"/>
          <w:sz w:val="26"/>
          <w:szCs w:val="26"/>
        </w:rPr>
        <w:t xml:space="preserve">6.4 Azure Storage</w:t>
      </w:r>
    </w:p>
    <w:p>
      <w:pPr>
        <w:pStyle w:val="Heading3"/>
        <w:spacing w:after="100" w:before="200"/>
      </w:pPr>
      <w:r>
        <w:rPr>
          <w:b/>
          <w:bCs/>
          <w:color w:val="2E75B6"/>
          <w:sz w:val="22"/>
          <w:szCs w:val="22"/>
        </w:rPr>
        <w:t xml:space="preserve">6.4.1 Azure Blob Storage</w:t>
      </w:r>
    </w:p>
    <w:p>
      <w:pPr>
        <w:pStyle w:val="ListParagraph"/>
        <w:numPr>
          <w:ilvl w:val="0"/>
          <w:numId w:val="2"/>
        </w:numPr>
        <w:spacing w:after="80" w:line="290"/>
      </w:pPr>
      <w:r>
        <w:rPr>
          <w:sz w:val="22"/>
          <w:szCs w:val="22"/>
        </w:rPr>
        <w:t xml:space="preserve">Habilitar Soft Delete para blobs (mínimo 14 días, recomendado 30) y para contenedores.</w:t>
      </w:r>
    </w:p>
    <w:p>
      <w:pPr>
        <w:pStyle w:val="ListParagraph"/>
        <w:numPr>
          <w:ilvl w:val="0"/>
          <w:numId w:val="2"/>
        </w:numPr>
        <w:spacing w:after="80" w:line="290"/>
      </w:pPr>
      <w:r>
        <w:rPr>
          <w:sz w:val="22"/>
          <w:szCs w:val="22"/>
        </w:rPr>
        <w:t xml:space="preserve">Activar Versioning para mantener historial de cambios.</w:t>
      </w:r>
    </w:p>
    <w:p>
      <w:pPr>
        <w:pStyle w:val="ListParagraph"/>
        <w:numPr>
          <w:ilvl w:val="0"/>
          <w:numId w:val="2"/>
        </w:numPr>
        <w:spacing w:after="80" w:line="290"/>
      </w:pPr>
      <w:r>
        <w:rPr>
          <w:sz w:val="22"/>
          <w:szCs w:val="22"/>
        </w:rPr>
        <w:t xml:space="preserve">Configurar Point-in-Time Restore (PITR) para cuentas con namespace jerárquico desactivado.</w:t>
      </w:r>
    </w:p>
    <w:p>
      <w:pPr>
        <w:pStyle w:val="ListParagraph"/>
        <w:numPr>
          <w:ilvl w:val="0"/>
          <w:numId w:val="2"/>
        </w:numPr>
        <w:spacing w:after="80" w:line="290"/>
      </w:pPr>
      <w:r>
        <w:rPr>
          <w:sz w:val="22"/>
          <w:szCs w:val="22"/>
        </w:rPr>
        <w:t xml:space="preserve">Definir Lifecycle Management Policy: mover a Cool (&gt;30d), Archive (&gt;90d), eliminar versiones antiguas según retención.</w:t>
      </w:r>
    </w:p>
    <w:p>
      <w:pPr>
        <w:pStyle w:val="ListParagraph"/>
        <w:numPr>
          <w:ilvl w:val="0"/>
          <w:numId w:val="2"/>
        </w:numPr>
        <w:spacing w:after="80" w:line="290"/>
      </w:pPr>
      <w:r>
        <w:rPr>
          <w:sz w:val="22"/>
          <w:szCs w:val="22"/>
        </w:rPr>
        <w:t xml:space="preserve">Elegir redundancia adecuada: LRS (Tier 3), ZRS (Tier 2), GZRS / RA-GZRS (Tier 0/1).</w:t>
      </w:r>
    </w:p>
    <w:p>
      <w:pPr>
        <w:pStyle w:val="ListParagraph"/>
        <w:numPr>
          <w:ilvl w:val="0"/>
          <w:numId w:val="2"/>
        </w:numPr>
        <w:spacing w:after="80" w:line="290"/>
      </w:pPr>
      <w:r>
        <w:rPr>
          <w:sz w:val="22"/>
          <w:szCs w:val="22"/>
        </w:rPr>
        <w:t xml:space="preserve">Para inmutabilidad regulatoria: Immutable Storage con Time-Based Retention o Legal Hold.</w:t>
      </w:r>
    </w:p>
    <w:p>
      <w:pPr>
        <w:pStyle w:val="ListParagraph"/>
        <w:numPr>
          <w:ilvl w:val="0"/>
          <w:numId w:val="2"/>
        </w:numPr>
        <w:spacing w:after="80" w:line="290"/>
      </w:pPr>
      <w:r>
        <w:rPr>
          <w:sz w:val="22"/>
          <w:szCs w:val="22"/>
        </w:rPr>
        <w:t xml:space="preserve">Azure Backup for Blobs (operacional + vaulted): respaldos gestionados con retención hasta 10 años.</w:t>
      </w:r>
    </w:p>
    <w:p>
      <w:pPr>
        <w:pStyle w:val="Heading3"/>
        <w:spacing w:after="100" w:before="200"/>
      </w:pPr>
      <w:r>
        <w:rPr>
          <w:b/>
          <w:bCs/>
          <w:color w:val="2E75B6"/>
          <w:sz w:val="22"/>
          <w:szCs w:val="22"/>
        </w:rPr>
        <w:t xml:space="preserve">6.4.2 Azure Files</w:t>
      </w:r>
    </w:p>
    <w:p>
      <w:pPr>
        <w:pStyle w:val="ListParagraph"/>
        <w:numPr>
          <w:ilvl w:val="0"/>
          <w:numId w:val="2"/>
        </w:numPr>
        <w:spacing w:after="80" w:line="290"/>
      </w:pPr>
      <w:r>
        <w:rPr>
          <w:sz w:val="22"/>
          <w:szCs w:val="22"/>
        </w:rPr>
        <w:t xml:space="preserve">Usar Azure Backup for Azure Files: snapshots gestionados con retención GFS.</w:t>
      </w:r>
    </w:p>
    <w:p>
      <w:pPr>
        <w:pStyle w:val="ListParagraph"/>
        <w:numPr>
          <w:ilvl w:val="0"/>
          <w:numId w:val="2"/>
        </w:numPr>
        <w:spacing w:after="80" w:line="290"/>
      </w:pPr>
      <w:r>
        <w:rPr>
          <w:sz w:val="22"/>
          <w:szCs w:val="22"/>
        </w:rPr>
        <w:t xml:space="preserve">Política diaria mínima; horaria para Tier 0/1.</w:t>
      </w:r>
    </w:p>
    <w:p>
      <w:pPr>
        <w:pStyle w:val="ListParagraph"/>
        <w:numPr>
          <w:ilvl w:val="0"/>
          <w:numId w:val="2"/>
        </w:numPr>
        <w:spacing w:after="80" w:line="290"/>
      </w:pPr>
      <w:r>
        <w:rPr>
          <w:sz w:val="22"/>
          <w:szCs w:val="22"/>
        </w:rPr>
        <w:t xml:space="preserve">Para SMB: complementar con Azure File Sync si existen servidores on-premises sincronizados.</w:t>
      </w:r>
    </w:p>
    <w:p>
      <w:pPr>
        <w:pStyle w:val="ListParagraph"/>
        <w:numPr>
          <w:ilvl w:val="0"/>
          <w:numId w:val="2"/>
        </w:numPr>
        <w:spacing w:after="80" w:line="290"/>
      </w:pPr>
      <w:r>
        <w:rPr>
          <w:sz w:val="22"/>
          <w:szCs w:val="22"/>
        </w:rPr>
        <w:t xml:space="preserve">Habilitar Soft Delete a nivel de share (retención 14-365 días).</w:t>
      </w:r>
    </w:p>
    <w:p>
      <w:pPr>
        <w:pStyle w:val="Heading3"/>
        <w:spacing w:after="100" w:before="200"/>
      </w:pPr>
      <w:r>
        <w:rPr>
          <w:b/>
          <w:bCs/>
          <w:color w:val="2E75B6"/>
          <w:sz w:val="22"/>
          <w:szCs w:val="22"/>
        </w:rPr>
        <w:t xml:space="preserve">6.4.3 Managed Disks</w:t>
      </w:r>
    </w:p>
    <w:p>
      <w:pPr>
        <w:pStyle w:val="ListParagraph"/>
        <w:numPr>
          <w:ilvl w:val="0"/>
          <w:numId w:val="2"/>
        </w:numPr>
        <w:spacing w:after="80" w:line="290"/>
      </w:pPr>
      <w:r>
        <w:rPr>
          <w:sz w:val="22"/>
          <w:szCs w:val="22"/>
        </w:rPr>
        <w:t xml:space="preserve">Si el disco pertenece a una VM respaldada, no se requiere acción adicional.</w:t>
      </w:r>
    </w:p>
    <w:p>
      <w:pPr>
        <w:pStyle w:val="ListParagraph"/>
        <w:numPr>
          <w:ilvl w:val="0"/>
          <w:numId w:val="2"/>
        </w:numPr>
        <w:spacing w:after="80" w:line="290"/>
      </w:pPr>
      <w:r>
        <w:rPr>
          <w:sz w:val="22"/>
          <w:szCs w:val="22"/>
        </w:rPr>
        <w:t xml:space="preserve">Para discos no asociados a VM (data disks compartidos, ultra disks): usar Disk Snapshots periódicos almacenados como copia incremental.</w:t>
      </w:r>
    </w:p>
    <w:p>
      <w:pPr>
        <w:pStyle w:val="ListParagraph"/>
        <w:numPr>
          <w:ilvl w:val="0"/>
          <w:numId w:val="2"/>
        </w:numPr>
        <w:spacing w:after="80" w:line="290"/>
      </w:pPr>
      <w:r>
        <w:rPr>
          <w:sz w:val="22"/>
          <w:szCs w:val="22"/>
        </w:rPr>
        <w:t xml:space="preserve">Considerar Azure Backup for Azure Disks para snapshots gestionados con políticas.</w:t>
      </w:r>
    </w:p>
    <w:p>
      <w:pPr>
        <w:pStyle w:val="Heading2"/>
        <w:spacing w:after="140" w:before="280"/>
      </w:pPr>
      <w:r>
        <w:rPr>
          <w:b/>
          <w:bCs/>
          <w:color w:val="1F4E79"/>
          <w:sz w:val="26"/>
          <w:szCs w:val="26"/>
        </w:rPr>
        <w:t xml:space="preserve">6.5 Logs y Telemetría</w:t>
      </w:r>
    </w:p>
    <w:p>
      <w:pPr>
        <w:spacing w:after="120" w:line="300"/>
        <w:jc w:val="both"/>
      </w:pPr>
      <w:r>
        <w:t xml:space="preserve">Los logs requieren un enfoque distinto: el objetivo no es restaurar a un estado anterior sino preservar evidencia para auditoría, análisis forense y cumplimiento. La estrategia se basa en retención prolongada en niveles fríos.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0B5394" w:sz="6"/>
              <w:left w:val="single" w:color="0B5394" w:sz="6"/>
              <w:bottom w:val="single" w:color="0B5394" w:sz="6"/>
              <w:right w:val="single" w:color="0B5394" w:sz="6"/>
            </w:tcBorders>
            <w:shd w:fill="0B5394" w:color="auto" w:val="clear"/>
            <w:tcMar>
              <w:top w:type="dxa" w:w="100"/>
              <w:left w:type="dxa" w:w="120"/>
              <w:bottom w:type="dxa" w:w="100"/>
              <w:right w:type="dxa" w:w="120"/>
            </w:tcMar>
          </w:tcPr>
          <w:p>
            <w:pPr>
              <w:jc w:val="left"/>
            </w:pPr>
            <w:r>
              <w:rPr>
                <w:b/>
                <w:bCs/>
                <w:color w:val="FFFFFF"/>
                <w:sz w:val="20"/>
                <w:szCs w:val="20"/>
              </w:rPr>
              <w:t xml:space="preserve">Componente</w:t>
            </w:r>
          </w:p>
        </w:tc>
        <w:tc>
          <w:tcPr>
            <w:tcW w:type="dxa" w:w="6660"/>
            <w:tcBorders>
              <w:top w:val="single" w:color="0B5394" w:sz="6"/>
              <w:left w:val="single" w:color="0B5394" w:sz="6"/>
              <w:bottom w:val="single" w:color="0B5394" w:sz="6"/>
              <w:right w:val="single" w:color="0B5394" w:sz="6"/>
            </w:tcBorders>
            <w:shd w:fill="0B5394" w:color="auto" w:val="clear"/>
            <w:tcMar>
              <w:top w:type="dxa" w:w="100"/>
              <w:left w:type="dxa" w:w="120"/>
              <w:bottom w:type="dxa" w:w="100"/>
              <w:right w:type="dxa" w:w="120"/>
            </w:tcMar>
          </w:tcPr>
          <w:p>
            <w:pPr>
              <w:jc w:val="left"/>
            </w:pPr>
            <w:r>
              <w:rPr>
                <w:b/>
                <w:bCs/>
                <w:color w:val="FFFFFF"/>
                <w:sz w:val="20"/>
                <w:szCs w:val="20"/>
              </w:rPr>
              <w:t xml:space="preserve">Estrategia</w:t>
            </w:r>
          </w:p>
        </w:tc>
      </w:tr>
      <w:tr>
        <w:tc>
          <w:tcPr>
            <w:tcW w:type="dxa" w:w="2700"/>
            <w:tcBorders>
              <w:top w:val="single" w:color="BFBFBF" w:sz="6"/>
              <w:left w:val="single" w:color="BFBFBF" w:sz="6"/>
              <w:bottom w:val="single" w:color="BFBFBF" w:sz="6"/>
              <w:right w:val="single" w:color="BFBFBF" w:sz="6"/>
            </w:tcBorders>
            <w:tcMar>
              <w:top w:type="dxa" w:w="90"/>
              <w:left w:type="dxa" w:w="120"/>
              <w:bottom w:type="dxa" w:w="90"/>
              <w:right w:type="dxa" w:w="120"/>
            </w:tcMar>
          </w:tcPr>
          <w:p>
            <w:pPr>
              <w:spacing w:after="40"/>
              <w:jc w:val="left"/>
            </w:pPr>
            <w:r>
              <w:rPr>
                <w:sz w:val="19"/>
                <w:szCs w:val="19"/>
              </w:rPr>
              <w:t xml:space="preserve">Log Analytics Workspace</w:t>
            </w:r>
          </w:p>
        </w:tc>
        <w:tc>
          <w:tcPr>
            <w:tcW w:type="dxa" w:w="6660"/>
            <w:tcBorders>
              <w:top w:val="single" w:color="BFBFBF" w:sz="6"/>
              <w:left w:val="single" w:color="BFBFBF" w:sz="6"/>
              <w:bottom w:val="single" w:color="BFBFBF" w:sz="6"/>
              <w:right w:val="single" w:color="BFBFBF" w:sz="6"/>
            </w:tcBorders>
            <w:tcMar>
              <w:top w:type="dxa" w:w="90"/>
              <w:left w:type="dxa" w:w="120"/>
              <w:bottom w:type="dxa" w:w="90"/>
              <w:right w:type="dxa" w:w="120"/>
            </w:tcMar>
          </w:tcPr>
          <w:p>
            <w:pPr>
              <w:spacing w:after="40"/>
              <w:jc w:val="left"/>
            </w:pPr>
            <w:r>
              <w:rPr>
                <w:sz w:val="19"/>
                <w:szCs w:val="19"/>
              </w:rPr>
              <w:t xml:space="preserve">Retención Interactive de 30-90 días + Archive Tier hasta 12 años. Exportar tablas críticas a Storage mediante Data Export Rule.</w:t>
            </w:r>
          </w:p>
        </w:tc>
      </w:tr>
      <w:tr>
        <w:tc>
          <w:tcPr>
            <w:tcW w:type="dxa" w:w="2700"/>
            <w:tcBorders>
              <w:top w:val="single" w:color="BFBFBF" w:sz="6"/>
              <w:left w:val="single" w:color="BFBFBF" w:sz="6"/>
              <w:bottom w:val="single" w:color="BFBFBF" w:sz="6"/>
              <w:right w:val="single" w:color="BFBFBF" w:sz="6"/>
            </w:tcBorders>
            <w:shd w:fill="F2F2F2" w:color="auto" w:val="clear"/>
            <w:tcMar>
              <w:top w:type="dxa" w:w="90"/>
              <w:left w:type="dxa" w:w="120"/>
              <w:bottom w:type="dxa" w:w="90"/>
              <w:right w:type="dxa" w:w="120"/>
            </w:tcMar>
          </w:tcPr>
          <w:p>
            <w:pPr>
              <w:spacing w:after="40"/>
              <w:jc w:val="left"/>
            </w:pPr>
            <w:r>
              <w:rPr>
                <w:sz w:val="19"/>
                <w:szCs w:val="19"/>
              </w:rPr>
              <w:t xml:space="preserve">Application Insights</w:t>
            </w:r>
          </w:p>
        </w:tc>
        <w:tc>
          <w:tcPr>
            <w:tcW w:type="dxa" w:w="6660"/>
            <w:tcBorders>
              <w:top w:val="single" w:color="BFBFBF" w:sz="6"/>
              <w:left w:val="single" w:color="BFBFBF" w:sz="6"/>
              <w:bottom w:val="single" w:color="BFBFBF" w:sz="6"/>
              <w:right w:val="single" w:color="BFBFBF" w:sz="6"/>
            </w:tcBorders>
            <w:shd w:fill="F2F2F2" w:color="auto" w:val="clear"/>
            <w:tcMar>
              <w:top w:type="dxa" w:w="90"/>
              <w:left w:type="dxa" w:w="120"/>
              <w:bottom w:type="dxa" w:w="90"/>
              <w:right w:type="dxa" w:w="120"/>
            </w:tcMar>
          </w:tcPr>
          <w:p>
            <w:pPr>
              <w:spacing w:after="40"/>
              <w:jc w:val="left"/>
            </w:pPr>
            <w:r>
              <w:rPr>
                <w:sz w:val="19"/>
                <w:szCs w:val="19"/>
              </w:rPr>
              <w:t xml:space="preserve">Vinculado a Log Analytics; aplica misma política. Para Tier 0/1, considerar Continuous Export hacia Storage.</w:t>
            </w:r>
          </w:p>
        </w:tc>
      </w:tr>
      <w:tr>
        <w:tc>
          <w:tcPr>
            <w:tcW w:type="dxa" w:w="2700"/>
            <w:tcBorders>
              <w:top w:val="single" w:color="BFBFBF" w:sz="6"/>
              <w:left w:val="single" w:color="BFBFBF" w:sz="6"/>
              <w:bottom w:val="single" w:color="BFBFBF" w:sz="6"/>
              <w:right w:val="single" w:color="BFBFBF" w:sz="6"/>
            </w:tcBorders>
            <w:tcMar>
              <w:top w:type="dxa" w:w="90"/>
              <w:left w:type="dxa" w:w="120"/>
              <w:bottom w:type="dxa" w:w="90"/>
              <w:right w:type="dxa" w:w="120"/>
            </w:tcMar>
          </w:tcPr>
          <w:p>
            <w:pPr>
              <w:spacing w:after="40"/>
              <w:jc w:val="left"/>
            </w:pPr>
            <w:r>
              <w:rPr>
                <w:sz w:val="19"/>
                <w:szCs w:val="19"/>
              </w:rPr>
              <w:t xml:space="preserve">Activity Logs (suscripción)</w:t>
            </w:r>
          </w:p>
        </w:tc>
        <w:tc>
          <w:tcPr>
            <w:tcW w:type="dxa" w:w="6660"/>
            <w:tcBorders>
              <w:top w:val="single" w:color="BFBFBF" w:sz="6"/>
              <w:left w:val="single" w:color="BFBFBF" w:sz="6"/>
              <w:bottom w:val="single" w:color="BFBFBF" w:sz="6"/>
              <w:right w:val="single" w:color="BFBFBF" w:sz="6"/>
            </w:tcBorders>
            <w:tcMar>
              <w:top w:type="dxa" w:w="90"/>
              <w:left w:type="dxa" w:w="120"/>
              <w:bottom w:type="dxa" w:w="90"/>
              <w:right w:type="dxa" w:w="120"/>
            </w:tcMar>
          </w:tcPr>
          <w:p>
            <w:pPr>
              <w:spacing w:after="40"/>
              <w:jc w:val="left"/>
            </w:pPr>
            <w:r>
              <w:rPr>
                <w:sz w:val="19"/>
                <w:szCs w:val="19"/>
              </w:rPr>
              <w:t xml:space="preserve">Diagnostic Setting hacia Log Analytics + Storage con retención de 365 días mínimo (recomendado 7 años para auditoría).</w:t>
            </w:r>
          </w:p>
        </w:tc>
      </w:tr>
      <w:tr>
        <w:tc>
          <w:tcPr>
            <w:tcW w:type="dxa" w:w="2700"/>
            <w:tcBorders>
              <w:top w:val="single" w:color="BFBFBF" w:sz="6"/>
              <w:left w:val="single" w:color="BFBFBF" w:sz="6"/>
              <w:bottom w:val="single" w:color="BFBFBF" w:sz="6"/>
              <w:right w:val="single" w:color="BFBFBF" w:sz="6"/>
            </w:tcBorders>
            <w:shd w:fill="F2F2F2" w:color="auto" w:val="clear"/>
            <w:tcMar>
              <w:top w:type="dxa" w:w="90"/>
              <w:left w:type="dxa" w:w="120"/>
              <w:bottom w:type="dxa" w:w="90"/>
              <w:right w:type="dxa" w:w="120"/>
            </w:tcMar>
          </w:tcPr>
          <w:p>
            <w:pPr>
              <w:spacing w:after="40"/>
              <w:jc w:val="left"/>
            </w:pPr>
            <w:r>
              <w:rPr>
                <w:sz w:val="19"/>
                <w:szCs w:val="19"/>
              </w:rPr>
              <w:t xml:space="preserve">Azure Monitor Metrics</w:t>
            </w:r>
          </w:p>
        </w:tc>
        <w:tc>
          <w:tcPr>
            <w:tcW w:type="dxa" w:w="6660"/>
            <w:tcBorders>
              <w:top w:val="single" w:color="BFBFBF" w:sz="6"/>
              <w:left w:val="single" w:color="BFBFBF" w:sz="6"/>
              <w:bottom w:val="single" w:color="BFBFBF" w:sz="6"/>
              <w:right w:val="single" w:color="BFBFBF" w:sz="6"/>
            </w:tcBorders>
            <w:shd w:fill="F2F2F2" w:color="auto" w:val="clear"/>
            <w:tcMar>
              <w:top w:type="dxa" w:w="90"/>
              <w:left w:type="dxa" w:w="120"/>
              <w:bottom w:type="dxa" w:w="90"/>
              <w:right w:type="dxa" w:w="120"/>
            </w:tcMar>
          </w:tcPr>
          <w:p>
            <w:pPr>
              <w:spacing w:after="40"/>
              <w:jc w:val="left"/>
            </w:pPr>
            <w:r>
              <w:rPr>
                <w:sz w:val="19"/>
                <w:szCs w:val="19"/>
              </w:rPr>
              <w:t xml:space="preserve">Retención nativa de 93 días; exportar a Log Analytics o Storage si se requiere más.</w:t>
            </w:r>
          </w:p>
        </w:tc>
      </w:tr>
      <w:tr>
        <w:tc>
          <w:tcPr>
            <w:tcW w:type="dxa" w:w="2700"/>
            <w:tcBorders>
              <w:top w:val="single" w:color="BFBFBF" w:sz="6"/>
              <w:left w:val="single" w:color="BFBFBF" w:sz="6"/>
              <w:bottom w:val="single" w:color="BFBFBF" w:sz="6"/>
              <w:right w:val="single" w:color="BFBFBF" w:sz="6"/>
            </w:tcBorders>
            <w:tcMar>
              <w:top w:type="dxa" w:w="90"/>
              <w:left w:type="dxa" w:w="120"/>
              <w:bottom w:type="dxa" w:w="90"/>
              <w:right w:type="dxa" w:w="120"/>
            </w:tcMar>
          </w:tcPr>
          <w:p>
            <w:pPr>
              <w:spacing w:after="40"/>
              <w:jc w:val="left"/>
            </w:pPr>
            <w:r>
              <w:rPr>
                <w:sz w:val="19"/>
                <w:szCs w:val="19"/>
              </w:rPr>
              <w:t xml:space="preserve">Diagnostic Logs por recurso</w:t>
            </w:r>
          </w:p>
        </w:tc>
        <w:tc>
          <w:tcPr>
            <w:tcW w:type="dxa" w:w="6660"/>
            <w:tcBorders>
              <w:top w:val="single" w:color="BFBFBF" w:sz="6"/>
              <w:left w:val="single" w:color="BFBFBF" w:sz="6"/>
              <w:bottom w:val="single" w:color="BFBFBF" w:sz="6"/>
              <w:right w:val="single" w:color="BFBFBF" w:sz="6"/>
            </w:tcBorders>
            <w:tcMar>
              <w:top w:type="dxa" w:w="90"/>
              <w:left w:type="dxa" w:w="120"/>
              <w:bottom w:type="dxa" w:w="90"/>
              <w:right w:type="dxa" w:w="120"/>
            </w:tcMar>
          </w:tcPr>
          <w:p>
            <w:pPr>
              <w:spacing w:after="40"/>
              <w:jc w:val="left"/>
            </w:pPr>
            <w:r>
              <w:rPr>
                <w:sz w:val="19"/>
                <w:szCs w:val="19"/>
              </w:rPr>
              <w:t xml:space="preserve">Habilitar Diagnostic Settings hacia Log Analytics + Storage (al menos los dos destinos para Tier 0/1).</w:t>
            </w:r>
          </w:p>
        </w:tc>
      </w:tr>
      <w:tr>
        <w:tc>
          <w:tcPr>
            <w:tcW w:type="dxa" w:w="2700"/>
            <w:tcBorders>
              <w:top w:val="single" w:color="BFBFBF" w:sz="6"/>
              <w:left w:val="single" w:color="BFBFBF" w:sz="6"/>
              <w:bottom w:val="single" w:color="BFBFBF" w:sz="6"/>
              <w:right w:val="single" w:color="BFBFBF" w:sz="6"/>
            </w:tcBorders>
            <w:shd w:fill="F2F2F2" w:color="auto" w:val="clear"/>
            <w:tcMar>
              <w:top w:type="dxa" w:w="90"/>
              <w:left w:type="dxa" w:w="120"/>
              <w:bottom w:type="dxa" w:w="90"/>
              <w:right w:type="dxa" w:w="120"/>
            </w:tcMar>
          </w:tcPr>
          <w:p>
            <w:pPr>
              <w:spacing w:after="40"/>
              <w:jc w:val="left"/>
            </w:pPr>
            <w:r>
              <w:rPr>
                <w:sz w:val="19"/>
                <w:szCs w:val="19"/>
              </w:rPr>
              <w:t xml:space="preserve">Microsoft Sentinel / SIEM</w:t>
            </w:r>
          </w:p>
        </w:tc>
        <w:tc>
          <w:tcPr>
            <w:tcW w:type="dxa" w:w="6660"/>
            <w:tcBorders>
              <w:top w:val="single" w:color="BFBFBF" w:sz="6"/>
              <w:left w:val="single" w:color="BFBFBF" w:sz="6"/>
              <w:bottom w:val="single" w:color="BFBFBF" w:sz="6"/>
              <w:right w:val="single" w:color="BFBFBF" w:sz="6"/>
            </w:tcBorders>
            <w:shd w:fill="F2F2F2" w:color="auto" w:val="clear"/>
            <w:tcMar>
              <w:top w:type="dxa" w:w="90"/>
              <w:left w:type="dxa" w:w="120"/>
              <w:bottom w:type="dxa" w:w="90"/>
              <w:right w:type="dxa" w:w="120"/>
            </w:tcMar>
          </w:tcPr>
          <w:p>
            <w:pPr>
              <w:spacing w:after="40"/>
              <w:jc w:val="left"/>
            </w:pPr>
            <w:r>
              <w:rPr>
                <w:sz w:val="19"/>
                <w:szCs w:val="19"/>
              </w:rPr>
              <w:t xml:space="preserve">Retención mínima 90 días en hot, 2 años en archive; cumple con marcos como PCI-DSS, ISO 27001.</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18"/>
              <w:bottom w:val="single" w:color="2E75B6" w:sz="6"/>
              <w:right w:val="single" w:color="2E75B6" w:sz="6"/>
            </w:tcBorders>
            <w:shd w:fill="D9E2F3" w:color="auto" w:val="clear"/>
            <w:tcMar>
              <w:top w:type="dxa" w:w="140"/>
              <w:left w:type="dxa" w:w="200"/>
              <w:bottom w:type="dxa" w:w="140"/>
              <w:right w:type="dxa" w:w="160"/>
            </w:tcMar>
          </w:tcPr>
          <w:p>
            <w:pPr>
              <w:spacing w:after="80"/>
            </w:pPr>
            <w:r>
              <w:rPr>
                <w:b/>
                <w:bCs/>
                <w:color w:val="1F4E79"/>
                <w:sz w:val="22"/>
                <w:szCs w:val="22"/>
              </w:rPr>
              <w:t xml:space="preserve">No olvidar el plano de control</w:t>
            </w:r>
          </w:p>
          <w:p>
            <w:pPr>
              <w:spacing w:after="60" w:line="280"/>
              <w:jc w:val="both"/>
            </w:pPr>
            <w:r>
              <w:rPr>
                <w:sz w:val="20"/>
                <w:szCs w:val="20"/>
              </w:rPr>
              <w:t xml:space="preserve">Respaldar también: definiciones IaC (Bicep / Terraform / ARM) en repositorio Git con ramas protegidas; secretos en Key Vault con Soft Delete + Purge Protection habilitados; configuración de red (NSGs, Route Tables, Firewalls) y RBAC. La capacidad de re-desplegar la infraestructura desde código es tan importante como los datos.</w:t>
            </w:r>
          </w:p>
        </w:tc>
      </w:tr>
    </w:tbl>
    <w:p>
      <w:r>
        <w:br w:type="page"/>
      </w:r>
    </w:p>
    <w:p>
      <w:pPr>
        <w:pStyle w:val="Heading1"/>
        <w:spacing w:after="200" w:before="360"/>
      </w:pPr>
      <w:r>
        <w:rPr>
          <w:b/>
          <w:bCs/>
          <w:color w:val="0B5394"/>
          <w:sz w:val="32"/>
          <w:szCs w:val="32"/>
        </w:rPr>
        <w:t xml:space="preserve">7. Ciclo de Restauración</w:t>
      </w:r>
    </w:p>
    <w:p>
      <w:pPr>
        <w:spacing w:after="120" w:line="300"/>
        <w:jc w:val="both"/>
      </w:pPr>
      <w:r>
        <w:t xml:space="preserve">El ciclo de restauración estandariza las fases que deben ejecutarse ante un incidente que requiera recuperación desde respaldos. Aplica tanto a restauraciones puntuales (un recurso) como a eventos mayores de DR.</w:t>
      </w:r>
    </w:p>
    <w:p>
      <w:pPr>
        <w:pStyle w:val="Heading2"/>
        <w:spacing w:after="140" w:before="280"/>
      </w:pPr>
      <w:r>
        <w:rPr>
          <w:b/>
          <w:bCs/>
          <w:color w:val="1F4E79"/>
          <w:sz w:val="26"/>
          <w:szCs w:val="26"/>
        </w:rPr>
        <w:t xml:space="preserve">7.1 Fases del ciclo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100"/>
        <w:gridCol w:w="2700"/>
        <w:gridCol w:w="1660"/>
      </w:tblGrid>
      <w:tr>
        <w:trPr>
          <w:tblHeader/>
        </w:trPr>
        <w:tc>
          <w:tcPr>
            <w:tcW w:type="dxa" w:w="900"/>
            <w:tcBorders>
              <w:top w:val="single" w:color="0B5394" w:sz="6"/>
              <w:left w:val="single" w:color="0B5394" w:sz="6"/>
              <w:bottom w:val="single" w:color="0B5394" w:sz="6"/>
              <w:right w:val="single" w:color="0B5394" w:sz="6"/>
            </w:tcBorders>
            <w:shd w:fill="0B5394" w:color="auto" w:val="clear"/>
            <w:tcMar>
              <w:top w:type="dxa" w:w="100"/>
              <w:left w:type="dxa" w:w="120"/>
              <w:bottom w:type="dxa" w:w="100"/>
              <w:right w:type="dxa" w:w="120"/>
            </w:tcMar>
          </w:tcPr>
          <w:p>
            <w:pPr>
              <w:jc w:val="left"/>
            </w:pPr>
            <w:r>
              <w:rPr>
                <w:b/>
                <w:bCs/>
                <w:color w:val="FFFFFF"/>
                <w:sz w:val="20"/>
                <w:szCs w:val="20"/>
              </w:rPr>
              <w:t xml:space="preserve">Fase</w:t>
            </w:r>
          </w:p>
        </w:tc>
        <w:tc>
          <w:tcPr>
            <w:tcW w:type="dxa" w:w="4100"/>
            <w:tcBorders>
              <w:top w:val="single" w:color="0B5394" w:sz="6"/>
              <w:left w:val="single" w:color="0B5394" w:sz="6"/>
              <w:bottom w:val="single" w:color="0B5394" w:sz="6"/>
              <w:right w:val="single" w:color="0B5394" w:sz="6"/>
            </w:tcBorders>
            <w:shd w:fill="0B5394" w:color="auto" w:val="clear"/>
            <w:tcMar>
              <w:top w:type="dxa" w:w="100"/>
              <w:left w:type="dxa" w:w="120"/>
              <w:bottom w:type="dxa" w:w="100"/>
              <w:right w:type="dxa" w:w="120"/>
            </w:tcMar>
          </w:tcPr>
          <w:p>
            <w:pPr>
              <w:jc w:val="left"/>
            </w:pPr>
            <w:r>
              <w:rPr>
                <w:b/>
                <w:bCs/>
                <w:color w:val="FFFFFF"/>
                <w:sz w:val="20"/>
                <w:szCs w:val="20"/>
              </w:rPr>
              <w:t xml:space="preserve">Actividad</w:t>
            </w:r>
          </w:p>
        </w:tc>
        <w:tc>
          <w:tcPr>
            <w:tcW w:type="dxa" w:w="2700"/>
            <w:tcBorders>
              <w:top w:val="single" w:color="0B5394" w:sz="6"/>
              <w:left w:val="single" w:color="0B5394" w:sz="6"/>
              <w:bottom w:val="single" w:color="0B5394" w:sz="6"/>
              <w:right w:val="single" w:color="0B5394" w:sz="6"/>
            </w:tcBorders>
            <w:shd w:fill="0B5394" w:color="auto" w:val="clear"/>
            <w:tcMar>
              <w:top w:type="dxa" w:w="100"/>
              <w:left w:type="dxa" w:w="120"/>
              <w:bottom w:type="dxa" w:w="100"/>
              <w:right w:type="dxa" w:w="120"/>
            </w:tcMar>
          </w:tcPr>
          <w:p>
            <w:pPr>
              <w:jc w:val="left"/>
            </w:pPr>
            <w:r>
              <w:rPr>
                <w:b/>
                <w:bCs/>
                <w:color w:val="FFFFFF"/>
                <w:sz w:val="20"/>
                <w:szCs w:val="20"/>
              </w:rPr>
              <w:t xml:space="preserve">Responsable</w:t>
            </w:r>
          </w:p>
        </w:tc>
        <w:tc>
          <w:tcPr>
            <w:tcW w:type="dxa" w:w="1660"/>
            <w:tcBorders>
              <w:top w:val="single" w:color="0B5394" w:sz="6"/>
              <w:left w:val="single" w:color="0B5394" w:sz="6"/>
              <w:bottom w:val="single" w:color="0B5394" w:sz="6"/>
              <w:right w:val="single" w:color="0B5394" w:sz="6"/>
            </w:tcBorders>
            <w:shd w:fill="0B5394" w:color="auto" w:val="clear"/>
            <w:tcMar>
              <w:top w:type="dxa" w:w="100"/>
              <w:left w:type="dxa" w:w="120"/>
              <w:bottom w:type="dxa" w:w="100"/>
              <w:right w:type="dxa" w:w="120"/>
            </w:tcMar>
          </w:tcPr>
          <w:p>
            <w:pPr>
              <w:jc w:val="left"/>
            </w:pPr>
            <w:r>
              <w:rPr>
                <w:b/>
                <w:bCs/>
                <w:color w:val="FFFFFF"/>
                <w:sz w:val="20"/>
                <w:szCs w:val="20"/>
              </w:rPr>
              <w:t xml:space="preserve">Tiempo objetivo</w:t>
            </w:r>
          </w:p>
        </w:tc>
      </w:tr>
      <w:tr>
        <w:tc>
          <w:tcPr>
            <w:tcW w:type="dxa" w:w="900"/>
            <w:tcBorders>
              <w:top w:val="single" w:color="BFBFBF" w:sz="6"/>
              <w:left w:val="single" w:color="BFBFBF" w:sz="6"/>
              <w:bottom w:val="single" w:color="BFBFBF" w:sz="6"/>
              <w:right w:val="single" w:color="BFBFBF" w:sz="6"/>
            </w:tcBorders>
            <w:tcMar>
              <w:top w:type="dxa" w:w="90"/>
              <w:left w:type="dxa" w:w="120"/>
              <w:bottom w:type="dxa" w:w="90"/>
              <w:right w:type="dxa" w:w="120"/>
            </w:tcMar>
          </w:tcPr>
          <w:p>
            <w:pPr>
              <w:spacing w:after="40"/>
              <w:jc w:val="left"/>
            </w:pPr>
            <w:r>
              <w:rPr>
                <w:sz w:val="19"/>
                <w:szCs w:val="19"/>
              </w:rPr>
              <w:t xml:space="preserve">1. Detección</w:t>
            </w:r>
          </w:p>
        </w:tc>
        <w:tc>
          <w:tcPr>
            <w:tcW w:type="dxa" w:w="4100"/>
            <w:tcBorders>
              <w:top w:val="single" w:color="BFBFBF" w:sz="6"/>
              <w:left w:val="single" w:color="BFBFBF" w:sz="6"/>
              <w:bottom w:val="single" w:color="BFBFBF" w:sz="6"/>
              <w:right w:val="single" w:color="BFBFBF" w:sz="6"/>
            </w:tcBorders>
            <w:tcMar>
              <w:top w:type="dxa" w:w="90"/>
              <w:left w:type="dxa" w:w="120"/>
              <w:bottom w:type="dxa" w:w="90"/>
              <w:right w:type="dxa" w:w="120"/>
            </w:tcMar>
          </w:tcPr>
          <w:p>
            <w:pPr>
              <w:spacing w:after="40"/>
              <w:jc w:val="left"/>
            </w:pPr>
            <w:r>
              <w:rPr>
                <w:sz w:val="19"/>
                <w:szCs w:val="19"/>
              </w:rPr>
              <w:t xml:space="preserve">Identificación del incidente vía monitoreo, alertas o reporte del usuario.</w:t>
            </w:r>
          </w:p>
        </w:tc>
        <w:tc>
          <w:tcPr>
            <w:tcW w:type="dxa" w:w="2700"/>
            <w:tcBorders>
              <w:top w:val="single" w:color="BFBFBF" w:sz="6"/>
              <w:left w:val="single" w:color="BFBFBF" w:sz="6"/>
              <w:bottom w:val="single" w:color="BFBFBF" w:sz="6"/>
              <w:right w:val="single" w:color="BFBFBF" w:sz="6"/>
            </w:tcBorders>
            <w:tcMar>
              <w:top w:type="dxa" w:w="90"/>
              <w:left w:type="dxa" w:w="120"/>
              <w:bottom w:type="dxa" w:w="90"/>
              <w:right w:type="dxa" w:w="120"/>
            </w:tcMar>
          </w:tcPr>
          <w:p>
            <w:pPr>
              <w:spacing w:after="40"/>
              <w:jc w:val="left"/>
            </w:pPr>
            <w:r>
              <w:rPr>
                <w:sz w:val="19"/>
                <w:szCs w:val="19"/>
              </w:rPr>
              <w:t xml:space="preserve">SOC / NOC / Service Owner</w:t>
            </w:r>
          </w:p>
        </w:tc>
        <w:tc>
          <w:tcPr>
            <w:tcW w:type="dxa" w:w="1660"/>
            <w:tcBorders>
              <w:top w:val="single" w:color="BFBFBF" w:sz="6"/>
              <w:left w:val="single" w:color="BFBFBF" w:sz="6"/>
              <w:bottom w:val="single" w:color="BFBFBF" w:sz="6"/>
              <w:right w:val="single" w:color="BFBFBF" w:sz="6"/>
            </w:tcBorders>
            <w:tcMar>
              <w:top w:type="dxa" w:w="90"/>
              <w:left w:type="dxa" w:w="120"/>
              <w:bottom w:type="dxa" w:w="90"/>
              <w:right w:type="dxa" w:w="120"/>
            </w:tcMar>
          </w:tcPr>
          <w:p>
            <w:pPr>
              <w:spacing w:after="40"/>
              <w:jc w:val="left"/>
            </w:pPr>
            <w:r>
              <w:rPr>
                <w:sz w:val="19"/>
                <w:szCs w:val="19"/>
              </w:rPr>
              <w:t xml:space="preserve">≤ 15 min</w:t>
            </w:r>
          </w:p>
        </w:tc>
      </w:tr>
      <w:tr>
        <w:tc>
          <w:tcPr>
            <w:tcW w:type="dxa" w:w="900"/>
            <w:tcBorders>
              <w:top w:val="single" w:color="BFBFBF" w:sz="6"/>
              <w:left w:val="single" w:color="BFBFBF" w:sz="6"/>
              <w:bottom w:val="single" w:color="BFBFBF" w:sz="6"/>
              <w:right w:val="single" w:color="BFBFBF" w:sz="6"/>
            </w:tcBorders>
            <w:shd w:fill="F2F2F2" w:color="auto" w:val="clear"/>
            <w:tcMar>
              <w:top w:type="dxa" w:w="90"/>
              <w:left w:type="dxa" w:w="120"/>
              <w:bottom w:type="dxa" w:w="90"/>
              <w:right w:type="dxa" w:w="120"/>
            </w:tcMar>
          </w:tcPr>
          <w:p>
            <w:pPr>
              <w:spacing w:after="40"/>
              <w:jc w:val="left"/>
            </w:pPr>
            <w:r>
              <w:rPr>
                <w:sz w:val="19"/>
                <w:szCs w:val="19"/>
              </w:rPr>
              <w:t xml:space="preserve">2. Declaración</w:t>
            </w:r>
          </w:p>
        </w:tc>
        <w:tc>
          <w:tcPr>
            <w:tcW w:type="dxa" w:w="4100"/>
            <w:tcBorders>
              <w:top w:val="single" w:color="BFBFBF" w:sz="6"/>
              <w:left w:val="single" w:color="BFBFBF" w:sz="6"/>
              <w:bottom w:val="single" w:color="BFBFBF" w:sz="6"/>
              <w:right w:val="single" w:color="BFBFBF" w:sz="6"/>
            </w:tcBorders>
            <w:shd w:fill="F2F2F2" w:color="auto" w:val="clear"/>
            <w:tcMar>
              <w:top w:type="dxa" w:w="90"/>
              <w:left w:type="dxa" w:w="120"/>
              <w:bottom w:type="dxa" w:w="90"/>
              <w:right w:type="dxa" w:w="120"/>
            </w:tcMar>
          </w:tcPr>
          <w:p>
            <w:pPr>
              <w:spacing w:after="40"/>
              <w:jc w:val="left"/>
            </w:pPr>
            <w:r>
              <w:rPr>
                <w:sz w:val="19"/>
                <w:szCs w:val="19"/>
              </w:rPr>
              <w:t xml:space="preserve">Validación del incidente y activación formal del procedimiento de recuperación.</w:t>
            </w:r>
          </w:p>
        </w:tc>
        <w:tc>
          <w:tcPr>
            <w:tcW w:type="dxa" w:w="2700"/>
            <w:tcBorders>
              <w:top w:val="single" w:color="BFBFBF" w:sz="6"/>
              <w:left w:val="single" w:color="BFBFBF" w:sz="6"/>
              <w:bottom w:val="single" w:color="BFBFBF" w:sz="6"/>
              <w:right w:val="single" w:color="BFBFBF" w:sz="6"/>
            </w:tcBorders>
            <w:shd w:fill="F2F2F2" w:color="auto" w:val="clear"/>
            <w:tcMar>
              <w:top w:type="dxa" w:w="90"/>
              <w:left w:type="dxa" w:w="120"/>
              <w:bottom w:type="dxa" w:w="90"/>
              <w:right w:type="dxa" w:w="120"/>
            </w:tcMar>
          </w:tcPr>
          <w:p>
            <w:pPr>
              <w:spacing w:after="40"/>
              <w:jc w:val="left"/>
            </w:pPr>
            <w:r>
              <w:rPr>
                <w:sz w:val="19"/>
                <w:szCs w:val="19"/>
              </w:rPr>
              <w:t xml:space="preserve">Incident Manager</w:t>
            </w:r>
          </w:p>
        </w:tc>
        <w:tc>
          <w:tcPr>
            <w:tcW w:type="dxa" w:w="1660"/>
            <w:tcBorders>
              <w:top w:val="single" w:color="BFBFBF" w:sz="6"/>
              <w:left w:val="single" w:color="BFBFBF" w:sz="6"/>
              <w:bottom w:val="single" w:color="BFBFBF" w:sz="6"/>
              <w:right w:val="single" w:color="BFBFBF" w:sz="6"/>
            </w:tcBorders>
            <w:shd w:fill="F2F2F2" w:color="auto" w:val="clear"/>
            <w:tcMar>
              <w:top w:type="dxa" w:w="90"/>
              <w:left w:type="dxa" w:w="120"/>
              <w:bottom w:type="dxa" w:w="90"/>
              <w:right w:type="dxa" w:w="120"/>
            </w:tcMar>
          </w:tcPr>
          <w:p>
            <w:pPr>
              <w:spacing w:after="40"/>
              <w:jc w:val="left"/>
            </w:pPr>
            <w:r>
              <w:rPr>
                <w:sz w:val="19"/>
                <w:szCs w:val="19"/>
              </w:rPr>
              <w:t xml:space="preserve">≤ 30 min</w:t>
            </w:r>
          </w:p>
        </w:tc>
      </w:tr>
      <w:tr>
        <w:tc>
          <w:tcPr>
            <w:tcW w:type="dxa" w:w="900"/>
            <w:tcBorders>
              <w:top w:val="single" w:color="BFBFBF" w:sz="6"/>
              <w:left w:val="single" w:color="BFBFBF" w:sz="6"/>
              <w:bottom w:val="single" w:color="BFBFBF" w:sz="6"/>
              <w:right w:val="single" w:color="BFBFBF" w:sz="6"/>
            </w:tcBorders>
            <w:tcMar>
              <w:top w:type="dxa" w:w="90"/>
              <w:left w:type="dxa" w:w="120"/>
              <w:bottom w:type="dxa" w:w="90"/>
              <w:right w:type="dxa" w:w="120"/>
            </w:tcMar>
          </w:tcPr>
          <w:p>
            <w:pPr>
              <w:spacing w:after="40"/>
              <w:jc w:val="left"/>
            </w:pPr>
            <w:r>
              <w:rPr>
                <w:sz w:val="19"/>
                <w:szCs w:val="19"/>
              </w:rPr>
              <w:t xml:space="preserve">3. Triage</w:t>
            </w:r>
          </w:p>
        </w:tc>
        <w:tc>
          <w:tcPr>
            <w:tcW w:type="dxa" w:w="4100"/>
            <w:tcBorders>
              <w:top w:val="single" w:color="BFBFBF" w:sz="6"/>
              <w:left w:val="single" w:color="BFBFBF" w:sz="6"/>
              <w:bottom w:val="single" w:color="BFBFBF" w:sz="6"/>
              <w:right w:val="single" w:color="BFBFBF" w:sz="6"/>
            </w:tcBorders>
            <w:tcMar>
              <w:top w:type="dxa" w:w="90"/>
              <w:left w:type="dxa" w:w="120"/>
              <w:bottom w:type="dxa" w:w="90"/>
              <w:right w:type="dxa" w:w="120"/>
            </w:tcMar>
          </w:tcPr>
          <w:p>
            <w:pPr>
              <w:spacing w:after="40"/>
              <w:jc w:val="left"/>
            </w:pPr>
            <w:r>
              <w:rPr>
                <w:sz w:val="19"/>
                <w:szCs w:val="19"/>
              </w:rPr>
              <w:t xml:space="preserve">Clasificación del impacto, definición del punto de restauración objetivo y selección de la estrategia.</w:t>
            </w:r>
          </w:p>
        </w:tc>
        <w:tc>
          <w:tcPr>
            <w:tcW w:type="dxa" w:w="2700"/>
            <w:tcBorders>
              <w:top w:val="single" w:color="BFBFBF" w:sz="6"/>
              <w:left w:val="single" w:color="BFBFBF" w:sz="6"/>
              <w:bottom w:val="single" w:color="BFBFBF" w:sz="6"/>
              <w:right w:val="single" w:color="BFBFBF" w:sz="6"/>
            </w:tcBorders>
            <w:tcMar>
              <w:top w:type="dxa" w:w="90"/>
              <w:left w:type="dxa" w:w="120"/>
              <w:bottom w:type="dxa" w:w="90"/>
              <w:right w:type="dxa" w:w="120"/>
            </w:tcMar>
          </w:tcPr>
          <w:p>
            <w:pPr>
              <w:spacing w:after="40"/>
              <w:jc w:val="left"/>
            </w:pPr>
            <w:r>
              <w:rPr>
                <w:sz w:val="19"/>
                <w:szCs w:val="19"/>
              </w:rPr>
              <w:t xml:space="preserve">Equipo de Continuidad + Service Owner</w:t>
            </w:r>
          </w:p>
        </w:tc>
        <w:tc>
          <w:tcPr>
            <w:tcW w:type="dxa" w:w="1660"/>
            <w:tcBorders>
              <w:top w:val="single" w:color="BFBFBF" w:sz="6"/>
              <w:left w:val="single" w:color="BFBFBF" w:sz="6"/>
              <w:bottom w:val="single" w:color="BFBFBF" w:sz="6"/>
              <w:right w:val="single" w:color="BFBFBF" w:sz="6"/>
            </w:tcBorders>
            <w:tcMar>
              <w:top w:type="dxa" w:w="90"/>
              <w:left w:type="dxa" w:w="120"/>
              <w:bottom w:type="dxa" w:w="90"/>
              <w:right w:type="dxa" w:w="120"/>
            </w:tcMar>
          </w:tcPr>
          <w:p>
            <w:pPr>
              <w:spacing w:after="40"/>
              <w:jc w:val="left"/>
            </w:pPr>
            <w:r>
              <w:rPr>
                <w:sz w:val="19"/>
                <w:szCs w:val="19"/>
              </w:rPr>
              <w:t xml:space="preserve">≤ 30 min</w:t>
            </w:r>
          </w:p>
        </w:tc>
      </w:tr>
      <w:tr>
        <w:tc>
          <w:tcPr>
            <w:tcW w:type="dxa" w:w="900"/>
            <w:tcBorders>
              <w:top w:val="single" w:color="BFBFBF" w:sz="6"/>
              <w:left w:val="single" w:color="BFBFBF" w:sz="6"/>
              <w:bottom w:val="single" w:color="BFBFBF" w:sz="6"/>
              <w:right w:val="single" w:color="BFBFBF" w:sz="6"/>
            </w:tcBorders>
            <w:shd w:fill="F2F2F2" w:color="auto" w:val="clear"/>
            <w:tcMar>
              <w:top w:type="dxa" w:w="90"/>
              <w:left w:type="dxa" w:w="120"/>
              <w:bottom w:type="dxa" w:w="90"/>
              <w:right w:type="dxa" w:w="120"/>
            </w:tcMar>
          </w:tcPr>
          <w:p>
            <w:pPr>
              <w:spacing w:after="40"/>
              <w:jc w:val="left"/>
            </w:pPr>
            <w:r>
              <w:rPr>
                <w:sz w:val="19"/>
                <w:szCs w:val="19"/>
              </w:rPr>
              <w:t xml:space="preserve">4. Preparación</w:t>
            </w:r>
          </w:p>
        </w:tc>
        <w:tc>
          <w:tcPr>
            <w:tcW w:type="dxa" w:w="4100"/>
            <w:tcBorders>
              <w:top w:val="single" w:color="BFBFBF" w:sz="6"/>
              <w:left w:val="single" w:color="BFBFBF" w:sz="6"/>
              <w:bottom w:val="single" w:color="BFBFBF" w:sz="6"/>
              <w:right w:val="single" w:color="BFBFBF" w:sz="6"/>
            </w:tcBorders>
            <w:shd w:fill="F2F2F2" w:color="auto" w:val="clear"/>
            <w:tcMar>
              <w:top w:type="dxa" w:w="90"/>
              <w:left w:type="dxa" w:w="120"/>
              <w:bottom w:type="dxa" w:w="90"/>
              <w:right w:type="dxa" w:w="120"/>
            </w:tcMar>
          </w:tcPr>
          <w:p>
            <w:pPr>
              <w:spacing w:after="40"/>
              <w:jc w:val="left"/>
            </w:pPr>
            <w:r>
              <w:rPr>
                <w:sz w:val="19"/>
                <w:szCs w:val="19"/>
              </w:rPr>
              <w:t xml:space="preserve">Aprovisionar entorno destino, verificar disponibilidad de respaldos, validar credenciales y red.</w:t>
            </w:r>
          </w:p>
        </w:tc>
        <w:tc>
          <w:tcPr>
            <w:tcW w:type="dxa" w:w="2700"/>
            <w:tcBorders>
              <w:top w:val="single" w:color="BFBFBF" w:sz="6"/>
              <w:left w:val="single" w:color="BFBFBF" w:sz="6"/>
              <w:bottom w:val="single" w:color="BFBFBF" w:sz="6"/>
              <w:right w:val="single" w:color="BFBFBF" w:sz="6"/>
            </w:tcBorders>
            <w:shd w:fill="F2F2F2" w:color="auto" w:val="clear"/>
            <w:tcMar>
              <w:top w:type="dxa" w:w="90"/>
              <w:left w:type="dxa" w:w="120"/>
              <w:bottom w:type="dxa" w:w="90"/>
              <w:right w:type="dxa" w:w="120"/>
            </w:tcMar>
          </w:tcPr>
          <w:p>
            <w:pPr>
              <w:spacing w:after="40"/>
              <w:jc w:val="left"/>
            </w:pPr>
            <w:r>
              <w:rPr>
                <w:sz w:val="19"/>
                <w:szCs w:val="19"/>
              </w:rPr>
              <w:t xml:space="preserve">Equipo de Plataforma</w:t>
            </w:r>
          </w:p>
        </w:tc>
        <w:tc>
          <w:tcPr>
            <w:tcW w:type="dxa" w:w="1660"/>
            <w:tcBorders>
              <w:top w:val="single" w:color="BFBFBF" w:sz="6"/>
              <w:left w:val="single" w:color="BFBFBF" w:sz="6"/>
              <w:bottom w:val="single" w:color="BFBFBF" w:sz="6"/>
              <w:right w:val="single" w:color="BFBFBF" w:sz="6"/>
            </w:tcBorders>
            <w:shd w:fill="F2F2F2" w:color="auto" w:val="clear"/>
            <w:tcMar>
              <w:top w:type="dxa" w:w="90"/>
              <w:left w:type="dxa" w:w="120"/>
              <w:bottom w:type="dxa" w:w="90"/>
              <w:right w:type="dxa" w:w="120"/>
            </w:tcMar>
          </w:tcPr>
          <w:p>
            <w:pPr>
              <w:spacing w:after="40"/>
              <w:jc w:val="left"/>
            </w:pPr>
            <w:r>
              <w:rPr>
                <w:sz w:val="19"/>
                <w:szCs w:val="19"/>
              </w:rPr>
              <w:t xml:space="preserve">Según RTO</w:t>
            </w:r>
          </w:p>
        </w:tc>
      </w:tr>
      <w:tr>
        <w:tc>
          <w:tcPr>
            <w:tcW w:type="dxa" w:w="900"/>
            <w:tcBorders>
              <w:top w:val="single" w:color="BFBFBF" w:sz="6"/>
              <w:left w:val="single" w:color="BFBFBF" w:sz="6"/>
              <w:bottom w:val="single" w:color="BFBFBF" w:sz="6"/>
              <w:right w:val="single" w:color="BFBFBF" w:sz="6"/>
            </w:tcBorders>
            <w:tcMar>
              <w:top w:type="dxa" w:w="90"/>
              <w:left w:type="dxa" w:w="120"/>
              <w:bottom w:type="dxa" w:w="90"/>
              <w:right w:type="dxa" w:w="120"/>
            </w:tcMar>
          </w:tcPr>
          <w:p>
            <w:pPr>
              <w:spacing w:after="40"/>
              <w:jc w:val="left"/>
            </w:pPr>
            <w:r>
              <w:rPr>
                <w:sz w:val="19"/>
                <w:szCs w:val="19"/>
              </w:rPr>
              <w:t xml:space="preserve">5. Restauración</w:t>
            </w:r>
          </w:p>
        </w:tc>
        <w:tc>
          <w:tcPr>
            <w:tcW w:type="dxa" w:w="4100"/>
            <w:tcBorders>
              <w:top w:val="single" w:color="BFBFBF" w:sz="6"/>
              <w:left w:val="single" w:color="BFBFBF" w:sz="6"/>
              <w:bottom w:val="single" w:color="BFBFBF" w:sz="6"/>
              <w:right w:val="single" w:color="BFBFBF" w:sz="6"/>
            </w:tcBorders>
            <w:tcMar>
              <w:top w:type="dxa" w:w="90"/>
              <w:left w:type="dxa" w:w="120"/>
              <w:bottom w:type="dxa" w:w="90"/>
              <w:right w:type="dxa" w:w="120"/>
            </w:tcMar>
          </w:tcPr>
          <w:p>
            <w:pPr>
              <w:spacing w:after="40"/>
              <w:jc w:val="left"/>
            </w:pPr>
            <w:r>
              <w:rPr>
                <w:sz w:val="19"/>
                <w:szCs w:val="19"/>
              </w:rPr>
              <w:t xml:space="preserve">Ejecutar la restauración técnica desde el punto seleccionado.</w:t>
            </w:r>
          </w:p>
        </w:tc>
        <w:tc>
          <w:tcPr>
            <w:tcW w:type="dxa" w:w="2700"/>
            <w:tcBorders>
              <w:top w:val="single" w:color="BFBFBF" w:sz="6"/>
              <w:left w:val="single" w:color="BFBFBF" w:sz="6"/>
              <w:bottom w:val="single" w:color="BFBFBF" w:sz="6"/>
              <w:right w:val="single" w:color="BFBFBF" w:sz="6"/>
            </w:tcBorders>
            <w:tcMar>
              <w:top w:type="dxa" w:w="90"/>
              <w:left w:type="dxa" w:w="120"/>
              <w:bottom w:type="dxa" w:w="90"/>
              <w:right w:type="dxa" w:w="120"/>
            </w:tcMar>
          </w:tcPr>
          <w:p>
            <w:pPr>
              <w:spacing w:after="40"/>
              <w:jc w:val="left"/>
            </w:pPr>
            <w:r>
              <w:rPr>
                <w:sz w:val="19"/>
                <w:szCs w:val="19"/>
              </w:rPr>
              <w:t xml:space="preserve">Equipo de Plataforma / DBA</w:t>
            </w:r>
          </w:p>
        </w:tc>
        <w:tc>
          <w:tcPr>
            <w:tcW w:type="dxa" w:w="1660"/>
            <w:tcBorders>
              <w:top w:val="single" w:color="BFBFBF" w:sz="6"/>
              <w:left w:val="single" w:color="BFBFBF" w:sz="6"/>
              <w:bottom w:val="single" w:color="BFBFBF" w:sz="6"/>
              <w:right w:val="single" w:color="BFBFBF" w:sz="6"/>
            </w:tcBorders>
            <w:tcMar>
              <w:top w:type="dxa" w:w="90"/>
              <w:left w:type="dxa" w:w="120"/>
              <w:bottom w:type="dxa" w:w="90"/>
              <w:right w:type="dxa" w:w="120"/>
            </w:tcMar>
          </w:tcPr>
          <w:p>
            <w:pPr>
              <w:spacing w:after="40"/>
              <w:jc w:val="left"/>
            </w:pPr>
            <w:r>
              <w:rPr>
                <w:sz w:val="19"/>
                <w:szCs w:val="19"/>
              </w:rPr>
              <w:t xml:space="preserve">Según RTO</w:t>
            </w:r>
          </w:p>
        </w:tc>
      </w:tr>
      <w:tr>
        <w:tc>
          <w:tcPr>
            <w:tcW w:type="dxa" w:w="900"/>
            <w:tcBorders>
              <w:top w:val="single" w:color="BFBFBF" w:sz="6"/>
              <w:left w:val="single" w:color="BFBFBF" w:sz="6"/>
              <w:bottom w:val="single" w:color="BFBFBF" w:sz="6"/>
              <w:right w:val="single" w:color="BFBFBF" w:sz="6"/>
            </w:tcBorders>
            <w:shd w:fill="F2F2F2" w:color="auto" w:val="clear"/>
            <w:tcMar>
              <w:top w:type="dxa" w:w="90"/>
              <w:left w:type="dxa" w:w="120"/>
              <w:bottom w:type="dxa" w:w="90"/>
              <w:right w:type="dxa" w:w="120"/>
            </w:tcMar>
          </w:tcPr>
          <w:p>
            <w:pPr>
              <w:spacing w:after="40"/>
              <w:jc w:val="left"/>
            </w:pPr>
            <w:r>
              <w:rPr>
                <w:sz w:val="19"/>
                <w:szCs w:val="19"/>
              </w:rPr>
              <w:t xml:space="preserve">6. Validación</w:t>
            </w:r>
          </w:p>
        </w:tc>
        <w:tc>
          <w:tcPr>
            <w:tcW w:type="dxa" w:w="4100"/>
            <w:tcBorders>
              <w:top w:val="single" w:color="BFBFBF" w:sz="6"/>
              <w:left w:val="single" w:color="BFBFBF" w:sz="6"/>
              <w:bottom w:val="single" w:color="BFBFBF" w:sz="6"/>
              <w:right w:val="single" w:color="BFBFBF" w:sz="6"/>
            </w:tcBorders>
            <w:shd w:fill="F2F2F2" w:color="auto" w:val="clear"/>
            <w:tcMar>
              <w:top w:type="dxa" w:w="90"/>
              <w:left w:type="dxa" w:w="120"/>
              <w:bottom w:type="dxa" w:w="90"/>
              <w:right w:type="dxa" w:w="120"/>
            </w:tcMar>
          </w:tcPr>
          <w:p>
            <w:pPr>
              <w:spacing w:after="40"/>
              <w:jc w:val="left"/>
            </w:pPr>
            <w:r>
              <w:rPr>
                <w:sz w:val="19"/>
                <w:szCs w:val="19"/>
              </w:rPr>
              <w:t xml:space="preserve">Pruebas funcionales, de integridad y de conectividad antes de cortar tráfico.</w:t>
            </w:r>
          </w:p>
        </w:tc>
        <w:tc>
          <w:tcPr>
            <w:tcW w:type="dxa" w:w="2700"/>
            <w:tcBorders>
              <w:top w:val="single" w:color="BFBFBF" w:sz="6"/>
              <w:left w:val="single" w:color="BFBFBF" w:sz="6"/>
              <w:bottom w:val="single" w:color="BFBFBF" w:sz="6"/>
              <w:right w:val="single" w:color="BFBFBF" w:sz="6"/>
            </w:tcBorders>
            <w:shd w:fill="F2F2F2" w:color="auto" w:val="clear"/>
            <w:tcMar>
              <w:top w:type="dxa" w:w="90"/>
              <w:left w:type="dxa" w:w="120"/>
              <w:bottom w:type="dxa" w:w="90"/>
              <w:right w:type="dxa" w:w="120"/>
            </w:tcMar>
          </w:tcPr>
          <w:p>
            <w:pPr>
              <w:spacing w:after="40"/>
              <w:jc w:val="left"/>
            </w:pPr>
            <w:r>
              <w:rPr>
                <w:sz w:val="19"/>
                <w:szCs w:val="19"/>
              </w:rPr>
              <w:t xml:space="preserve">Service Owner + QA</w:t>
            </w:r>
          </w:p>
        </w:tc>
        <w:tc>
          <w:tcPr>
            <w:tcW w:type="dxa" w:w="1660"/>
            <w:tcBorders>
              <w:top w:val="single" w:color="BFBFBF" w:sz="6"/>
              <w:left w:val="single" w:color="BFBFBF" w:sz="6"/>
              <w:bottom w:val="single" w:color="BFBFBF" w:sz="6"/>
              <w:right w:val="single" w:color="BFBFBF" w:sz="6"/>
            </w:tcBorders>
            <w:shd w:fill="F2F2F2" w:color="auto" w:val="clear"/>
            <w:tcMar>
              <w:top w:type="dxa" w:w="90"/>
              <w:left w:type="dxa" w:w="120"/>
              <w:bottom w:type="dxa" w:w="90"/>
              <w:right w:type="dxa" w:w="120"/>
            </w:tcMar>
          </w:tcPr>
          <w:p>
            <w:pPr>
              <w:spacing w:after="40"/>
              <w:jc w:val="left"/>
            </w:pPr>
            <w:r>
              <w:rPr>
                <w:sz w:val="19"/>
                <w:szCs w:val="19"/>
              </w:rPr>
              <w:t xml:space="preserve">Variable</w:t>
            </w:r>
          </w:p>
        </w:tc>
      </w:tr>
      <w:tr>
        <w:tc>
          <w:tcPr>
            <w:tcW w:type="dxa" w:w="900"/>
            <w:tcBorders>
              <w:top w:val="single" w:color="BFBFBF" w:sz="6"/>
              <w:left w:val="single" w:color="BFBFBF" w:sz="6"/>
              <w:bottom w:val="single" w:color="BFBFBF" w:sz="6"/>
              <w:right w:val="single" w:color="BFBFBF" w:sz="6"/>
            </w:tcBorders>
            <w:tcMar>
              <w:top w:type="dxa" w:w="90"/>
              <w:left w:type="dxa" w:w="120"/>
              <w:bottom w:type="dxa" w:w="90"/>
              <w:right w:type="dxa" w:w="120"/>
            </w:tcMar>
          </w:tcPr>
          <w:p>
            <w:pPr>
              <w:spacing w:after="40"/>
              <w:jc w:val="left"/>
            </w:pPr>
            <w:r>
              <w:rPr>
                <w:sz w:val="19"/>
                <w:szCs w:val="19"/>
              </w:rPr>
              <w:t xml:space="preserve">7. Cutover</w:t>
            </w:r>
          </w:p>
        </w:tc>
        <w:tc>
          <w:tcPr>
            <w:tcW w:type="dxa" w:w="4100"/>
            <w:tcBorders>
              <w:top w:val="single" w:color="BFBFBF" w:sz="6"/>
              <w:left w:val="single" w:color="BFBFBF" w:sz="6"/>
              <w:bottom w:val="single" w:color="BFBFBF" w:sz="6"/>
              <w:right w:val="single" w:color="BFBFBF" w:sz="6"/>
            </w:tcBorders>
            <w:tcMar>
              <w:top w:type="dxa" w:w="90"/>
              <w:left w:type="dxa" w:w="120"/>
              <w:bottom w:type="dxa" w:w="90"/>
              <w:right w:type="dxa" w:w="120"/>
            </w:tcMar>
          </w:tcPr>
          <w:p>
            <w:pPr>
              <w:spacing w:after="40"/>
              <w:jc w:val="left"/>
            </w:pPr>
            <w:r>
              <w:rPr>
                <w:sz w:val="19"/>
                <w:szCs w:val="19"/>
              </w:rPr>
              <w:t xml:space="preserve">Redirección de tráfico, actualización de DNS / Front Door / Traffic Manager.</w:t>
            </w:r>
          </w:p>
        </w:tc>
        <w:tc>
          <w:tcPr>
            <w:tcW w:type="dxa" w:w="2700"/>
            <w:tcBorders>
              <w:top w:val="single" w:color="BFBFBF" w:sz="6"/>
              <w:left w:val="single" w:color="BFBFBF" w:sz="6"/>
              <w:bottom w:val="single" w:color="BFBFBF" w:sz="6"/>
              <w:right w:val="single" w:color="BFBFBF" w:sz="6"/>
            </w:tcBorders>
            <w:tcMar>
              <w:top w:type="dxa" w:w="90"/>
              <w:left w:type="dxa" w:w="120"/>
              <w:bottom w:type="dxa" w:w="90"/>
              <w:right w:type="dxa" w:w="120"/>
            </w:tcMar>
          </w:tcPr>
          <w:p>
            <w:pPr>
              <w:spacing w:after="40"/>
              <w:jc w:val="left"/>
            </w:pPr>
            <w:r>
              <w:rPr>
                <w:sz w:val="19"/>
                <w:szCs w:val="19"/>
              </w:rPr>
              <w:t xml:space="preserve">Equipo de Red + Plataforma</w:t>
            </w:r>
          </w:p>
        </w:tc>
        <w:tc>
          <w:tcPr>
            <w:tcW w:type="dxa" w:w="1660"/>
            <w:tcBorders>
              <w:top w:val="single" w:color="BFBFBF" w:sz="6"/>
              <w:left w:val="single" w:color="BFBFBF" w:sz="6"/>
              <w:bottom w:val="single" w:color="BFBFBF" w:sz="6"/>
              <w:right w:val="single" w:color="BFBFBF" w:sz="6"/>
            </w:tcBorders>
            <w:tcMar>
              <w:top w:type="dxa" w:w="90"/>
              <w:left w:type="dxa" w:w="120"/>
              <w:bottom w:type="dxa" w:w="90"/>
              <w:right w:type="dxa" w:w="120"/>
            </w:tcMar>
          </w:tcPr>
          <w:p>
            <w:pPr>
              <w:spacing w:after="40"/>
              <w:jc w:val="left"/>
            </w:pPr>
            <w:r>
              <w:rPr>
                <w:sz w:val="19"/>
                <w:szCs w:val="19"/>
              </w:rPr>
              <w:t xml:space="preserve">≤ 15 min</w:t>
            </w:r>
          </w:p>
        </w:tc>
      </w:tr>
      <w:tr>
        <w:tc>
          <w:tcPr>
            <w:tcW w:type="dxa" w:w="900"/>
            <w:tcBorders>
              <w:top w:val="single" w:color="BFBFBF" w:sz="6"/>
              <w:left w:val="single" w:color="BFBFBF" w:sz="6"/>
              <w:bottom w:val="single" w:color="BFBFBF" w:sz="6"/>
              <w:right w:val="single" w:color="BFBFBF" w:sz="6"/>
            </w:tcBorders>
            <w:shd w:fill="F2F2F2" w:color="auto" w:val="clear"/>
            <w:tcMar>
              <w:top w:type="dxa" w:w="90"/>
              <w:left w:type="dxa" w:w="120"/>
              <w:bottom w:type="dxa" w:w="90"/>
              <w:right w:type="dxa" w:w="120"/>
            </w:tcMar>
          </w:tcPr>
          <w:p>
            <w:pPr>
              <w:spacing w:after="40"/>
              <w:jc w:val="left"/>
            </w:pPr>
            <w:r>
              <w:rPr>
                <w:sz w:val="19"/>
                <w:szCs w:val="19"/>
              </w:rPr>
              <w:t xml:space="preserve">8. Estabilización</w:t>
            </w:r>
          </w:p>
        </w:tc>
        <w:tc>
          <w:tcPr>
            <w:tcW w:type="dxa" w:w="4100"/>
            <w:tcBorders>
              <w:top w:val="single" w:color="BFBFBF" w:sz="6"/>
              <w:left w:val="single" w:color="BFBFBF" w:sz="6"/>
              <w:bottom w:val="single" w:color="BFBFBF" w:sz="6"/>
              <w:right w:val="single" w:color="BFBFBF" w:sz="6"/>
            </w:tcBorders>
            <w:shd w:fill="F2F2F2" w:color="auto" w:val="clear"/>
            <w:tcMar>
              <w:top w:type="dxa" w:w="90"/>
              <w:left w:type="dxa" w:w="120"/>
              <w:bottom w:type="dxa" w:w="90"/>
              <w:right w:type="dxa" w:w="120"/>
            </w:tcMar>
          </w:tcPr>
          <w:p>
            <w:pPr>
              <w:spacing w:after="40"/>
              <w:jc w:val="left"/>
            </w:pPr>
            <w:r>
              <w:rPr>
                <w:sz w:val="19"/>
                <w:szCs w:val="19"/>
              </w:rPr>
              <w:t xml:space="preserve">Monitoreo intensivo, ajustes, atención a incidentes derivados.</w:t>
            </w:r>
          </w:p>
        </w:tc>
        <w:tc>
          <w:tcPr>
            <w:tcW w:type="dxa" w:w="2700"/>
            <w:tcBorders>
              <w:top w:val="single" w:color="BFBFBF" w:sz="6"/>
              <w:left w:val="single" w:color="BFBFBF" w:sz="6"/>
              <w:bottom w:val="single" w:color="BFBFBF" w:sz="6"/>
              <w:right w:val="single" w:color="BFBFBF" w:sz="6"/>
            </w:tcBorders>
            <w:shd w:fill="F2F2F2" w:color="auto" w:val="clear"/>
            <w:tcMar>
              <w:top w:type="dxa" w:w="90"/>
              <w:left w:type="dxa" w:w="120"/>
              <w:bottom w:type="dxa" w:w="90"/>
              <w:right w:type="dxa" w:w="120"/>
            </w:tcMar>
          </w:tcPr>
          <w:p>
            <w:pPr>
              <w:spacing w:after="40"/>
              <w:jc w:val="left"/>
            </w:pPr>
            <w:r>
              <w:rPr>
                <w:sz w:val="19"/>
                <w:szCs w:val="19"/>
              </w:rPr>
              <w:t xml:space="preserve">SOC + Operación</w:t>
            </w:r>
          </w:p>
        </w:tc>
        <w:tc>
          <w:tcPr>
            <w:tcW w:type="dxa" w:w="1660"/>
            <w:tcBorders>
              <w:top w:val="single" w:color="BFBFBF" w:sz="6"/>
              <w:left w:val="single" w:color="BFBFBF" w:sz="6"/>
              <w:bottom w:val="single" w:color="BFBFBF" w:sz="6"/>
              <w:right w:val="single" w:color="BFBFBF" w:sz="6"/>
            </w:tcBorders>
            <w:shd w:fill="F2F2F2" w:color="auto" w:val="clear"/>
            <w:tcMar>
              <w:top w:type="dxa" w:w="90"/>
              <w:left w:type="dxa" w:w="120"/>
              <w:bottom w:type="dxa" w:w="90"/>
              <w:right w:type="dxa" w:w="120"/>
            </w:tcMar>
          </w:tcPr>
          <w:p>
            <w:pPr>
              <w:spacing w:after="40"/>
              <w:jc w:val="left"/>
            </w:pPr>
            <w:r>
              <w:rPr>
                <w:sz w:val="19"/>
                <w:szCs w:val="19"/>
              </w:rPr>
              <w:t xml:space="preserve">24-72 h</w:t>
            </w:r>
          </w:p>
        </w:tc>
      </w:tr>
      <w:tr>
        <w:tc>
          <w:tcPr>
            <w:tcW w:type="dxa" w:w="900"/>
            <w:tcBorders>
              <w:top w:val="single" w:color="BFBFBF" w:sz="6"/>
              <w:left w:val="single" w:color="BFBFBF" w:sz="6"/>
              <w:bottom w:val="single" w:color="BFBFBF" w:sz="6"/>
              <w:right w:val="single" w:color="BFBFBF" w:sz="6"/>
            </w:tcBorders>
            <w:tcMar>
              <w:top w:type="dxa" w:w="90"/>
              <w:left w:type="dxa" w:w="120"/>
              <w:bottom w:type="dxa" w:w="90"/>
              <w:right w:type="dxa" w:w="120"/>
            </w:tcMar>
          </w:tcPr>
          <w:p>
            <w:pPr>
              <w:spacing w:after="40"/>
              <w:jc w:val="left"/>
            </w:pPr>
            <w:r>
              <w:rPr>
                <w:sz w:val="19"/>
                <w:szCs w:val="19"/>
              </w:rPr>
              <w:t xml:space="preserve">9. Cierre y RCA</w:t>
            </w:r>
          </w:p>
        </w:tc>
        <w:tc>
          <w:tcPr>
            <w:tcW w:type="dxa" w:w="4100"/>
            <w:tcBorders>
              <w:top w:val="single" w:color="BFBFBF" w:sz="6"/>
              <w:left w:val="single" w:color="BFBFBF" w:sz="6"/>
              <w:bottom w:val="single" w:color="BFBFBF" w:sz="6"/>
              <w:right w:val="single" w:color="BFBFBF" w:sz="6"/>
            </w:tcBorders>
            <w:tcMar>
              <w:top w:type="dxa" w:w="90"/>
              <w:left w:type="dxa" w:w="120"/>
              <w:bottom w:type="dxa" w:w="90"/>
              <w:right w:type="dxa" w:w="120"/>
            </w:tcMar>
          </w:tcPr>
          <w:p>
            <w:pPr>
              <w:spacing w:after="40"/>
              <w:jc w:val="left"/>
            </w:pPr>
            <w:r>
              <w:rPr>
                <w:sz w:val="19"/>
                <w:szCs w:val="19"/>
              </w:rPr>
              <w:t xml:space="preserve">Documentación, lecciones aprendidas, actualización de runbooks.</w:t>
            </w:r>
          </w:p>
        </w:tc>
        <w:tc>
          <w:tcPr>
            <w:tcW w:type="dxa" w:w="2700"/>
            <w:tcBorders>
              <w:top w:val="single" w:color="BFBFBF" w:sz="6"/>
              <w:left w:val="single" w:color="BFBFBF" w:sz="6"/>
              <w:bottom w:val="single" w:color="BFBFBF" w:sz="6"/>
              <w:right w:val="single" w:color="BFBFBF" w:sz="6"/>
            </w:tcBorders>
            <w:tcMar>
              <w:top w:type="dxa" w:w="90"/>
              <w:left w:type="dxa" w:w="120"/>
              <w:bottom w:type="dxa" w:w="90"/>
              <w:right w:type="dxa" w:w="120"/>
            </w:tcMar>
          </w:tcPr>
          <w:p>
            <w:pPr>
              <w:spacing w:after="40"/>
              <w:jc w:val="left"/>
            </w:pPr>
            <w:r>
              <w:rPr>
                <w:sz w:val="19"/>
                <w:szCs w:val="19"/>
              </w:rPr>
              <w:t xml:space="preserve">Incident Manager</w:t>
            </w:r>
          </w:p>
        </w:tc>
        <w:tc>
          <w:tcPr>
            <w:tcW w:type="dxa" w:w="1660"/>
            <w:tcBorders>
              <w:top w:val="single" w:color="BFBFBF" w:sz="6"/>
              <w:left w:val="single" w:color="BFBFBF" w:sz="6"/>
              <w:bottom w:val="single" w:color="BFBFBF" w:sz="6"/>
              <w:right w:val="single" w:color="BFBFBF" w:sz="6"/>
            </w:tcBorders>
            <w:tcMar>
              <w:top w:type="dxa" w:w="90"/>
              <w:left w:type="dxa" w:w="120"/>
              <w:bottom w:type="dxa" w:w="90"/>
              <w:right w:type="dxa" w:w="120"/>
            </w:tcMar>
          </w:tcPr>
          <w:p>
            <w:pPr>
              <w:spacing w:after="40"/>
              <w:jc w:val="left"/>
            </w:pPr>
            <w:r>
              <w:rPr>
                <w:sz w:val="19"/>
                <w:szCs w:val="19"/>
              </w:rPr>
              <w:t xml:space="preserve">≤ 5 días hábiles</w:t>
            </w:r>
          </w:p>
        </w:tc>
      </w:tr>
    </w:tbl>
    <w:p>
      <w:pPr>
        <w:pStyle w:val="Heading2"/>
        <w:spacing w:after="140" w:before="280"/>
      </w:pPr>
      <w:r>
        <w:rPr>
          <w:b/>
          <w:bCs/>
          <w:color w:val="1F4E79"/>
          <w:sz w:val="26"/>
          <w:szCs w:val="26"/>
        </w:rPr>
        <w:t xml:space="preserve">7.2 Decisiones clave durante el triage</w:t>
      </w:r>
    </w:p>
    <w:p>
      <w:pPr>
        <w:pStyle w:val="ListParagraph"/>
        <w:numPr>
          <w:ilvl w:val="0"/>
          <w:numId w:val="2"/>
        </w:numPr>
        <w:spacing w:after="80" w:line="290"/>
      </w:pPr>
      <w:r>
        <w:rPr>
          <w:sz w:val="22"/>
          <w:szCs w:val="22"/>
        </w:rPr>
        <w:t xml:space="preserve">Punto de restauración: ¿el más reciente, o uno anterior si hay evidencia de corrupción / cifrado malicioso?</w:t>
      </w:r>
    </w:p>
    <w:p>
      <w:pPr>
        <w:pStyle w:val="ListParagraph"/>
        <w:numPr>
          <w:ilvl w:val="0"/>
          <w:numId w:val="2"/>
        </w:numPr>
        <w:spacing w:after="80" w:line="290"/>
      </w:pPr>
      <w:r>
        <w:rPr>
          <w:sz w:val="22"/>
          <w:szCs w:val="22"/>
        </w:rPr>
        <w:t xml:space="preserve">Destino: ¿la misma región/recurso, o un entorno aislado de cuarentena para análisis forense?</w:t>
      </w:r>
    </w:p>
    <w:p>
      <w:pPr>
        <w:pStyle w:val="ListParagraph"/>
        <w:numPr>
          <w:ilvl w:val="0"/>
          <w:numId w:val="2"/>
        </w:numPr>
        <w:spacing w:after="80" w:line="290"/>
      </w:pPr>
      <w:r>
        <w:rPr>
          <w:sz w:val="22"/>
          <w:szCs w:val="22"/>
        </w:rPr>
        <w:t xml:space="preserve">Modalidad: ¿restauración completa, parcial, o solo extracción de archivos?</w:t>
      </w:r>
    </w:p>
    <w:p>
      <w:pPr>
        <w:pStyle w:val="ListParagraph"/>
        <w:numPr>
          <w:ilvl w:val="0"/>
          <w:numId w:val="2"/>
        </w:numPr>
        <w:spacing w:after="80" w:line="290"/>
      </w:pPr>
      <w:r>
        <w:rPr>
          <w:sz w:val="22"/>
          <w:szCs w:val="22"/>
        </w:rPr>
        <w:t xml:space="preserve">Comunicación: ¿requiere notificación a usuarios externos, reguladores o medios?</w:t>
      </w:r>
    </w:p>
    <w:p>
      <w:pPr>
        <w:pStyle w:val="Heading2"/>
        <w:spacing w:after="140" w:before="280"/>
      </w:pPr>
      <w:r>
        <w:rPr>
          <w:b/>
          <w:bCs/>
          <w:color w:val="1F4E79"/>
          <w:sz w:val="26"/>
          <w:szCs w:val="26"/>
        </w:rPr>
        <w:t xml:space="preserve">7.3 Runbooks por tipo de servicio</w:t>
      </w:r>
    </w:p>
    <w:p>
      <w:pPr>
        <w:spacing w:after="120" w:line="300"/>
        <w:jc w:val="both"/>
      </w:pPr>
      <w:r>
        <w:t xml:space="preserve">Cada servicio bajo alcance debe contar con un runbook documentado y versionado que incluya: pre-requisitos, comandos / portal-steps, validaciones post-restore, criterios de éxito y rollback. Se recomienda automatizar con Azure Automation Runbooks, Logic Apps o pipelines de Azure DevOps / GitHub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18"/>
              <w:bottom w:val="single" w:color="2E75B6" w:sz="6"/>
              <w:right w:val="single" w:color="2E75B6" w:sz="6"/>
            </w:tcBorders>
            <w:shd w:fill="D9E2F3" w:color="auto" w:val="clear"/>
            <w:tcMar>
              <w:top w:type="dxa" w:w="140"/>
              <w:left w:type="dxa" w:w="200"/>
              <w:bottom w:type="dxa" w:w="140"/>
              <w:right w:type="dxa" w:w="160"/>
            </w:tcMar>
          </w:tcPr>
          <w:p>
            <w:pPr>
              <w:spacing w:after="80"/>
            </w:pPr>
            <w:r>
              <w:rPr>
                <w:b/>
                <w:bCs/>
                <w:color w:val="1F4E79"/>
                <w:sz w:val="22"/>
                <w:szCs w:val="22"/>
              </w:rPr>
              <w:t xml:space="preserve">Cuarentena obligatoria en sospecha de ransomware</w:t>
            </w:r>
          </w:p>
          <w:p>
            <w:pPr>
              <w:spacing w:after="60" w:line="280"/>
              <w:jc w:val="both"/>
            </w:pPr>
            <w:r>
              <w:rPr>
                <w:sz w:val="20"/>
                <w:szCs w:val="20"/>
              </w:rPr>
              <w:t xml:space="preserve">Si la causa raíz no está claramente identificada o se sospecha compromiso, la restauración debe realizarse en una suscripción o resource group de cuarentena, aislado de red, antes de retornar a producción. Restaurar directamente sobre el entorno comprometido puede re-introducir el agente malicioso.</w:t>
            </w:r>
          </w:p>
        </w:tc>
      </w:tr>
    </w:tbl>
    <w:p>
      <w:r>
        <w:br w:type="page"/>
      </w:r>
    </w:p>
    <w:p>
      <w:pPr>
        <w:pStyle w:val="Heading1"/>
        <w:spacing w:after="200" w:before="360"/>
      </w:pPr>
      <w:r>
        <w:rPr>
          <w:b/>
          <w:bCs/>
          <w:color w:val="0B5394"/>
          <w:sz w:val="32"/>
          <w:szCs w:val="32"/>
        </w:rPr>
        <w:t xml:space="preserve">8. Gobierno, Monitoreo y Pruebas</w:t>
      </w:r>
    </w:p>
    <w:p>
      <w:pPr>
        <w:pStyle w:val="Heading2"/>
        <w:spacing w:after="140" w:before="280"/>
      </w:pPr>
      <w:r>
        <w:rPr>
          <w:b/>
          <w:bCs/>
          <w:color w:val="1F4E79"/>
          <w:sz w:val="26"/>
          <w:szCs w:val="26"/>
        </w:rPr>
        <w:t xml:space="preserve">8.1 Gobierno</w:t>
      </w:r>
    </w:p>
    <w:p>
      <w:pPr>
        <w:pStyle w:val="ListParagraph"/>
        <w:numPr>
          <w:ilvl w:val="0"/>
          <w:numId w:val="2"/>
        </w:numPr>
        <w:spacing w:after="80" w:line="290"/>
      </w:pPr>
      <w:r>
        <w:rPr>
          <w:sz w:val="22"/>
          <w:szCs w:val="22"/>
        </w:rPr>
        <w:t xml:space="preserve">Aplicar Azure Policy para forzar configuración de respaldo: por ejemplo, Audit/Deny VMs sin Azure Backup, Storage Accounts sin Soft Delete, SQL DBs sin LTR.</w:t>
      </w:r>
    </w:p>
    <w:p>
      <w:pPr>
        <w:pStyle w:val="ListParagraph"/>
        <w:numPr>
          <w:ilvl w:val="0"/>
          <w:numId w:val="2"/>
        </w:numPr>
        <w:spacing w:after="80" w:line="290"/>
      </w:pPr>
      <w:r>
        <w:rPr>
          <w:sz w:val="22"/>
          <w:szCs w:val="22"/>
        </w:rPr>
        <w:t xml:space="preserve">Etiquetar (tags) todos los recursos con Tier de criticidad, Service Owner, Cost Center y Backup-Policy.</w:t>
      </w:r>
    </w:p>
    <w:p>
      <w:pPr>
        <w:pStyle w:val="ListParagraph"/>
        <w:numPr>
          <w:ilvl w:val="0"/>
          <w:numId w:val="2"/>
        </w:numPr>
        <w:spacing w:after="80" w:line="290"/>
      </w:pPr>
      <w:r>
        <w:rPr>
          <w:sz w:val="22"/>
          <w:szCs w:val="22"/>
        </w:rPr>
        <w:t xml:space="preserve">Estructurar Recovery Services Vaults y Backup Vaults por suscripción y región; nunca compartir entre regiones.</w:t>
      </w:r>
    </w:p>
    <w:p>
      <w:pPr>
        <w:pStyle w:val="ListParagraph"/>
        <w:numPr>
          <w:ilvl w:val="0"/>
          <w:numId w:val="2"/>
        </w:numPr>
        <w:spacing w:after="80" w:line="290"/>
      </w:pPr>
      <w:r>
        <w:rPr>
          <w:sz w:val="22"/>
          <w:szCs w:val="22"/>
        </w:rPr>
        <w:t xml:space="preserve">Aplicar RBAC con principio de mínimo privilegio: Backup Contributor, Backup Operator, Backup Reader. Operaciones destructivas (stop protection with delete data) restringidas con MUA.</w:t>
      </w:r>
    </w:p>
    <w:p>
      <w:pPr>
        <w:pStyle w:val="ListParagraph"/>
        <w:numPr>
          <w:ilvl w:val="0"/>
          <w:numId w:val="2"/>
        </w:numPr>
        <w:spacing w:after="80" w:line="290"/>
      </w:pPr>
      <w:r>
        <w:rPr>
          <w:sz w:val="22"/>
          <w:szCs w:val="22"/>
        </w:rPr>
        <w:t xml:space="preserve">Conservar la documentación de la estrategia en un repositorio versionado; revisión anual o ante cambio mayor.</w:t>
      </w:r>
    </w:p>
    <w:p>
      <w:pPr>
        <w:pStyle w:val="Heading2"/>
        <w:spacing w:after="140" w:before="280"/>
      </w:pPr>
      <w:r>
        <w:rPr>
          <w:b/>
          <w:bCs/>
          <w:color w:val="1F4E79"/>
          <w:sz w:val="26"/>
          <w:szCs w:val="26"/>
        </w:rPr>
        <w:t xml:space="preserve">8.2 Monitoreo</w:t>
      </w:r>
    </w:p>
    <w:p>
      <w:pPr>
        <w:pStyle w:val="ListParagraph"/>
        <w:numPr>
          <w:ilvl w:val="0"/>
          <w:numId w:val="2"/>
        </w:numPr>
        <w:spacing w:after="80" w:line="290"/>
      </w:pPr>
      <w:r>
        <w:rPr>
          <w:sz w:val="22"/>
          <w:szCs w:val="22"/>
        </w:rPr>
        <w:t xml:space="preserve">Configurar Backup Center como vista unificada multi-suscripción.</w:t>
      </w:r>
    </w:p>
    <w:p>
      <w:pPr>
        <w:pStyle w:val="ListParagraph"/>
        <w:numPr>
          <w:ilvl w:val="0"/>
          <w:numId w:val="2"/>
        </w:numPr>
        <w:spacing w:after="80" w:line="290"/>
      </w:pPr>
      <w:r>
        <w:rPr>
          <w:sz w:val="22"/>
          <w:szCs w:val="22"/>
        </w:rPr>
        <w:t xml:space="preserve">Habilitar Backup Reports (Power BI) para tendencias de éxito/falla, uso de storage y cumplimiento de retención.</w:t>
      </w:r>
    </w:p>
    <w:p>
      <w:pPr>
        <w:pStyle w:val="ListParagraph"/>
        <w:numPr>
          <w:ilvl w:val="0"/>
          <w:numId w:val="2"/>
        </w:numPr>
        <w:spacing w:after="80" w:line="290"/>
      </w:pPr>
      <w:r>
        <w:rPr>
          <w:sz w:val="22"/>
          <w:szCs w:val="22"/>
        </w:rPr>
        <w:t xml:space="preserve">Crear alertas en Azure Monitor para: falla de respaldo (&gt;1 día sin éxito), eliminación de items protegidos, modificación de políticas, intentos de stop-protection.</w:t>
      </w:r>
    </w:p>
    <w:p>
      <w:pPr>
        <w:pStyle w:val="ListParagraph"/>
        <w:numPr>
          <w:ilvl w:val="0"/>
          <w:numId w:val="2"/>
        </w:numPr>
        <w:spacing w:after="80" w:line="290"/>
      </w:pPr>
      <w:r>
        <w:rPr>
          <w:sz w:val="22"/>
          <w:szCs w:val="22"/>
        </w:rPr>
        <w:t xml:space="preserve">Integrar alertas con ITSM (ServiceNow, Jira) y canales de operación (Teams, PagerDuty).</w:t>
      </w:r>
    </w:p>
    <w:p>
      <w:pPr>
        <w:pStyle w:val="ListParagraph"/>
        <w:numPr>
          <w:ilvl w:val="0"/>
          <w:numId w:val="2"/>
        </w:numPr>
        <w:spacing w:after="80" w:line="290"/>
      </w:pPr>
      <w:r>
        <w:rPr>
          <w:sz w:val="22"/>
          <w:szCs w:val="22"/>
        </w:rPr>
        <w:t xml:space="preserve">KPIs recomendados: % éxito de respaldos diarios (&gt;99%), MTTR vs RTO objetivo, % servicios con prueba de restauración vigente.</w:t>
      </w:r>
    </w:p>
    <w:p>
      <w:pPr>
        <w:pStyle w:val="Heading2"/>
        <w:spacing w:after="140" w:before="280"/>
      </w:pPr>
      <w:r>
        <w:rPr>
          <w:b/>
          <w:bCs/>
          <w:color w:val="1F4E79"/>
          <w:sz w:val="26"/>
          <w:szCs w:val="26"/>
        </w:rPr>
        <w:t xml:space="preserve">8.3 Pruebas de restauración (DR Drills)</w:t>
      </w:r>
    </w:p>
    <w:p>
      <w:pPr>
        <w:spacing w:after="120" w:line="300"/>
        <w:jc w:val="both"/>
      </w:pPr>
      <w:r>
        <w:t xml:space="preserve">El respaldo solo es válido si la restauración funciona. Se establece la siguiente cadencia mínima de pruebas: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4660"/>
      </w:tblGrid>
      <w:tr>
        <w:trPr>
          <w:tblHeader/>
        </w:trPr>
        <w:tc>
          <w:tcPr>
            <w:tcW w:type="dxa" w:w="1200"/>
            <w:tcBorders>
              <w:top w:val="single" w:color="0B5394" w:sz="6"/>
              <w:left w:val="single" w:color="0B5394" w:sz="6"/>
              <w:bottom w:val="single" w:color="0B5394" w:sz="6"/>
              <w:right w:val="single" w:color="0B5394" w:sz="6"/>
            </w:tcBorders>
            <w:shd w:fill="0B5394" w:color="auto" w:val="clear"/>
            <w:tcMar>
              <w:top w:type="dxa" w:w="100"/>
              <w:left w:type="dxa" w:w="120"/>
              <w:bottom w:type="dxa" w:w="100"/>
              <w:right w:type="dxa" w:w="120"/>
            </w:tcMar>
          </w:tcPr>
          <w:p>
            <w:pPr>
              <w:jc w:val="left"/>
            </w:pPr>
            <w:r>
              <w:rPr>
                <w:b/>
                <w:bCs/>
                <w:color w:val="FFFFFF"/>
                <w:sz w:val="20"/>
                <w:szCs w:val="20"/>
              </w:rPr>
              <w:t xml:space="preserve">Nivel</w:t>
            </w:r>
          </w:p>
        </w:tc>
        <w:tc>
          <w:tcPr>
            <w:tcW w:type="dxa" w:w="3500"/>
            <w:tcBorders>
              <w:top w:val="single" w:color="0B5394" w:sz="6"/>
              <w:left w:val="single" w:color="0B5394" w:sz="6"/>
              <w:bottom w:val="single" w:color="0B5394" w:sz="6"/>
              <w:right w:val="single" w:color="0B5394" w:sz="6"/>
            </w:tcBorders>
            <w:shd w:fill="0B5394" w:color="auto" w:val="clear"/>
            <w:tcMar>
              <w:top w:type="dxa" w:w="100"/>
              <w:left w:type="dxa" w:w="120"/>
              <w:bottom w:type="dxa" w:w="100"/>
              <w:right w:type="dxa" w:w="120"/>
            </w:tcMar>
          </w:tcPr>
          <w:p>
            <w:pPr>
              <w:jc w:val="left"/>
            </w:pPr>
            <w:r>
              <w:rPr>
                <w:b/>
                <w:bCs/>
                <w:color w:val="FFFFFF"/>
                <w:sz w:val="20"/>
                <w:szCs w:val="20"/>
              </w:rPr>
              <w:t xml:space="preserve">Restauración parcial (archivo / item)</w:t>
            </w:r>
          </w:p>
        </w:tc>
        <w:tc>
          <w:tcPr>
            <w:tcW w:type="dxa" w:w="4660"/>
            <w:tcBorders>
              <w:top w:val="single" w:color="0B5394" w:sz="6"/>
              <w:left w:val="single" w:color="0B5394" w:sz="6"/>
              <w:bottom w:val="single" w:color="0B5394" w:sz="6"/>
              <w:right w:val="single" w:color="0B5394" w:sz="6"/>
            </w:tcBorders>
            <w:shd w:fill="0B5394" w:color="auto" w:val="clear"/>
            <w:tcMar>
              <w:top w:type="dxa" w:w="100"/>
              <w:left w:type="dxa" w:w="120"/>
              <w:bottom w:type="dxa" w:w="100"/>
              <w:right w:type="dxa" w:w="120"/>
            </w:tcMar>
          </w:tcPr>
          <w:p>
            <w:pPr>
              <w:jc w:val="left"/>
            </w:pPr>
            <w:r>
              <w:rPr>
                <w:b/>
                <w:bCs/>
                <w:color w:val="FFFFFF"/>
                <w:sz w:val="20"/>
                <w:szCs w:val="20"/>
              </w:rPr>
              <w:t xml:space="preserve">Restauración completa (DR drill)</w:t>
            </w:r>
          </w:p>
        </w:tc>
      </w:tr>
      <w:tr>
        <w:tc>
          <w:tcPr>
            <w:tcW w:type="dxa" w:w="1200"/>
            <w:tcBorders>
              <w:top w:val="single" w:color="BFBFBF" w:sz="6"/>
              <w:left w:val="single" w:color="BFBFBF" w:sz="6"/>
              <w:bottom w:val="single" w:color="BFBFBF" w:sz="6"/>
              <w:right w:val="single" w:color="BFBFBF" w:sz="6"/>
            </w:tcBorders>
            <w:tcMar>
              <w:top w:type="dxa" w:w="90"/>
              <w:left w:type="dxa" w:w="120"/>
              <w:bottom w:type="dxa" w:w="90"/>
              <w:right w:type="dxa" w:w="120"/>
            </w:tcMar>
          </w:tcPr>
          <w:p>
            <w:pPr>
              <w:spacing w:after="40"/>
              <w:jc w:val="left"/>
            </w:pPr>
            <w:r>
              <w:rPr>
                <w:sz w:val="19"/>
                <w:szCs w:val="19"/>
              </w:rPr>
              <w:t xml:space="preserve">Tier 0</w:t>
            </w:r>
          </w:p>
        </w:tc>
        <w:tc>
          <w:tcPr>
            <w:tcW w:type="dxa" w:w="3500"/>
            <w:tcBorders>
              <w:top w:val="single" w:color="BFBFBF" w:sz="6"/>
              <w:left w:val="single" w:color="BFBFBF" w:sz="6"/>
              <w:bottom w:val="single" w:color="BFBFBF" w:sz="6"/>
              <w:right w:val="single" w:color="BFBFBF" w:sz="6"/>
            </w:tcBorders>
            <w:tcMar>
              <w:top w:type="dxa" w:w="90"/>
              <w:left w:type="dxa" w:w="120"/>
              <w:bottom w:type="dxa" w:w="90"/>
              <w:right w:type="dxa" w:w="120"/>
            </w:tcMar>
          </w:tcPr>
          <w:p>
            <w:pPr>
              <w:spacing w:after="40"/>
              <w:jc w:val="left"/>
            </w:pPr>
            <w:r>
              <w:rPr>
                <w:sz w:val="19"/>
                <w:szCs w:val="19"/>
              </w:rPr>
              <w:t xml:space="preserve">Mensual</w:t>
            </w:r>
          </w:p>
        </w:tc>
        <w:tc>
          <w:tcPr>
            <w:tcW w:type="dxa" w:w="4660"/>
            <w:tcBorders>
              <w:top w:val="single" w:color="BFBFBF" w:sz="6"/>
              <w:left w:val="single" w:color="BFBFBF" w:sz="6"/>
              <w:bottom w:val="single" w:color="BFBFBF" w:sz="6"/>
              <w:right w:val="single" w:color="BFBFBF" w:sz="6"/>
            </w:tcBorders>
            <w:tcMar>
              <w:top w:type="dxa" w:w="90"/>
              <w:left w:type="dxa" w:w="120"/>
              <w:bottom w:type="dxa" w:w="90"/>
              <w:right w:type="dxa" w:w="120"/>
            </w:tcMar>
          </w:tcPr>
          <w:p>
            <w:pPr>
              <w:spacing w:after="40"/>
              <w:jc w:val="left"/>
            </w:pPr>
            <w:r>
              <w:rPr>
                <w:sz w:val="19"/>
                <w:szCs w:val="19"/>
              </w:rPr>
              <w:t xml:space="preserve">Trimestral (con failover regional)</w:t>
            </w:r>
          </w:p>
        </w:tc>
      </w:tr>
      <w:tr>
        <w:tc>
          <w:tcPr>
            <w:tcW w:type="dxa" w:w="1200"/>
            <w:tcBorders>
              <w:top w:val="single" w:color="BFBFBF" w:sz="6"/>
              <w:left w:val="single" w:color="BFBFBF" w:sz="6"/>
              <w:bottom w:val="single" w:color="BFBFBF" w:sz="6"/>
              <w:right w:val="single" w:color="BFBFBF" w:sz="6"/>
            </w:tcBorders>
            <w:shd w:fill="F2F2F2" w:color="auto" w:val="clear"/>
            <w:tcMar>
              <w:top w:type="dxa" w:w="90"/>
              <w:left w:type="dxa" w:w="120"/>
              <w:bottom w:type="dxa" w:w="90"/>
              <w:right w:type="dxa" w:w="120"/>
            </w:tcMar>
          </w:tcPr>
          <w:p>
            <w:pPr>
              <w:spacing w:after="40"/>
              <w:jc w:val="left"/>
            </w:pPr>
            <w:r>
              <w:rPr>
                <w:sz w:val="19"/>
                <w:szCs w:val="19"/>
              </w:rPr>
              <w:t xml:space="preserve">Tier 1</w:t>
            </w:r>
          </w:p>
        </w:tc>
        <w:tc>
          <w:tcPr>
            <w:tcW w:type="dxa" w:w="3500"/>
            <w:tcBorders>
              <w:top w:val="single" w:color="BFBFBF" w:sz="6"/>
              <w:left w:val="single" w:color="BFBFBF" w:sz="6"/>
              <w:bottom w:val="single" w:color="BFBFBF" w:sz="6"/>
              <w:right w:val="single" w:color="BFBFBF" w:sz="6"/>
            </w:tcBorders>
            <w:shd w:fill="F2F2F2" w:color="auto" w:val="clear"/>
            <w:tcMar>
              <w:top w:type="dxa" w:w="90"/>
              <w:left w:type="dxa" w:w="120"/>
              <w:bottom w:type="dxa" w:w="90"/>
              <w:right w:type="dxa" w:w="120"/>
            </w:tcMar>
          </w:tcPr>
          <w:p>
            <w:pPr>
              <w:spacing w:after="40"/>
              <w:jc w:val="left"/>
            </w:pPr>
            <w:r>
              <w:rPr>
                <w:sz w:val="19"/>
                <w:szCs w:val="19"/>
              </w:rPr>
              <w:t xml:space="preserve">Trimestral</w:t>
            </w:r>
          </w:p>
        </w:tc>
        <w:tc>
          <w:tcPr>
            <w:tcW w:type="dxa" w:w="4660"/>
            <w:tcBorders>
              <w:top w:val="single" w:color="BFBFBF" w:sz="6"/>
              <w:left w:val="single" w:color="BFBFBF" w:sz="6"/>
              <w:bottom w:val="single" w:color="BFBFBF" w:sz="6"/>
              <w:right w:val="single" w:color="BFBFBF" w:sz="6"/>
            </w:tcBorders>
            <w:shd w:fill="F2F2F2" w:color="auto" w:val="clear"/>
            <w:tcMar>
              <w:top w:type="dxa" w:w="90"/>
              <w:left w:type="dxa" w:w="120"/>
              <w:bottom w:type="dxa" w:w="90"/>
              <w:right w:type="dxa" w:w="120"/>
            </w:tcMar>
          </w:tcPr>
          <w:p>
            <w:pPr>
              <w:spacing w:after="40"/>
              <w:jc w:val="left"/>
            </w:pPr>
            <w:r>
              <w:rPr>
                <w:sz w:val="19"/>
                <w:szCs w:val="19"/>
              </w:rPr>
              <w:t xml:space="preserve">Semestral</w:t>
            </w:r>
          </w:p>
        </w:tc>
      </w:tr>
      <w:tr>
        <w:tc>
          <w:tcPr>
            <w:tcW w:type="dxa" w:w="1200"/>
            <w:tcBorders>
              <w:top w:val="single" w:color="BFBFBF" w:sz="6"/>
              <w:left w:val="single" w:color="BFBFBF" w:sz="6"/>
              <w:bottom w:val="single" w:color="BFBFBF" w:sz="6"/>
              <w:right w:val="single" w:color="BFBFBF" w:sz="6"/>
            </w:tcBorders>
            <w:tcMar>
              <w:top w:type="dxa" w:w="90"/>
              <w:left w:type="dxa" w:w="120"/>
              <w:bottom w:type="dxa" w:w="90"/>
              <w:right w:type="dxa" w:w="120"/>
            </w:tcMar>
          </w:tcPr>
          <w:p>
            <w:pPr>
              <w:spacing w:after="40"/>
              <w:jc w:val="left"/>
            </w:pPr>
            <w:r>
              <w:rPr>
                <w:sz w:val="19"/>
                <w:szCs w:val="19"/>
              </w:rPr>
              <w:t xml:space="preserve">Tier 2</w:t>
            </w:r>
          </w:p>
        </w:tc>
        <w:tc>
          <w:tcPr>
            <w:tcW w:type="dxa" w:w="3500"/>
            <w:tcBorders>
              <w:top w:val="single" w:color="BFBFBF" w:sz="6"/>
              <w:left w:val="single" w:color="BFBFBF" w:sz="6"/>
              <w:bottom w:val="single" w:color="BFBFBF" w:sz="6"/>
              <w:right w:val="single" w:color="BFBFBF" w:sz="6"/>
            </w:tcBorders>
            <w:tcMar>
              <w:top w:type="dxa" w:w="90"/>
              <w:left w:type="dxa" w:w="120"/>
              <w:bottom w:type="dxa" w:w="90"/>
              <w:right w:type="dxa" w:w="120"/>
            </w:tcMar>
          </w:tcPr>
          <w:p>
            <w:pPr>
              <w:spacing w:after="40"/>
              <w:jc w:val="left"/>
            </w:pPr>
            <w:r>
              <w:rPr>
                <w:sz w:val="19"/>
                <w:szCs w:val="19"/>
              </w:rPr>
              <w:t xml:space="preserve">Semestral</w:t>
            </w:r>
          </w:p>
        </w:tc>
        <w:tc>
          <w:tcPr>
            <w:tcW w:type="dxa" w:w="4660"/>
            <w:tcBorders>
              <w:top w:val="single" w:color="BFBFBF" w:sz="6"/>
              <w:left w:val="single" w:color="BFBFBF" w:sz="6"/>
              <w:bottom w:val="single" w:color="BFBFBF" w:sz="6"/>
              <w:right w:val="single" w:color="BFBFBF" w:sz="6"/>
            </w:tcBorders>
            <w:tcMar>
              <w:top w:type="dxa" w:w="90"/>
              <w:left w:type="dxa" w:w="120"/>
              <w:bottom w:type="dxa" w:w="90"/>
              <w:right w:type="dxa" w:w="120"/>
            </w:tcMar>
          </w:tcPr>
          <w:p>
            <w:pPr>
              <w:spacing w:after="40"/>
              <w:jc w:val="left"/>
            </w:pPr>
            <w:r>
              <w:rPr>
                <w:sz w:val="19"/>
                <w:szCs w:val="19"/>
              </w:rPr>
              <w:t xml:space="preserve">Anual</w:t>
            </w:r>
          </w:p>
        </w:tc>
      </w:tr>
      <w:tr>
        <w:tc>
          <w:tcPr>
            <w:tcW w:type="dxa" w:w="1200"/>
            <w:tcBorders>
              <w:top w:val="single" w:color="BFBFBF" w:sz="6"/>
              <w:left w:val="single" w:color="BFBFBF" w:sz="6"/>
              <w:bottom w:val="single" w:color="BFBFBF" w:sz="6"/>
              <w:right w:val="single" w:color="BFBFBF" w:sz="6"/>
            </w:tcBorders>
            <w:shd w:fill="F2F2F2" w:color="auto" w:val="clear"/>
            <w:tcMar>
              <w:top w:type="dxa" w:w="90"/>
              <w:left w:type="dxa" w:w="120"/>
              <w:bottom w:type="dxa" w:w="90"/>
              <w:right w:type="dxa" w:w="120"/>
            </w:tcMar>
          </w:tcPr>
          <w:p>
            <w:pPr>
              <w:spacing w:after="40"/>
              <w:jc w:val="left"/>
            </w:pPr>
            <w:r>
              <w:rPr>
                <w:sz w:val="19"/>
                <w:szCs w:val="19"/>
              </w:rPr>
              <w:t xml:space="preserve">Tier 3</w:t>
            </w:r>
          </w:p>
        </w:tc>
        <w:tc>
          <w:tcPr>
            <w:tcW w:type="dxa" w:w="3500"/>
            <w:tcBorders>
              <w:top w:val="single" w:color="BFBFBF" w:sz="6"/>
              <w:left w:val="single" w:color="BFBFBF" w:sz="6"/>
              <w:bottom w:val="single" w:color="BFBFBF" w:sz="6"/>
              <w:right w:val="single" w:color="BFBFBF" w:sz="6"/>
            </w:tcBorders>
            <w:shd w:fill="F2F2F2" w:color="auto" w:val="clear"/>
            <w:tcMar>
              <w:top w:type="dxa" w:w="90"/>
              <w:left w:type="dxa" w:w="120"/>
              <w:bottom w:type="dxa" w:w="90"/>
              <w:right w:type="dxa" w:w="120"/>
            </w:tcMar>
          </w:tcPr>
          <w:p>
            <w:pPr>
              <w:spacing w:after="40"/>
              <w:jc w:val="left"/>
            </w:pPr>
            <w:r>
              <w:rPr>
                <w:sz w:val="19"/>
                <w:szCs w:val="19"/>
              </w:rPr>
              <w:t xml:space="preserve">Anual</w:t>
            </w:r>
          </w:p>
        </w:tc>
        <w:tc>
          <w:tcPr>
            <w:tcW w:type="dxa" w:w="4660"/>
            <w:tcBorders>
              <w:top w:val="single" w:color="BFBFBF" w:sz="6"/>
              <w:left w:val="single" w:color="BFBFBF" w:sz="6"/>
              <w:bottom w:val="single" w:color="BFBFBF" w:sz="6"/>
              <w:right w:val="single" w:color="BFBFBF" w:sz="6"/>
            </w:tcBorders>
            <w:shd w:fill="F2F2F2" w:color="auto" w:val="clear"/>
            <w:tcMar>
              <w:top w:type="dxa" w:w="90"/>
              <w:left w:type="dxa" w:w="120"/>
              <w:bottom w:type="dxa" w:w="90"/>
              <w:right w:type="dxa" w:w="120"/>
            </w:tcMar>
          </w:tcPr>
          <w:p>
            <w:pPr>
              <w:spacing w:after="40"/>
              <w:jc w:val="left"/>
            </w:pPr>
            <w:r>
              <w:rPr>
                <w:sz w:val="19"/>
                <w:szCs w:val="19"/>
              </w:rPr>
              <w:t xml:space="preserve">Bajo demanda</w:t>
            </w:r>
          </w:p>
        </w:tc>
      </w:tr>
    </w:tbl>
    <w:p>
      <w:pPr>
        <w:spacing w:after="100"/>
      </w:pPr>
      <w:r>
        <w:t xml:space="preserve"/>
      </w:r>
    </w:p>
    <w:p>
      <w:pPr>
        <w:pStyle w:val="ListParagraph"/>
        <w:numPr>
          <w:ilvl w:val="0"/>
          <w:numId w:val="2"/>
        </w:numPr>
        <w:spacing w:after="80" w:line="290"/>
      </w:pPr>
      <w:r>
        <w:rPr>
          <w:sz w:val="22"/>
          <w:szCs w:val="22"/>
        </w:rPr>
        <w:t xml:space="preserve">Documentar cada prueba: alcance, punto restaurado, MTTR medido, brechas identificadas, plan de acción.</w:t>
      </w:r>
    </w:p>
    <w:p>
      <w:pPr>
        <w:pStyle w:val="ListParagraph"/>
        <w:numPr>
          <w:ilvl w:val="0"/>
          <w:numId w:val="2"/>
        </w:numPr>
        <w:spacing w:after="80" w:line="290"/>
      </w:pPr>
      <w:r>
        <w:rPr>
          <w:sz w:val="22"/>
          <w:szCs w:val="22"/>
        </w:rPr>
        <w:t xml:space="preserve">Idealmente realizar las pruebas en suscripción de DR para no impactar producción.</w:t>
      </w:r>
    </w:p>
    <w:p>
      <w:pPr>
        <w:pStyle w:val="ListParagraph"/>
        <w:numPr>
          <w:ilvl w:val="0"/>
          <w:numId w:val="2"/>
        </w:numPr>
        <w:spacing w:after="80" w:line="290"/>
      </w:pPr>
      <w:r>
        <w:rPr>
          <w:sz w:val="22"/>
          <w:szCs w:val="22"/>
        </w:rPr>
        <w:t xml:space="preserve">Ante incumplimiento del RTO objetivo en una prueba, abrir hallazgo formal y replanificar.</w:t>
      </w:r>
    </w:p>
    <w:p>
      <w:r>
        <w:br w:type="page"/>
      </w:r>
    </w:p>
    <w:p>
      <w:pPr>
        <w:pStyle w:val="Heading1"/>
        <w:spacing w:after="200" w:before="360"/>
      </w:pPr>
      <w:r>
        <w:rPr>
          <w:b/>
          <w:bCs/>
          <w:color w:val="0B5394"/>
          <w:sz w:val="32"/>
          <w:szCs w:val="32"/>
        </w:rPr>
        <w:t xml:space="preserve">9. Seguridad del Respaldo</w:t>
      </w:r>
    </w:p>
    <w:p>
      <w:pPr>
        <w:spacing w:after="120" w:line="300"/>
        <w:jc w:val="both"/>
      </w:pPr>
      <w:r>
        <w:t xml:space="preserve">Los respaldos son objetivo prioritario en ataques de ransomware. Su protección requiere controles específicos que van más allá del cifrado en reposo.</w:t>
      </w:r>
    </w:p>
    <w:p>
      <w:pPr>
        <w:pStyle w:val="Heading2"/>
        <w:spacing w:after="140" w:before="280"/>
      </w:pPr>
      <w:r>
        <w:rPr>
          <w:b/>
          <w:bCs/>
          <w:color w:val="1F4E79"/>
          <w:sz w:val="26"/>
          <w:szCs w:val="26"/>
        </w:rPr>
        <w:t xml:space="preserve">9.1 Controles obligatorios</w:t>
      </w:r>
    </w:p>
    <w:p>
      <w:pPr>
        <w:pStyle w:val="ListParagraph"/>
        <w:numPr>
          <w:ilvl w:val="0"/>
          <w:numId w:val="2"/>
        </w:numPr>
        <w:spacing w:after="80" w:line="290"/>
      </w:pPr>
      <w:r>
        <w:rPr>
          <w:sz w:val="22"/>
          <w:szCs w:val="22"/>
        </w:rPr>
        <w:t xml:space="preserve">Soft Delete habilitado en todos los Recovery Services y Backup Vaults (mínimo 14 días, recomendado 30).</w:t>
      </w:r>
    </w:p>
    <w:p>
      <w:pPr>
        <w:pStyle w:val="ListParagraph"/>
        <w:numPr>
          <w:ilvl w:val="0"/>
          <w:numId w:val="2"/>
        </w:numPr>
        <w:spacing w:after="80" w:line="290"/>
      </w:pPr>
      <w:r>
        <w:rPr>
          <w:sz w:val="22"/>
          <w:szCs w:val="22"/>
        </w:rPr>
        <w:t xml:space="preserve">Immutable Vault: bloquea operaciones destructivas (eliminar respaldos, reducir retención).</w:t>
      </w:r>
    </w:p>
    <w:p>
      <w:pPr>
        <w:pStyle w:val="ListParagraph"/>
        <w:numPr>
          <w:ilvl w:val="0"/>
          <w:numId w:val="2"/>
        </w:numPr>
        <w:spacing w:after="80" w:line="290"/>
      </w:pPr>
      <w:r>
        <w:rPr>
          <w:sz w:val="22"/>
          <w:szCs w:val="22"/>
        </w:rPr>
        <w:t xml:space="preserve">Multi-User Authorization (MUA) mediante Resource Guard para operaciones críticas.</w:t>
      </w:r>
    </w:p>
    <w:p>
      <w:pPr>
        <w:pStyle w:val="ListParagraph"/>
        <w:numPr>
          <w:ilvl w:val="0"/>
          <w:numId w:val="2"/>
        </w:numPr>
        <w:spacing w:after="80" w:line="290"/>
      </w:pPr>
      <w:r>
        <w:rPr>
          <w:sz w:val="22"/>
          <w:szCs w:val="22"/>
        </w:rPr>
        <w:t xml:space="preserve">Cifrado en reposo con Customer-Managed Keys (CMK) almacenadas en Key Vault con Soft Delete + Purge Protection.</w:t>
      </w:r>
    </w:p>
    <w:p>
      <w:pPr>
        <w:pStyle w:val="ListParagraph"/>
        <w:numPr>
          <w:ilvl w:val="0"/>
          <w:numId w:val="2"/>
        </w:numPr>
        <w:spacing w:after="80" w:line="290"/>
      </w:pPr>
      <w:r>
        <w:rPr>
          <w:sz w:val="22"/>
          <w:szCs w:val="22"/>
        </w:rPr>
        <w:t xml:space="preserve">Cifrado en tránsito con TLS 1.2+ (verificar configuración del Storage Account de respaldos).</w:t>
      </w:r>
    </w:p>
    <w:p>
      <w:pPr>
        <w:pStyle w:val="ListParagraph"/>
        <w:numPr>
          <w:ilvl w:val="0"/>
          <w:numId w:val="2"/>
        </w:numPr>
        <w:spacing w:after="80" w:line="290"/>
      </w:pPr>
      <w:r>
        <w:rPr>
          <w:sz w:val="22"/>
          <w:szCs w:val="22"/>
        </w:rPr>
        <w:t xml:space="preserve">Identidades gestionadas (Managed Identity) para operaciones de respaldo; evitar credenciales en scripts.</w:t>
      </w:r>
    </w:p>
    <w:p>
      <w:pPr>
        <w:pStyle w:val="ListParagraph"/>
        <w:numPr>
          <w:ilvl w:val="0"/>
          <w:numId w:val="2"/>
        </w:numPr>
        <w:spacing w:after="80" w:line="290"/>
      </w:pPr>
      <w:r>
        <w:rPr>
          <w:sz w:val="22"/>
          <w:szCs w:val="22"/>
        </w:rPr>
        <w:t xml:space="preserve">Network isolation: Private Endpoints para vaults y storage de respaldos cuando aplique.</w:t>
      </w:r>
    </w:p>
    <w:p>
      <w:pPr>
        <w:pStyle w:val="ListParagraph"/>
        <w:numPr>
          <w:ilvl w:val="0"/>
          <w:numId w:val="2"/>
        </w:numPr>
        <w:spacing w:after="80" w:line="290"/>
      </w:pPr>
      <w:r>
        <w:rPr>
          <w:sz w:val="22"/>
          <w:szCs w:val="22"/>
        </w:rPr>
        <w:t xml:space="preserve">Separación de cuentas: la identidad que administra producción no debe poder borrar respaldos sin aprobación MUA.</w:t>
      </w:r>
    </w:p>
    <w:p>
      <w:pPr>
        <w:pStyle w:val="Heading2"/>
        <w:spacing w:after="140" w:before="280"/>
      </w:pPr>
      <w:r>
        <w:rPr>
          <w:b/>
          <w:bCs/>
          <w:color w:val="1F4E79"/>
          <w:sz w:val="26"/>
          <w:szCs w:val="26"/>
        </w:rPr>
        <w:t xml:space="preserve">9.2 Defensa anti-ransomware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18"/>
              <w:bottom w:val="single" w:color="2E75B6" w:sz="6"/>
              <w:right w:val="single" w:color="2E75B6" w:sz="6"/>
            </w:tcBorders>
            <w:shd w:fill="D9E2F3" w:color="auto" w:val="clear"/>
            <w:tcMar>
              <w:top w:type="dxa" w:w="140"/>
              <w:left w:type="dxa" w:w="200"/>
              <w:bottom w:type="dxa" w:w="140"/>
              <w:right w:type="dxa" w:w="160"/>
            </w:tcMar>
          </w:tcPr>
          <w:p>
            <w:pPr>
              <w:spacing w:after="80"/>
            </w:pPr>
            <w:r>
              <w:rPr>
                <w:b/>
                <w:bCs/>
                <w:color w:val="1F4E79"/>
                <w:sz w:val="22"/>
                <w:szCs w:val="22"/>
              </w:rPr>
              <w:t xml:space="preserve">Modelo 3-2-1-1-0</w:t>
            </w:r>
          </w:p>
          <w:p>
            <w:pPr>
              <w:spacing w:after="60" w:line="280"/>
              <w:jc w:val="both"/>
            </w:pPr>
            <w:r>
              <w:rPr>
                <w:sz w:val="20"/>
                <w:szCs w:val="20"/>
              </w:rPr>
              <w:t xml:space="preserve">3 copias de los datos: la productiva más dos respaldos.</w:t>
            </w:r>
          </w:p>
          <w:p>
            <w:pPr>
              <w:spacing w:after="60" w:line="280"/>
              <w:jc w:val="both"/>
            </w:pPr>
            <w:r>
              <w:rPr>
                <w:sz w:val="20"/>
                <w:szCs w:val="20"/>
              </w:rPr>
              <w:t xml:space="preserve">2 tipos de medios o ubicaciones distintas (vault gestionado + storage tier archive).</w:t>
            </w:r>
          </w:p>
          <w:p>
            <w:pPr>
              <w:spacing w:after="60" w:line="280"/>
              <w:jc w:val="both"/>
            </w:pPr>
            <w:r>
              <w:rPr>
                <w:sz w:val="20"/>
                <w:szCs w:val="20"/>
              </w:rPr>
              <w:t xml:space="preserve">1 copia geográficamente separada (GRS / GZRS / región pareada).</w:t>
            </w:r>
          </w:p>
          <w:p>
            <w:pPr>
              <w:spacing w:after="60" w:line="280"/>
              <w:jc w:val="both"/>
            </w:pPr>
            <w:r>
              <w:rPr>
                <w:sz w:val="20"/>
                <w:szCs w:val="20"/>
              </w:rPr>
              <w:t xml:space="preserve">1 copia inmutable y aislada (Immutable Vault + MUA).</w:t>
            </w:r>
          </w:p>
          <w:p>
            <w:pPr>
              <w:spacing w:after="60" w:line="280"/>
              <w:jc w:val="both"/>
            </w:pPr>
            <w:r>
              <w:rPr>
                <w:sz w:val="20"/>
                <w:szCs w:val="20"/>
              </w:rPr>
              <w:t xml:space="preserve">0 errores tras una prueba de restauración (verificación regular).</w:t>
            </w:r>
          </w:p>
        </w:tc>
      </w:tr>
    </w:tbl>
    <w:p>
      <w:r>
        <w:br w:type="page"/>
      </w:r>
    </w:p>
    <w:p>
      <w:pPr>
        <w:pStyle w:val="Heading1"/>
        <w:spacing w:after="200" w:before="360"/>
      </w:pPr>
      <w:r>
        <w:rPr>
          <w:b/>
          <w:bCs/>
          <w:color w:val="0B5394"/>
          <w:sz w:val="32"/>
          <w:szCs w:val="32"/>
        </w:rPr>
        <w:t xml:space="preserve">10. Consideraciones de Costo</w:t>
      </w:r>
    </w:p>
    <w:p>
      <w:pPr>
        <w:spacing w:after="120" w:line="300"/>
        <w:jc w:val="both"/>
      </w:pPr>
      <w:r>
        <w:t xml:space="preserve">El costo de la estrategia de respaldo se compone principalmente de: el almacenamiento consumido en vaults / storage, las operaciones de respaldo facturadas por instancia protegida (por ejemplo, Azure Backup cobra por VM/BD protegida), y el tráfico cross-region en escenarios GRS / CRR.</w:t>
      </w:r>
    </w:p>
    <w:p>
      <w:pPr>
        <w:pStyle w:val="Heading2"/>
        <w:spacing w:after="140" w:before="280"/>
      </w:pPr>
      <w:r>
        <w:rPr>
          <w:b/>
          <w:bCs/>
          <w:color w:val="1F4E79"/>
          <w:sz w:val="26"/>
          <w:szCs w:val="26"/>
        </w:rPr>
        <w:t xml:space="preserve">10.1 Palancas de optimización</w:t>
      </w:r>
    </w:p>
    <w:p>
      <w:pPr>
        <w:pStyle w:val="ListParagraph"/>
        <w:numPr>
          <w:ilvl w:val="0"/>
          <w:numId w:val="2"/>
        </w:numPr>
        <w:spacing w:after="80" w:line="290"/>
      </w:pPr>
      <w:r>
        <w:rPr>
          <w:sz w:val="22"/>
          <w:szCs w:val="22"/>
        </w:rPr>
        <w:t xml:space="preserve">Ajustar la retención al mínimo regulatorio efectivo; cada día adicional incrementa el storage.</w:t>
      </w:r>
    </w:p>
    <w:p>
      <w:pPr>
        <w:pStyle w:val="ListParagraph"/>
        <w:numPr>
          <w:ilvl w:val="0"/>
          <w:numId w:val="2"/>
        </w:numPr>
        <w:spacing w:after="80" w:line="290"/>
      </w:pPr>
      <w:r>
        <w:rPr>
          <w:sz w:val="22"/>
          <w:szCs w:val="22"/>
        </w:rPr>
        <w:t xml:space="preserve">Usar tier Archive para retenciones largas (&gt;180 días) en blobs y backups vaulted.</w:t>
      </w:r>
    </w:p>
    <w:p>
      <w:pPr>
        <w:pStyle w:val="ListParagraph"/>
        <w:numPr>
          <w:ilvl w:val="0"/>
          <w:numId w:val="2"/>
        </w:numPr>
        <w:spacing w:after="80" w:line="290"/>
      </w:pPr>
      <w:r>
        <w:rPr>
          <w:sz w:val="22"/>
          <w:szCs w:val="22"/>
        </w:rPr>
        <w:t xml:space="preserve">Aprovechar Reserved Capacity de Backup Storage (1 o 3 años) cuando el consumo sea predecible: ahorro de hasta ~17-25%.</w:t>
      </w:r>
    </w:p>
    <w:p>
      <w:pPr>
        <w:pStyle w:val="ListParagraph"/>
        <w:numPr>
          <w:ilvl w:val="0"/>
          <w:numId w:val="2"/>
        </w:numPr>
        <w:spacing w:after="80" w:line="290"/>
      </w:pPr>
      <w:r>
        <w:rPr>
          <w:sz w:val="22"/>
          <w:szCs w:val="22"/>
        </w:rPr>
        <w:t xml:space="preserve">Para Tier 3 y desarrollo: usar LRS y políticas mínimas (un snapshot diario, 7-14 días de retención).</w:t>
      </w:r>
    </w:p>
    <w:p>
      <w:pPr>
        <w:pStyle w:val="ListParagraph"/>
        <w:numPr>
          <w:ilvl w:val="0"/>
          <w:numId w:val="2"/>
        </w:numPr>
        <w:spacing w:after="80" w:line="290"/>
      </w:pPr>
      <w:r>
        <w:rPr>
          <w:sz w:val="22"/>
          <w:szCs w:val="22"/>
        </w:rPr>
        <w:t xml:space="preserve">Eliminar protección de recursos decomisionados; revisar Backup Items huérfanos mensualmente.</w:t>
      </w:r>
    </w:p>
    <w:p>
      <w:pPr>
        <w:pStyle w:val="ListParagraph"/>
        <w:numPr>
          <w:ilvl w:val="0"/>
          <w:numId w:val="2"/>
        </w:numPr>
        <w:spacing w:after="80" w:line="290"/>
      </w:pPr>
      <w:r>
        <w:rPr>
          <w:sz w:val="22"/>
          <w:szCs w:val="22"/>
        </w:rPr>
        <w:t xml:space="preserve">Revisar volumetría real vs. la facturada al menos cada trimestre con Cost Management + Backup Reports.</w:t>
      </w:r>
    </w:p>
    <w:p>
      <w:pPr>
        <w:pStyle w:val="Heading1"/>
        <w:spacing w:after="200" w:before="360"/>
      </w:pPr>
      <w:r>
        <w:rPr>
          <w:b/>
          <w:bCs/>
          <w:color w:val="0B5394"/>
          <w:sz w:val="32"/>
          <w:szCs w:val="32"/>
        </w:rPr>
        <w:t xml:space="preserve">11. Mejores Prácticas y Recomendaciones Finales</w:t>
      </w:r>
    </w:p>
    <w:p>
      <w:pPr>
        <w:pStyle w:val="Heading2"/>
        <w:spacing w:after="140" w:before="280"/>
      </w:pPr>
      <w:r>
        <w:rPr>
          <w:b/>
          <w:bCs/>
          <w:color w:val="1F4E79"/>
          <w:sz w:val="26"/>
          <w:szCs w:val="26"/>
        </w:rPr>
        <w:t xml:space="preserve">11.1 Diseño</w:t>
      </w:r>
    </w:p>
    <w:p>
      <w:pPr>
        <w:pStyle w:val="ListParagraph"/>
        <w:numPr>
          <w:ilvl w:val="0"/>
          <w:numId w:val="2"/>
        </w:numPr>
        <w:spacing w:after="80" w:line="290"/>
      </w:pPr>
      <w:r>
        <w:rPr>
          <w:sz w:val="22"/>
          <w:szCs w:val="22"/>
        </w:rPr>
        <w:t xml:space="preserve">Privilegiar servicios PaaS con respaldo nativo sobre IaaS cuando sea viable.</w:t>
      </w:r>
    </w:p>
    <w:p>
      <w:pPr>
        <w:pStyle w:val="ListParagraph"/>
        <w:numPr>
          <w:ilvl w:val="0"/>
          <w:numId w:val="2"/>
        </w:numPr>
        <w:spacing w:after="80" w:line="290"/>
      </w:pPr>
      <w:r>
        <w:rPr>
          <w:sz w:val="22"/>
          <w:szCs w:val="22"/>
        </w:rPr>
        <w:t xml:space="preserve">Implementar Infraestructura como Código (IaC) y Disaster Recovery como Código: la capacidad de reaprovisionar es complementaria al respaldo de datos.</w:t>
      </w:r>
    </w:p>
    <w:p>
      <w:pPr>
        <w:pStyle w:val="ListParagraph"/>
        <w:numPr>
          <w:ilvl w:val="0"/>
          <w:numId w:val="2"/>
        </w:numPr>
        <w:spacing w:after="80" w:line="290"/>
      </w:pPr>
      <w:r>
        <w:rPr>
          <w:sz w:val="22"/>
          <w:szCs w:val="22"/>
        </w:rPr>
        <w:t xml:space="preserve">Diseñar aplicaciones idempotentes y desacopladas (stateless donde sea posible) para facilitar restauración.</w:t>
      </w:r>
    </w:p>
    <w:p>
      <w:pPr>
        <w:pStyle w:val="ListParagraph"/>
        <w:numPr>
          <w:ilvl w:val="0"/>
          <w:numId w:val="2"/>
        </w:numPr>
        <w:spacing w:after="80" w:line="290"/>
      </w:pPr>
      <w:r>
        <w:rPr>
          <w:sz w:val="22"/>
          <w:szCs w:val="22"/>
        </w:rPr>
        <w:t xml:space="preserve">Mantener inventario actualizado en CMDB / Azure Resource Graph para correlacionar componentes con su política.</w:t>
      </w:r>
    </w:p>
    <w:p>
      <w:pPr>
        <w:pStyle w:val="Heading2"/>
        <w:spacing w:after="140" w:before="280"/>
      </w:pPr>
      <w:r>
        <w:rPr>
          <w:b/>
          <w:bCs/>
          <w:color w:val="1F4E79"/>
          <w:sz w:val="26"/>
          <w:szCs w:val="26"/>
        </w:rPr>
        <w:t xml:space="preserve">11.2 Operación</w:t>
      </w:r>
    </w:p>
    <w:p>
      <w:pPr>
        <w:pStyle w:val="ListParagraph"/>
        <w:numPr>
          <w:ilvl w:val="0"/>
          <w:numId w:val="2"/>
        </w:numPr>
        <w:spacing w:after="80" w:line="290"/>
      </w:pPr>
      <w:r>
        <w:rPr>
          <w:sz w:val="22"/>
          <w:szCs w:val="22"/>
        </w:rPr>
        <w:t xml:space="preserve">Centralizar la operación de respaldo en Backup Center; evitar gestión por equipos individuales descoordinados.</w:t>
      </w:r>
    </w:p>
    <w:p>
      <w:pPr>
        <w:pStyle w:val="ListParagraph"/>
        <w:numPr>
          <w:ilvl w:val="0"/>
          <w:numId w:val="2"/>
        </w:numPr>
        <w:spacing w:after="80" w:line="290"/>
      </w:pPr>
      <w:r>
        <w:rPr>
          <w:sz w:val="22"/>
          <w:szCs w:val="22"/>
        </w:rPr>
        <w:t xml:space="preserve">Definir ventanas de respaldo fuera de horas pico de la aplicación.</w:t>
      </w:r>
    </w:p>
    <w:p>
      <w:pPr>
        <w:pStyle w:val="ListParagraph"/>
        <w:numPr>
          <w:ilvl w:val="0"/>
          <w:numId w:val="2"/>
        </w:numPr>
        <w:spacing w:after="80" w:line="290"/>
      </w:pPr>
      <w:r>
        <w:rPr>
          <w:sz w:val="22"/>
          <w:szCs w:val="22"/>
        </w:rPr>
        <w:t xml:space="preserve">Validar consistencia con aplicación (VSS, pre/post-scripts) y no solo con sistema de archivos.</w:t>
      </w:r>
    </w:p>
    <w:p>
      <w:pPr>
        <w:pStyle w:val="ListParagraph"/>
        <w:numPr>
          <w:ilvl w:val="0"/>
          <w:numId w:val="2"/>
        </w:numPr>
        <w:spacing w:after="80" w:line="290"/>
      </w:pPr>
      <w:r>
        <w:rPr>
          <w:sz w:val="22"/>
          <w:szCs w:val="22"/>
        </w:rPr>
        <w:t xml:space="preserve">Mantener catálogo público de runbooks accesible al equipo on-call.</w:t>
      </w:r>
    </w:p>
    <w:p>
      <w:pPr>
        <w:pStyle w:val="Heading2"/>
        <w:spacing w:after="140" w:before="280"/>
      </w:pPr>
      <w:r>
        <w:rPr>
          <w:b/>
          <w:bCs/>
          <w:color w:val="1F4E79"/>
          <w:sz w:val="26"/>
          <w:szCs w:val="26"/>
        </w:rPr>
        <w:t xml:space="preserve">11.3 Cumplimiento y auditoría</w:t>
      </w:r>
    </w:p>
    <w:p>
      <w:pPr>
        <w:pStyle w:val="ListParagraph"/>
        <w:numPr>
          <w:ilvl w:val="0"/>
          <w:numId w:val="2"/>
        </w:numPr>
        <w:spacing w:after="80" w:line="290"/>
      </w:pPr>
      <w:r>
        <w:rPr>
          <w:sz w:val="22"/>
          <w:szCs w:val="22"/>
        </w:rPr>
        <w:t xml:space="preserve">Mapear la estrategia contra marcos aplicables (ISO 27001, SOC 2, PCI-DSS, GDPR, regulación sectorial).</w:t>
      </w:r>
    </w:p>
    <w:p>
      <w:pPr>
        <w:pStyle w:val="ListParagraph"/>
        <w:numPr>
          <w:ilvl w:val="0"/>
          <w:numId w:val="2"/>
        </w:numPr>
        <w:spacing w:after="80" w:line="290"/>
      </w:pPr>
      <w:r>
        <w:rPr>
          <w:sz w:val="22"/>
          <w:szCs w:val="22"/>
        </w:rPr>
        <w:t xml:space="preserve">Generar evidencia automática de respaldos exitosos para auditorías.</w:t>
      </w:r>
    </w:p>
    <w:p>
      <w:pPr>
        <w:pStyle w:val="ListParagraph"/>
        <w:numPr>
          <w:ilvl w:val="0"/>
          <w:numId w:val="2"/>
        </w:numPr>
        <w:spacing w:after="80" w:line="290"/>
      </w:pPr>
      <w:r>
        <w:rPr>
          <w:sz w:val="22"/>
          <w:szCs w:val="22"/>
        </w:rPr>
        <w:t xml:space="preserve">Documentar las excepciones formalmente, con justificación, riesgo asociado y plazo de cierre.</w:t>
      </w:r>
    </w:p>
    <w:p>
      <w:pPr>
        <w:pStyle w:val="Heading2"/>
        <w:spacing w:after="140" w:before="280"/>
      </w:pPr>
      <w:r>
        <w:rPr>
          <w:b/>
          <w:bCs/>
          <w:color w:val="1F4E79"/>
          <w:sz w:val="26"/>
          <w:szCs w:val="26"/>
        </w:rPr>
        <w:t xml:space="preserve">11.4 Cultura</w:t>
      </w:r>
    </w:p>
    <w:p>
      <w:pPr>
        <w:pStyle w:val="ListParagraph"/>
        <w:numPr>
          <w:ilvl w:val="0"/>
          <w:numId w:val="2"/>
        </w:numPr>
        <w:spacing w:after="80" w:line="290"/>
      </w:pPr>
      <w:r>
        <w:rPr>
          <w:sz w:val="22"/>
          <w:szCs w:val="22"/>
        </w:rPr>
        <w:t xml:space="preserve">Capacitar a Service Owners en interpretar reportes y participar en DR drills.</w:t>
      </w:r>
    </w:p>
    <w:p>
      <w:pPr>
        <w:pStyle w:val="ListParagraph"/>
        <w:numPr>
          <w:ilvl w:val="0"/>
          <w:numId w:val="2"/>
        </w:numPr>
        <w:spacing w:after="80" w:line="290"/>
      </w:pPr>
      <w:r>
        <w:rPr>
          <w:sz w:val="22"/>
          <w:szCs w:val="22"/>
        </w:rPr>
        <w:t xml:space="preserve">Realizar ejercicios de tabletop anuales con escenarios de ransomware, error humano y caída regional.</w:t>
      </w:r>
    </w:p>
    <w:p>
      <w:pPr>
        <w:pStyle w:val="ListParagraph"/>
        <w:numPr>
          <w:ilvl w:val="0"/>
          <w:numId w:val="2"/>
        </w:numPr>
        <w:spacing w:after="80" w:line="290"/>
      </w:pPr>
      <w:r>
        <w:rPr>
          <w:sz w:val="22"/>
          <w:szCs w:val="22"/>
        </w:rPr>
        <w:t xml:space="preserve">Tratar el respaldo como un servicio crítico con su propio dueño, no como una tarea de fondo.</w:t>
      </w:r>
    </w:p>
    <w:p>
      <w:r>
        <w:br w:type="page"/>
      </w:r>
    </w:p>
    <w:p>
      <w:pPr>
        <w:pStyle w:val="Heading1"/>
        <w:spacing w:after="200" w:before="360"/>
      </w:pPr>
      <w:r>
        <w:rPr>
          <w:b/>
          <w:bCs/>
          <w:color w:val="0B5394"/>
          <w:sz w:val="32"/>
          <w:szCs w:val="32"/>
        </w:rPr>
        <w:t xml:space="preserve">12. Roadmap Sugerido de Implementación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960"/>
      </w:tblGrid>
      <w:tr>
        <w:trPr>
          <w:tblHeader/>
        </w:trPr>
        <w:tc>
          <w:tcPr>
            <w:tcW w:type="dxa" w:w="1800"/>
            <w:tcBorders>
              <w:top w:val="single" w:color="0B5394" w:sz="6"/>
              <w:left w:val="single" w:color="0B5394" w:sz="6"/>
              <w:bottom w:val="single" w:color="0B5394" w:sz="6"/>
              <w:right w:val="single" w:color="0B5394" w:sz="6"/>
            </w:tcBorders>
            <w:shd w:fill="0B5394" w:color="auto" w:val="clear"/>
            <w:tcMar>
              <w:top w:type="dxa" w:w="100"/>
              <w:left w:type="dxa" w:w="120"/>
              <w:bottom w:type="dxa" w:w="100"/>
              <w:right w:type="dxa" w:w="120"/>
            </w:tcMar>
          </w:tcPr>
          <w:p>
            <w:pPr>
              <w:jc w:val="left"/>
            </w:pPr>
            <w:r>
              <w:rPr>
                <w:b/>
                <w:bCs/>
                <w:color w:val="FFFFFF"/>
                <w:sz w:val="20"/>
                <w:szCs w:val="20"/>
              </w:rPr>
              <w:t xml:space="preserve">Fase</w:t>
            </w:r>
          </w:p>
        </w:tc>
        <w:tc>
          <w:tcPr>
            <w:tcW w:type="dxa" w:w="1600"/>
            <w:tcBorders>
              <w:top w:val="single" w:color="0B5394" w:sz="6"/>
              <w:left w:val="single" w:color="0B5394" w:sz="6"/>
              <w:bottom w:val="single" w:color="0B5394" w:sz="6"/>
              <w:right w:val="single" w:color="0B5394" w:sz="6"/>
            </w:tcBorders>
            <w:shd w:fill="0B5394" w:color="auto" w:val="clear"/>
            <w:tcMar>
              <w:top w:type="dxa" w:w="100"/>
              <w:left w:type="dxa" w:w="120"/>
              <w:bottom w:type="dxa" w:w="100"/>
              <w:right w:type="dxa" w:w="120"/>
            </w:tcMar>
          </w:tcPr>
          <w:p>
            <w:pPr>
              <w:jc w:val="left"/>
            </w:pPr>
            <w:r>
              <w:rPr>
                <w:b/>
                <w:bCs/>
                <w:color w:val="FFFFFF"/>
                <w:sz w:val="20"/>
                <w:szCs w:val="20"/>
              </w:rPr>
              <w:t xml:space="preserve">Duración</w:t>
            </w:r>
          </w:p>
        </w:tc>
        <w:tc>
          <w:tcPr>
            <w:tcW w:type="dxa" w:w="5960"/>
            <w:tcBorders>
              <w:top w:val="single" w:color="0B5394" w:sz="6"/>
              <w:left w:val="single" w:color="0B5394" w:sz="6"/>
              <w:bottom w:val="single" w:color="0B5394" w:sz="6"/>
              <w:right w:val="single" w:color="0B5394" w:sz="6"/>
            </w:tcBorders>
            <w:shd w:fill="0B5394" w:color="auto" w:val="clear"/>
            <w:tcMar>
              <w:top w:type="dxa" w:w="100"/>
              <w:left w:type="dxa" w:w="120"/>
              <w:bottom w:type="dxa" w:w="100"/>
              <w:right w:type="dxa" w:w="120"/>
            </w:tcMar>
          </w:tcPr>
          <w:p>
            <w:pPr>
              <w:jc w:val="left"/>
            </w:pPr>
            <w:r>
              <w:rPr>
                <w:b/>
                <w:bCs/>
                <w:color w:val="FFFFFF"/>
                <w:sz w:val="20"/>
                <w:szCs w:val="20"/>
              </w:rPr>
              <w:t xml:space="preserve">Entregables principales</w:t>
            </w:r>
          </w:p>
        </w:tc>
      </w:tr>
      <w:tr>
        <w:tc>
          <w:tcPr>
            <w:tcW w:type="dxa" w:w="1800"/>
            <w:tcBorders>
              <w:top w:val="single" w:color="BFBFBF" w:sz="6"/>
              <w:left w:val="single" w:color="BFBFBF" w:sz="6"/>
              <w:bottom w:val="single" w:color="BFBFBF" w:sz="6"/>
              <w:right w:val="single" w:color="BFBFBF" w:sz="6"/>
            </w:tcBorders>
            <w:tcMar>
              <w:top w:type="dxa" w:w="90"/>
              <w:left w:type="dxa" w:w="120"/>
              <w:bottom w:type="dxa" w:w="90"/>
              <w:right w:type="dxa" w:w="120"/>
            </w:tcMar>
          </w:tcPr>
          <w:p>
            <w:pPr>
              <w:spacing w:after="40"/>
              <w:jc w:val="left"/>
            </w:pPr>
            <w:r>
              <w:rPr>
                <w:sz w:val="19"/>
                <w:szCs w:val="19"/>
              </w:rPr>
              <w:t xml:space="preserve">1. Descubrimiento</w:t>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tcPr>
          <w:p>
            <w:pPr>
              <w:spacing w:after="40"/>
              <w:jc w:val="left"/>
            </w:pPr>
            <w:r>
              <w:rPr>
                <w:sz w:val="19"/>
                <w:szCs w:val="19"/>
              </w:rPr>
              <w:t xml:space="preserve">2-3 semanas</w:t>
            </w:r>
          </w:p>
        </w:tc>
        <w:tc>
          <w:tcPr>
            <w:tcW w:type="dxa" w:w="5960"/>
            <w:tcBorders>
              <w:top w:val="single" w:color="BFBFBF" w:sz="6"/>
              <w:left w:val="single" w:color="BFBFBF" w:sz="6"/>
              <w:bottom w:val="single" w:color="BFBFBF" w:sz="6"/>
              <w:right w:val="single" w:color="BFBFBF" w:sz="6"/>
            </w:tcBorders>
            <w:tcMar>
              <w:top w:type="dxa" w:w="90"/>
              <w:left w:type="dxa" w:w="120"/>
              <w:bottom w:type="dxa" w:w="90"/>
              <w:right w:type="dxa" w:w="120"/>
            </w:tcMar>
          </w:tcPr>
          <w:p>
            <w:pPr>
              <w:spacing w:after="40"/>
              <w:jc w:val="left"/>
            </w:pPr>
            <w:r>
              <w:rPr>
                <w:sz w:val="19"/>
                <w:szCs w:val="19"/>
              </w:rPr>
              <w:t xml:space="preserve">Inventario completo, clasificación por criticidad, brechas vs política objetivo, RACI.</w:t>
            </w:r>
          </w:p>
        </w:tc>
      </w:tr>
      <w:tr>
        <w:tc>
          <w:tcPr>
            <w:tcW w:type="dxa" w:w="1800"/>
            <w:tcBorders>
              <w:top w:val="single" w:color="BFBFBF" w:sz="6"/>
              <w:left w:val="single" w:color="BFBFBF" w:sz="6"/>
              <w:bottom w:val="single" w:color="BFBFBF" w:sz="6"/>
              <w:right w:val="single" w:color="BFBFBF" w:sz="6"/>
            </w:tcBorders>
            <w:shd w:fill="F2F2F2" w:color="auto" w:val="clear"/>
            <w:tcMar>
              <w:top w:type="dxa" w:w="90"/>
              <w:left w:type="dxa" w:w="120"/>
              <w:bottom w:type="dxa" w:w="90"/>
              <w:right w:type="dxa" w:w="120"/>
            </w:tcMar>
          </w:tcPr>
          <w:p>
            <w:pPr>
              <w:spacing w:after="40"/>
              <w:jc w:val="left"/>
            </w:pPr>
            <w:r>
              <w:rPr>
                <w:sz w:val="19"/>
                <w:szCs w:val="19"/>
              </w:rPr>
              <w:t xml:space="preserve">2. Diseño detallado</w:t>
            </w:r>
          </w:p>
        </w:tc>
        <w:tc>
          <w:tcPr>
            <w:tcW w:type="dxa" w:w="1600"/>
            <w:tcBorders>
              <w:top w:val="single" w:color="BFBFBF" w:sz="6"/>
              <w:left w:val="single" w:color="BFBFBF" w:sz="6"/>
              <w:bottom w:val="single" w:color="BFBFBF" w:sz="6"/>
              <w:right w:val="single" w:color="BFBFBF" w:sz="6"/>
            </w:tcBorders>
            <w:shd w:fill="F2F2F2" w:color="auto" w:val="clear"/>
            <w:tcMar>
              <w:top w:type="dxa" w:w="90"/>
              <w:left w:type="dxa" w:w="120"/>
              <w:bottom w:type="dxa" w:w="90"/>
              <w:right w:type="dxa" w:w="120"/>
            </w:tcMar>
          </w:tcPr>
          <w:p>
            <w:pPr>
              <w:spacing w:after="40"/>
              <w:jc w:val="left"/>
            </w:pPr>
            <w:r>
              <w:rPr>
                <w:sz w:val="19"/>
                <w:szCs w:val="19"/>
              </w:rPr>
              <w:t xml:space="preserve">3-4 semanas</w:t>
            </w:r>
          </w:p>
        </w:tc>
        <w:tc>
          <w:tcPr>
            <w:tcW w:type="dxa" w:w="5960"/>
            <w:tcBorders>
              <w:top w:val="single" w:color="BFBFBF" w:sz="6"/>
              <w:left w:val="single" w:color="BFBFBF" w:sz="6"/>
              <w:bottom w:val="single" w:color="BFBFBF" w:sz="6"/>
              <w:right w:val="single" w:color="BFBFBF" w:sz="6"/>
            </w:tcBorders>
            <w:shd w:fill="F2F2F2" w:color="auto" w:val="clear"/>
            <w:tcMar>
              <w:top w:type="dxa" w:w="90"/>
              <w:left w:type="dxa" w:w="120"/>
              <w:bottom w:type="dxa" w:w="90"/>
              <w:right w:type="dxa" w:w="120"/>
            </w:tcMar>
          </w:tcPr>
          <w:p>
            <w:pPr>
              <w:spacing w:after="40"/>
              <w:jc w:val="left"/>
            </w:pPr>
            <w:r>
              <w:rPr>
                <w:sz w:val="19"/>
                <w:szCs w:val="19"/>
              </w:rPr>
              <w:t xml:space="preserve">Políticas por tipo de servicio, definición de vaults y storage, plantillas IaC, runbooks base.</w:t>
            </w:r>
          </w:p>
        </w:tc>
      </w:tr>
      <w:tr>
        <w:tc>
          <w:tcPr>
            <w:tcW w:type="dxa" w:w="1800"/>
            <w:tcBorders>
              <w:top w:val="single" w:color="BFBFBF" w:sz="6"/>
              <w:left w:val="single" w:color="BFBFBF" w:sz="6"/>
              <w:bottom w:val="single" w:color="BFBFBF" w:sz="6"/>
              <w:right w:val="single" w:color="BFBFBF" w:sz="6"/>
            </w:tcBorders>
            <w:tcMar>
              <w:top w:type="dxa" w:w="90"/>
              <w:left w:type="dxa" w:w="120"/>
              <w:bottom w:type="dxa" w:w="90"/>
              <w:right w:type="dxa" w:w="120"/>
            </w:tcMar>
          </w:tcPr>
          <w:p>
            <w:pPr>
              <w:spacing w:after="40"/>
              <w:jc w:val="left"/>
            </w:pPr>
            <w:r>
              <w:rPr>
                <w:sz w:val="19"/>
                <w:szCs w:val="19"/>
              </w:rPr>
              <w:t xml:space="preserve">3. Implementación piloto</w:t>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tcPr>
          <w:p>
            <w:pPr>
              <w:spacing w:after="40"/>
              <w:jc w:val="left"/>
            </w:pPr>
            <w:r>
              <w:rPr>
                <w:sz w:val="19"/>
                <w:szCs w:val="19"/>
              </w:rPr>
              <w:t xml:space="preserve">4 semanas</w:t>
            </w:r>
          </w:p>
        </w:tc>
        <w:tc>
          <w:tcPr>
            <w:tcW w:type="dxa" w:w="5960"/>
            <w:tcBorders>
              <w:top w:val="single" w:color="BFBFBF" w:sz="6"/>
              <w:left w:val="single" w:color="BFBFBF" w:sz="6"/>
              <w:bottom w:val="single" w:color="BFBFBF" w:sz="6"/>
              <w:right w:val="single" w:color="BFBFBF" w:sz="6"/>
            </w:tcBorders>
            <w:tcMar>
              <w:top w:type="dxa" w:w="90"/>
              <w:left w:type="dxa" w:w="120"/>
              <w:bottom w:type="dxa" w:w="90"/>
              <w:right w:type="dxa" w:w="120"/>
            </w:tcMar>
          </w:tcPr>
          <w:p>
            <w:pPr>
              <w:spacing w:after="40"/>
              <w:jc w:val="left"/>
            </w:pPr>
            <w:r>
              <w:rPr>
                <w:sz w:val="19"/>
                <w:szCs w:val="19"/>
              </w:rPr>
              <w:t xml:space="preserve">Despliegue en un dominio Tier 1 representativo, validación de RTO/RPO, ajustes.</w:t>
            </w:r>
          </w:p>
        </w:tc>
      </w:tr>
      <w:tr>
        <w:tc>
          <w:tcPr>
            <w:tcW w:type="dxa" w:w="1800"/>
            <w:tcBorders>
              <w:top w:val="single" w:color="BFBFBF" w:sz="6"/>
              <w:left w:val="single" w:color="BFBFBF" w:sz="6"/>
              <w:bottom w:val="single" w:color="BFBFBF" w:sz="6"/>
              <w:right w:val="single" w:color="BFBFBF" w:sz="6"/>
            </w:tcBorders>
            <w:shd w:fill="F2F2F2" w:color="auto" w:val="clear"/>
            <w:tcMar>
              <w:top w:type="dxa" w:w="90"/>
              <w:left w:type="dxa" w:w="120"/>
              <w:bottom w:type="dxa" w:w="90"/>
              <w:right w:type="dxa" w:w="120"/>
            </w:tcMar>
          </w:tcPr>
          <w:p>
            <w:pPr>
              <w:spacing w:after="40"/>
              <w:jc w:val="left"/>
            </w:pPr>
            <w:r>
              <w:rPr>
                <w:sz w:val="19"/>
                <w:szCs w:val="19"/>
              </w:rPr>
              <w:t xml:space="preserve">4. Rollout</w:t>
            </w:r>
          </w:p>
        </w:tc>
        <w:tc>
          <w:tcPr>
            <w:tcW w:type="dxa" w:w="1600"/>
            <w:tcBorders>
              <w:top w:val="single" w:color="BFBFBF" w:sz="6"/>
              <w:left w:val="single" w:color="BFBFBF" w:sz="6"/>
              <w:bottom w:val="single" w:color="BFBFBF" w:sz="6"/>
              <w:right w:val="single" w:color="BFBFBF" w:sz="6"/>
            </w:tcBorders>
            <w:shd w:fill="F2F2F2" w:color="auto" w:val="clear"/>
            <w:tcMar>
              <w:top w:type="dxa" w:w="90"/>
              <w:left w:type="dxa" w:w="120"/>
              <w:bottom w:type="dxa" w:w="90"/>
              <w:right w:type="dxa" w:w="120"/>
            </w:tcMar>
          </w:tcPr>
          <w:p>
            <w:pPr>
              <w:spacing w:after="40"/>
              <w:jc w:val="left"/>
            </w:pPr>
            <w:r>
              <w:rPr>
                <w:sz w:val="19"/>
                <w:szCs w:val="19"/>
              </w:rPr>
              <w:t xml:space="preserve">8-12 semanas</w:t>
            </w:r>
          </w:p>
        </w:tc>
        <w:tc>
          <w:tcPr>
            <w:tcW w:type="dxa" w:w="5960"/>
            <w:tcBorders>
              <w:top w:val="single" w:color="BFBFBF" w:sz="6"/>
              <w:left w:val="single" w:color="BFBFBF" w:sz="6"/>
              <w:bottom w:val="single" w:color="BFBFBF" w:sz="6"/>
              <w:right w:val="single" w:color="BFBFBF" w:sz="6"/>
            </w:tcBorders>
            <w:shd w:fill="F2F2F2" w:color="auto" w:val="clear"/>
            <w:tcMar>
              <w:top w:type="dxa" w:w="90"/>
              <w:left w:type="dxa" w:w="120"/>
              <w:bottom w:type="dxa" w:w="90"/>
              <w:right w:type="dxa" w:w="120"/>
            </w:tcMar>
          </w:tcPr>
          <w:p>
            <w:pPr>
              <w:spacing w:after="40"/>
              <w:jc w:val="left"/>
            </w:pPr>
            <w:r>
              <w:rPr>
                <w:sz w:val="19"/>
                <w:szCs w:val="19"/>
              </w:rPr>
              <w:t xml:space="preserve">Despliegue progresivo por waves (criticidad descendente), automatización por Azure Policy.</w:t>
            </w:r>
          </w:p>
        </w:tc>
      </w:tr>
      <w:tr>
        <w:tc>
          <w:tcPr>
            <w:tcW w:type="dxa" w:w="1800"/>
            <w:tcBorders>
              <w:top w:val="single" w:color="BFBFBF" w:sz="6"/>
              <w:left w:val="single" w:color="BFBFBF" w:sz="6"/>
              <w:bottom w:val="single" w:color="BFBFBF" w:sz="6"/>
              <w:right w:val="single" w:color="BFBFBF" w:sz="6"/>
            </w:tcBorders>
            <w:tcMar>
              <w:top w:type="dxa" w:w="90"/>
              <w:left w:type="dxa" w:w="120"/>
              <w:bottom w:type="dxa" w:w="90"/>
              <w:right w:type="dxa" w:w="120"/>
            </w:tcMar>
          </w:tcPr>
          <w:p>
            <w:pPr>
              <w:spacing w:after="40"/>
              <w:jc w:val="left"/>
            </w:pPr>
            <w:r>
              <w:rPr>
                <w:sz w:val="19"/>
                <w:szCs w:val="19"/>
              </w:rPr>
              <w:t xml:space="preserve">5. Estabilización</w:t>
            </w:r>
          </w:p>
        </w:tc>
        <w:tc>
          <w:tcPr>
            <w:tcW w:type="dxa" w:w="1600"/>
            <w:tcBorders>
              <w:top w:val="single" w:color="BFBFBF" w:sz="6"/>
              <w:left w:val="single" w:color="BFBFBF" w:sz="6"/>
              <w:bottom w:val="single" w:color="BFBFBF" w:sz="6"/>
              <w:right w:val="single" w:color="BFBFBF" w:sz="6"/>
            </w:tcBorders>
            <w:tcMar>
              <w:top w:type="dxa" w:w="90"/>
              <w:left w:type="dxa" w:w="120"/>
              <w:bottom w:type="dxa" w:w="90"/>
              <w:right w:type="dxa" w:w="120"/>
            </w:tcMar>
          </w:tcPr>
          <w:p>
            <w:pPr>
              <w:spacing w:after="40"/>
              <w:jc w:val="left"/>
            </w:pPr>
            <w:r>
              <w:rPr>
                <w:sz w:val="19"/>
                <w:szCs w:val="19"/>
              </w:rPr>
              <w:t xml:space="preserve">4 semanas</w:t>
            </w:r>
          </w:p>
        </w:tc>
        <w:tc>
          <w:tcPr>
            <w:tcW w:type="dxa" w:w="5960"/>
            <w:tcBorders>
              <w:top w:val="single" w:color="BFBFBF" w:sz="6"/>
              <w:left w:val="single" w:color="BFBFBF" w:sz="6"/>
              <w:bottom w:val="single" w:color="BFBFBF" w:sz="6"/>
              <w:right w:val="single" w:color="BFBFBF" w:sz="6"/>
            </w:tcBorders>
            <w:tcMar>
              <w:top w:type="dxa" w:w="90"/>
              <w:left w:type="dxa" w:w="120"/>
              <w:bottom w:type="dxa" w:w="90"/>
              <w:right w:type="dxa" w:w="120"/>
            </w:tcMar>
          </w:tcPr>
          <w:p>
            <w:pPr>
              <w:spacing w:after="40"/>
              <w:jc w:val="left"/>
            </w:pPr>
            <w:r>
              <w:rPr>
                <w:sz w:val="19"/>
                <w:szCs w:val="19"/>
              </w:rPr>
              <w:t xml:space="preserve">Monitoreo, alertas, reportes, primera DR drill formal por Tier.</w:t>
            </w:r>
          </w:p>
        </w:tc>
      </w:tr>
      <w:tr>
        <w:tc>
          <w:tcPr>
            <w:tcW w:type="dxa" w:w="1800"/>
            <w:tcBorders>
              <w:top w:val="single" w:color="BFBFBF" w:sz="6"/>
              <w:left w:val="single" w:color="BFBFBF" w:sz="6"/>
              <w:bottom w:val="single" w:color="BFBFBF" w:sz="6"/>
              <w:right w:val="single" w:color="BFBFBF" w:sz="6"/>
            </w:tcBorders>
            <w:shd w:fill="F2F2F2" w:color="auto" w:val="clear"/>
            <w:tcMar>
              <w:top w:type="dxa" w:w="90"/>
              <w:left w:type="dxa" w:w="120"/>
              <w:bottom w:type="dxa" w:w="90"/>
              <w:right w:type="dxa" w:w="120"/>
            </w:tcMar>
          </w:tcPr>
          <w:p>
            <w:pPr>
              <w:spacing w:after="40"/>
              <w:jc w:val="left"/>
            </w:pPr>
            <w:r>
              <w:rPr>
                <w:sz w:val="19"/>
                <w:szCs w:val="19"/>
              </w:rPr>
              <w:t xml:space="preserve">6. Operación continua</w:t>
            </w:r>
          </w:p>
        </w:tc>
        <w:tc>
          <w:tcPr>
            <w:tcW w:type="dxa" w:w="1600"/>
            <w:tcBorders>
              <w:top w:val="single" w:color="BFBFBF" w:sz="6"/>
              <w:left w:val="single" w:color="BFBFBF" w:sz="6"/>
              <w:bottom w:val="single" w:color="BFBFBF" w:sz="6"/>
              <w:right w:val="single" w:color="BFBFBF" w:sz="6"/>
            </w:tcBorders>
            <w:shd w:fill="F2F2F2" w:color="auto" w:val="clear"/>
            <w:tcMar>
              <w:top w:type="dxa" w:w="90"/>
              <w:left w:type="dxa" w:w="120"/>
              <w:bottom w:type="dxa" w:w="90"/>
              <w:right w:type="dxa" w:w="120"/>
            </w:tcMar>
          </w:tcPr>
          <w:p>
            <w:pPr>
              <w:spacing w:after="40"/>
              <w:jc w:val="left"/>
            </w:pPr>
            <w:r>
              <w:rPr>
                <w:sz w:val="19"/>
                <w:szCs w:val="19"/>
              </w:rPr>
              <w:t xml:space="preserve">Permanente</w:t>
            </w:r>
          </w:p>
        </w:tc>
        <w:tc>
          <w:tcPr>
            <w:tcW w:type="dxa" w:w="5960"/>
            <w:tcBorders>
              <w:top w:val="single" w:color="BFBFBF" w:sz="6"/>
              <w:left w:val="single" w:color="BFBFBF" w:sz="6"/>
              <w:bottom w:val="single" w:color="BFBFBF" w:sz="6"/>
              <w:right w:val="single" w:color="BFBFBF" w:sz="6"/>
            </w:tcBorders>
            <w:shd w:fill="F2F2F2" w:color="auto" w:val="clear"/>
            <w:tcMar>
              <w:top w:type="dxa" w:w="90"/>
              <w:left w:type="dxa" w:w="120"/>
              <w:bottom w:type="dxa" w:w="90"/>
              <w:right w:type="dxa" w:w="120"/>
            </w:tcMar>
          </w:tcPr>
          <w:p>
            <w:pPr>
              <w:spacing w:after="40"/>
              <w:jc w:val="left"/>
            </w:pPr>
            <w:r>
              <w:rPr>
                <w:sz w:val="19"/>
                <w:szCs w:val="19"/>
              </w:rPr>
              <w:t xml:space="preserve">Revisión trimestral, drills periódicos, mejora continua, gestión de excepciones.</w:t>
            </w:r>
          </w:p>
        </w:tc>
      </w:tr>
    </w:tbl>
    <w:p>
      <w:pPr>
        <w:pStyle w:val="Heading1"/>
        <w:spacing w:after="200" w:before="360"/>
      </w:pPr>
      <w:r>
        <w:rPr>
          <w:b/>
          <w:bCs/>
          <w:color w:val="0B5394"/>
          <w:sz w:val="32"/>
          <w:szCs w:val="32"/>
        </w:rPr>
        <w:t xml:space="preserve">13. Glosario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0B5394" w:sz="6"/>
              <w:left w:val="single" w:color="0B5394" w:sz="6"/>
              <w:bottom w:val="single" w:color="0B5394" w:sz="6"/>
              <w:right w:val="single" w:color="0B5394" w:sz="6"/>
            </w:tcBorders>
            <w:shd w:fill="0B5394" w:color="auto" w:val="clear"/>
            <w:tcMar>
              <w:top w:type="dxa" w:w="100"/>
              <w:left w:type="dxa" w:w="120"/>
              <w:bottom w:type="dxa" w:w="100"/>
              <w:right w:type="dxa" w:w="120"/>
            </w:tcMar>
          </w:tcPr>
          <w:p>
            <w:pPr>
              <w:jc w:val="left"/>
            </w:pPr>
            <w:r>
              <w:rPr>
                <w:b/>
                <w:bCs/>
                <w:color w:val="FFFFFF"/>
                <w:sz w:val="20"/>
                <w:szCs w:val="20"/>
              </w:rPr>
              <w:t xml:space="preserve">Término</w:t>
            </w:r>
          </w:p>
        </w:tc>
        <w:tc>
          <w:tcPr>
            <w:tcW w:type="dxa" w:w="7560"/>
            <w:tcBorders>
              <w:top w:val="single" w:color="0B5394" w:sz="6"/>
              <w:left w:val="single" w:color="0B5394" w:sz="6"/>
              <w:bottom w:val="single" w:color="0B5394" w:sz="6"/>
              <w:right w:val="single" w:color="0B5394" w:sz="6"/>
            </w:tcBorders>
            <w:shd w:fill="0B5394" w:color="auto" w:val="clear"/>
            <w:tcMar>
              <w:top w:type="dxa" w:w="100"/>
              <w:left w:type="dxa" w:w="120"/>
              <w:bottom w:type="dxa" w:w="100"/>
              <w:right w:type="dxa" w:w="120"/>
            </w:tcMar>
          </w:tcPr>
          <w:p>
            <w:pPr>
              <w:jc w:val="left"/>
            </w:pPr>
            <w:r>
              <w:rPr>
                <w:b/>
                <w:bCs/>
                <w:color w:val="FFFFFF"/>
                <w:sz w:val="20"/>
                <w:szCs w:val="20"/>
              </w:rPr>
              <w:t xml:space="preserve">Definición</w:t>
            </w:r>
          </w:p>
        </w:tc>
      </w:tr>
      <w:tr>
        <w:tc>
          <w:tcPr>
            <w:tcW w:type="dxa" w:w="1800"/>
            <w:tcBorders>
              <w:top w:val="single" w:color="BFBFBF" w:sz="6"/>
              <w:left w:val="single" w:color="BFBFBF" w:sz="6"/>
              <w:bottom w:val="single" w:color="BFBFBF" w:sz="6"/>
              <w:right w:val="single" w:color="BFBFBF" w:sz="6"/>
            </w:tcBorders>
            <w:tcMar>
              <w:top w:type="dxa" w:w="90"/>
              <w:left w:type="dxa" w:w="120"/>
              <w:bottom w:type="dxa" w:w="90"/>
              <w:right w:type="dxa" w:w="120"/>
            </w:tcMar>
          </w:tcPr>
          <w:p>
            <w:pPr>
              <w:spacing w:after="40"/>
              <w:jc w:val="left"/>
            </w:pPr>
            <w:r>
              <w:rPr>
                <w:sz w:val="19"/>
                <w:szCs w:val="19"/>
              </w:rPr>
              <w:t xml:space="preserve">ASR</w:t>
            </w:r>
          </w:p>
        </w:tc>
        <w:tc>
          <w:tcPr>
            <w:tcW w:type="dxa" w:w="7560"/>
            <w:tcBorders>
              <w:top w:val="single" w:color="BFBFBF" w:sz="6"/>
              <w:left w:val="single" w:color="BFBFBF" w:sz="6"/>
              <w:bottom w:val="single" w:color="BFBFBF" w:sz="6"/>
              <w:right w:val="single" w:color="BFBFBF" w:sz="6"/>
            </w:tcBorders>
            <w:tcMar>
              <w:top w:type="dxa" w:w="90"/>
              <w:left w:type="dxa" w:w="120"/>
              <w:bottom w:type="dxa" w:w="90"/>
              <w:right w:type="dxa" w:w="120"/>
            </w:tcMar>
          </w:tcPr>
          <w:p>
            <w:pPr>
              <w:spacing w:after="40"/>
              <w:jc w:val="left"/>
            </w:pPr>
            <w:r>
              <w:rPr>
                <w:sz w:val="19"/>
                <w:szCs w:val="19"/>
              </w:rPr>
              <w:t xml:space="preserve">Azure Site Recovery. Servicio de replicación y orquestación de DR.</w:t>
            </w:r>
          </w:p>
        </w:tc>
      </w:tr>
      <w:tr>
        <w:tc>
          <w:tcPr>
            <w:tcW w:type="dxa" w:w="1800"/>
            <w:tcBorders>
              <w:top w:val="single" w:color="BFBFBF" w:sz="6"/>
              <w:left w:val="single" w:color="BFBFBF" w:sz="6"/>
              <w:bottom w:val="single" w:color="BFBFBF" w:sz="6"/>
              <w:right w:val="single" w:color="BFBFBF" w:sz="6"/>
            </w:tcBorders>
            <w:shd w:fill="F2F2F2" w:color="auto" w:val="clear"/>
            <w:tcMar>
              <w:top w:type="dxa" w:w="90"/>
              <w:left w:type="dxa" w:w="120"/>
              <w:bottom w:type="dxa" w:w="90"/>
              <w:right w:type="dxa" w:w="120"/>
            </w:tcMar>
          </w:tcPr>
          <w:p>
            <w:pPr>
              <w:spacing w:after="40"/>
              <w:jc w:val="left"/>
            </w:pPr>
            <w:r>
              <w:rPr>
                <w:sz w:val="19"/>
                <w:szCs w:val="19"/>
              </w:rPr>
              <w:t xml:space="preserve">BCDR</w:t>
            </w:r>
          </w:p>
        </w:tc>
        <w:tc>
          <w:tcPr>
            <w:tcW w:type="dxa" w:w="7560"/>
            <w:tcBorders>
              <w:top w:val="single" w:color="BFBFBF" w:sz="6"/>
              <w:left w:val="single" w:color="BFBFBF" w:sz="6"/>
              <w:bottom w:val="single" w:color="BFBFBF" w:sz="6"/>
              <w:right w:val="single" w:color="BFBFBF" w:sz="6"/>
            </w:tcBorders>
            <w:shd w:fill="F2F2F2" w:color="auto" w:val="clear"/>
            <w:tcMar>
              <w:top w:type="dxa" w:w="90"/>
              <w:left w:type="dxa" w:w="120"/>
              <w:bottom w:type="dxa" w:w="90"/>
              <w:right w:type="dxa" w:w="120"/>
            </w:tcMar>
          </w:tcPr>
          <w:p>
            <w:pPr>
              <w:spacing w:after="40"/>
              <w:jc w:val="left"/>
            </w:pPr>
            <w:r>
              <w:rPr>
                <w:sz w:val="19"/>
                <w:szCs w:val="19"/>
              </w:rPr>
              <w:t xml:space="preserve">Business Continuity &amp; Disaster Recovery.</w:t>
            </w:r>
          </w:p>
        </w:tc>
      </w:tr>
      <w:tr>
        <w:tc>
          <w:tcPr>
            <w:tcW w:type="dxa" w:w="1800"/>
            <w:tcBorders>
              <w:top w:val="single" w:color="BFBFBF" w:sz="6"/>
              <w:left w:val="single" w:color="BFBFBF" w:sz="6"/>
              <w:bottom w:val="single" w:color="BFBFBF" w:sz="6"/>
              <w:right w:val="single" w:color="BFBFBF" w:sz="6"/>
            </w:tcBorders>
            <w:tcMar>
              <w:top w:type="dxa" w:w="90"/>
              <w:left w:type="dxa" w:w="120"/>
              <w:bottom w:type="dxa" w:w="90"/>
              <w:right w:type="dxa" w:w="120"/>
            </w:tcMar>
          </w:tcPr>
          <w:p>
            <w:pPr>
              <w:spacing w:after="40"/>
              <w:jc w:val="left"/>
            </w:pPr>
            <w:r>
              <w:rPr>
                <w:sz w:val="19"/>
                <w:szCs w:val="19"/>
              </w:rPr>
              <w:t xml:space="preserve">CMK</w:t>
            </w:r>
          </w:p>
        </w:tc>
        <w:tc>
          <w:tcPr>
            <w:tcW w:type="dxa" w:w="7560"/>
            <w:tcBorders>
              <w:top w:val="single" w:color="BFBFBF" w:sz="6"/>
              <w:left w:val="single" w:color="BFBFBF" w:sz="6"/>
              <w:bottom w:val="single" w:color="BFBFBF" w:sz="6"/>
              <w:right w:val="single" w:color="BFBFBF" w:sz="6"/>
            </w:tcBorders>
            <w:tcMar>
              <w:top w:type="dxa" w:w="90"/>
              <w:left w:type="dxa" w:w="120"/>
              <w:bottom w:type="dxa" w:w="90"/>
              <w:right w:type="dxa" w:w="120"/>
            </w:tcMar>
          </w:tcPr>
          <w:p>
            <w:pPr>
              <w:spacing w:after="40"/>
              <w:jc w:val="left"/>
            </w:pPr>
            <w:r>
              <w:rPr>
                <w:sz w:val="19"/>
                <w:szCs w:val="19"/>
              </w:rPr>
              <w:t xml:space="preserve">Customer-Managed Keys. Cifrado con llaves gestionadas por el cliente.</w:t>
            </w:r>
          </w:p>
        </w:tc>
      </w:tr>
      <w:tr>
        <w:tc>
          <w:tcPr>
            <w:tcW w:type="dxa" w:w="1800"/>
            <w:tcBorders>
              <w:top w:val="single" w:color="BFBFBF" w:sz="6"/>
              <w:left w:val="single" w:color="BFBFBF" w:sz="6"/>
              <w:bottom w:val="single" w:color="BFBFBF" w:sz="6"/>
              <w:right w:val="single" w:color="BFBFBF" w:sz="6"/>
            </w:tcBorders>
            <w:shd w:fill="F2F2F2" w:color="auto" w:val="clear"/>
            <w:tcMar>
              <w:top w:type="dxa" w:w="90"/>
              <w:left w:type="dxa" w:w="120"/>
              <w:bottom w:type="dxa" w:w="90"/>
              <w:right w:type="dxa" w:w="120"/>
            </w:tcMar>
          </w:tcPr>
          <w:p>
            <w:pPr>
              <w:spacing w:after="40"/>
              <w:jc w:val="left"/>
            </w:pPr>
            <w:r>
              <w:rPr>
                <w:sz w:val="19"/>
                <w:szCs w:val="19"/>
              </w:rPr>
              <w:t xml:space="preserve">CRR</w:t>
            </w:r>
          </w:p>
        </w:tc>
        <w:tc>
          <w:tcPr>
            <w:tcW w:type="dxa" w:w="7560"/>
            <w:tcBorders>
              <w:top w:val="single" w:color="BFBFBF" w:sz="6"/>
              <w:left w:val="single" w:color="BFBFBF" w:sz="6"/>
              <w:bottom w:val="single" w:color="BFBFBF" w:sz="6"/>
              <w:right w:val="single" w:color="BFBFBF" w:sz="6"/>
            </w:tcBorders>
            <w:shd w:fill="F2F2F2" w:color="auto" w:val="clear"/>
            <w:tcMar>
              <w:top w:type="dxa" w:w="90"/>
              <w:left w:type="dxa" w:w="120"/>
              <w:bottom w:type="dxa" w:w="90"/>
              <w:right w:type="dxa" w:w="120"/>
            </w:tcMar>
          </w:tcPr>
          <w:p>
            <w:pPr>
              <w:spacing w:after="40"/>
              <w:jc w:val="left"/>
            </w:pPr>
            <w:r>
              <w:rPr>
                <w:sz w:val="19"/>
                <w:szCs w:val="19"/>
              </w:rPr>
              <w:t xml:space="preserve">Cross-Region Restore. Restauración desde región pareada.</w:t>
            </w:r>
          </w:p>
        </w:tc>
      </w:tr>
      <w:tr>
        <w:tc>
          <w:tcPr>
            <w:tcW w:type="dxa" w:w="1800"/>
            <w:tcBorders>
              <w:top w:val="single" w:color="BFBFBF" w:sz="6"/>
              <w:left w:val="single" w:color="BFBFBF" w:sz="6"/>
              <w:bottom w:val="single" w:color="BFBFBF" w:sz="6"/>
              <w:right w:val="single" w:color="BFBFBF" w:sz="6"/>
            </w:tcBorders>
            <w:tcMar>
              <w:top w:type="dxa" w:w="90"/>
              <w:left w:type="dxa" w:w="120"/>
              <w:bottom w:type="dxa" w:w="90"/>
              <w:right w:type="dxa" w:w="120"/>
            </w:tcMar>
          </w:tcPr>
          <w:p>
            <w:pPr>
              <w:spacing w:after="40"/>
              <w:jc w:val="left"/>
            </w:pPr>
            <w:r>
              <w:rPr>
                <w:sz w:val="19"/>
                <w:szCs w:val="19"/>
              </w:rPr>
              <w:t xml:space="preserve">GFS</w:t>
            </w:r>
          </w:p>
        </w:tc>
        <w:tc>
          <w:tcPr>
            <w:tcW w:type="dxa" w:w="7560"/>
            <w:tcBorders>
              <w:top w:val="single" w:color="BFBFBF" w:sz="6"/>
              <w:left w:val="single" w:color="BFBFBF" w:sz="6"/>
              <w:bottom w:val="single" w:color="BFBFBF" w:sz="6"/>
              <w:right w:val="single" w:color="BFBFBF" w:sz="6"/>
            </w:tcBorders>
            <w:tcMar>
              <w:top w:type="dxa" w:w="90"/>
              <w:left w:type="dxa" w:w="120"/>
              <w:bottom w:type="dxa" w:w="90"/>
              <w:right w:type="dxa" w:w="120"/>
            </w:tcMar>
          </w:tcPr>
          <w:p>
            <w:pPr>
              <w:spacing w:after="40"/>
              <w:jc w:val="left"/>
            </w:pPr>
            <w:r>
              <w:rPr>
                <w:sz w:val="19"/>
                <w:szCs w:val="19"/>
              </w:rPr>
              <w:t xml:space="preserve">Grandfather-Father-Son. Esquema de rotación de respaldos.</w:t>
            </w:r>
          </w:p>
        </w:tc>
      </w:tr>
      <w:tr>
        <w:tc>
          <w:tcPr>
            <w:tcW w:type="dxa" w:w="1800"/>
            <w:tcBorders>
              <w:top w:val="single" w:color="BFBFBF" w:sz="6"/>
              <w:left w:val="single" w:color="BFBFBF" w:sz="6"/>
              <w:bottom w:val="single" w:color="BFBFBF" w:sz="6"/>
              <w:right w:val="single" w:color="BFBFBF" w:sz="6"/>
            </w:tcBorders>
            <w:shd w:fill="F2F2F2" w:color="auto" w:val="clear"/>
            <w:tcMar>
              <w:top w:type="dxa" w:w="90"/>
              <w:left w:type="dxa" w:w="120"/>
              <w:bottom w:type="dxa" w:w="90"/>
              <w:right w:type="dxa" w:w="120"/>
            </w:tcMar>
          </w:tcPr>
          <w:p>
            <w:pPr>
              <w:spacing w:after="40"/>
              <w:jc w:val="left"/>
            </w:pPr>
            <w:r>
              <w:rPr>
                <w:sz w:val="19"/>
                <w:szCs w:val="19"/>
              </w:rPr>
              <w:t xml:space="preserve">GRS / GZRS</w:t>
            </w:r>
          </w:p>
        </w:tc>
        <w:tc>
          <w:tcPr>
            <w:tcW w:type="dxa" w:w="7560"/>
            <w:tcBorders>
              <w:top w:val="single" w:color="BFBFBF" w:sz="6"/>
              <w:left w:val="single" w:color="BFBFBF" w:sz="6"/>
              <w:bottom w:val="single" w:color="BFBFBF" w:sz="6"/>
              <w:right w:val="single" w:color="BFBFBF" w:sz="6"/>
            </w:tcBorders>
            <w:shd w:fill="F2F2F2" w:color="auto" w:val="clear"/>
            <w:tcMar>
              <w:top w:type="dxa" w:w="90"/>
              <w:left w:type="dxa" w:w="120"/>
              <w:bottom w:type="dxa" w:w="90"/>
              <w:right w:type="dxa" w:w="120"/>
            </w:tcMar>
          </w:tcPr>
          <w:p>
            <w:pPr>
              <w:spacing w:after="40"/>
              <w:jc w:val="left"/>
            </w:pPr>
            <w:r>
              <w:rPr>
                <w:sz w:val="19"/>
                <w:szCs w:val="19"/>
              </w:rPr>
              <w:t xml:space="preserve">Geo-Redundant Storage / Geo-Zone-Redundant Storage.</w:t>
            </w:r>
          </w:p>
        </w:tc>
      </w:tr>
      <w:tr>
        <w:tc>
          <w:tcPr>
            <w:tcW w:type="dxa" w:w="1800"/>
            <w:tcBorders>
              <w:top w:val="single" w:color="BFBFBF" w:sz="6"/>
              <w:left w:val="single" w:color="BFBFBF" w:sz="6"/>
              <w:bottom w:val="single" w:color="BFBFBF" w:sz="6"/>
              <w:right w:val="single" w:color="BFBFBF" w:sz="6"/>
            </w:tcBorders>
            <w:tcMar>
              <w:top w:type="dxa" w:w="90"/>
              <w:left w:type="dxa" w:w="120"/>
              <w:bottom w:type="dxa" w:w="90"/>
              <w:right w:type="dxa" w:w="120"/>
            </w:tcMar>
          </w:tcPr>
          <w:p>
            <w:pPr>
              <w:spacing w:after="40"/>
              <w:jc w:val="left"/>
            </w:pPr>
            <w:r>
              <w:rPr>
                <w:sz w:val="19"/>
                <w:szCs w:val="19"/>
              </w:rPr>
              <w:t xml:space="preserve">LTR</w:t>
            </w:r>
          </w:p>
        </w:tc>
        <w:tc>
          <w:tcPr>
            <w:tcW w:type="dxa" w:w="7560"/>
            <w:tcBorders>
              <w:top w:val="single" w:color="BFBFBF" w:sz="6"/>
              <w:left w:val="single" w:color="BFBFBF" w:sz="6"/>
              <w:bottom w:val="single" w:color="BFBFBF" w:sz="6"/>
              <w:right w:val="single" w:color="BFBFBF" w:sz="6"/>
            </w:tcBorders>
            <w:tcMar>
              <w:top w:type="dxa" w:w="90"/>
              <w:left w:type="dxa" w:w="120"/>
              <w:bottom w:type="dxa" w:w="90"/>
              <w:right w:type="dxa" w:w="120"/>
            </w:tcMar>
          </w:tcPr>
          <w:p>
            <w:pPr>
              <w:spacing w:after="40"/>
              <w:jc w:val="left"/>
            </w:pPr>
            <w:r>
              <w:rPr>
                <w:sz w:val="19"/>
                <w:szCs w:val="19"/>
              </w:rPr>
              <w:t xml:space="preserve">Long-Term Retention. Retención prolongada para BD gestionadas.</w:t>
            </w:r>
          </w:p>
        </w:tc>
      </w:tr>
      <w:tr>
        <w:tc>
          <w:tcPr>
            <w:tcW w:type="dxa" w:w="1800"/>
            <w:tcBorders>
              <w:top w:val="single" w:color="BFBFBF" w:sz="6"/>
              <w:left w:val="single" w:color="BFBFBF" w:sz="6"/>
              <w:bottom w:val="single" w:color="BFBFBF" w:sz="6"/>
              <w:right w:val="single" w:color="BFBFBF" w:sz="6"/>
            </w:tcBorders>
            <w:shd w:fill="F2F2F2" w:color="auto" w:val="clear"/>
            <w:tcMar>
              <w:top w:type="dxa" w:w="90"/>
              <w:left w:type="dxa" w:w="120"/>
              <w:bottom w:type="dxa" w:w="90"/>
              <w:right w:type="dxa" w:w="120"/>
            </w:tcMar>
          </w:tcPr>
          <w:p>
            <w:pPr>
              <w:spacing w:after="40"/>
              <w:jc w:val="left"/>
            </w:pPr>
            <w:r>
              <w:rPr>
                <w:sz w:val="19"/>
                <w:szCs w:val="19"/>
              </w:rPr>
              <w:t xml:space="preserve">MUA</w:t>
            </w:r>
          </w:p>
        </w:tc>
        <w:tc>
          <w:tcPr>
            <w:tcW w:type="dxa" w:w="7560"/>
            <w:tcBorders>
              <w:top w:val="single" w:color="BFBFBF" w:sz="6"/>
              <w:left w:val="single" w:color="BFBFBF" w:sz="6"/>
              <w:bottom w:val="single" w:color="BFBFBF" w:sz="6"/>
              <w:right w:val="single" w:color="BFBFBF" w:sz="6"/>
            </w:tcBorders>
            <w:shd w:fill="F2F2F2" w:color="auto" w:val="clear"/>
            <w:tcMar>
              <w:top w:type="dxa" w:w="90"/>
              <w:left w:type="dxa" w:w="120"/>
              <w:bottom w:type="dxa" w:w="90"/>
              <w:right w:type="dxa" w:w="120"/>
            </w:tcMar>
          </w:tcPr>
          <w:p>
            <w:pPr>
              <w:spacing w:after="40"/>
              <w:jc w:val="left"/>
            </w:pPr>
            <w:r>
              <w:rPr>
                <w:sz w:val="19"/>
                <w:szCs w:val="19"/>
              </w:rPr>
              <w:t xml:space="preserve">Multi-User Authorization. Aprobación doble para operaciones críticas.</w:t>
            </w:r>
          </w:p>
        </w:tc>
      </w:tr>
      <w:tr>
        <w:tc>
          <w:tcPr>
            <w:tcW w:type="dxa" w:w="1800"/>
            <w:tcBorders>
              <w:top w:val="single" w:color="BFBFBF" w:sz="6"/>
              <w:left w:val="single" w:color="BFBFBF" w:sz="6"/>
              <w:bottom w:val="single" w:color="BFBFBF" w:sz="6"/>
              <w:right w:val="single" w:color="BFBFBF" w:sz="6"/>
            </w:tcBorders>
            <w:tcMar>
              <w:top w:type="dxa" w:w="90"/>
              <w:left w:type="dxa" w:w="120"/>
              <w:bottom w:type="dxa" w:w="90"/>
              <w:right w:type="dxa" w:w="120"/>
            </w:tcMar>
          </w:tcPr>
          <w:p>
            <w:pPr>
              <w:spacing w:after="40"/>
              <w:jc w:val="left"/>
            </w:pPr>
            <w:r>
              <w:rPr>
                <w:sz w:val="19"/>
                <w:szCs w:val="19"/>
              </w:rPr>
              <w:t xml:space="preserve">PITR</w:t>
            </w:r>
          </w:p>
        </w:tc>
        <w:tc>
          <w:tcPr>
            <w:tcW w:type="dxa" w:w="7560"/>
            <w:tcBorders>
              <w:top w:val="single" w:color="BFBFBF" w:sz="6"/>
              <w:left w:val="single" w:color="BFBFBF" w:sz="6"/>
              <w:bottom w:val="single" w:color="BFBFBF" w:sz="6"/>
              <w:right w:val="single" w:color="BFBFBF" w:sz="6"/>
            </w:tcBorders>
            <w:tcMar>
              <w:top w:type="dxa" w:w="90"/>
              <w:left w:type="dxa" w:w="120"/>
              <w:bottom w:type="dxa" w:w="90"/>
              <w:right w:type="dxa" w:w="120"/>
            </w:tcMar>
          </w:tcPr>
          <w:p>
            <w:pPr>
              <w:spacing w:after="40"/>
              <w:jc w:val="left"/>
            </w:pPr>
            <w:r>
              <w:rPr>
                <w:sz w:val="19"/>
                <w:szCs w:val="19"/>
              </w:rPr>
              <w:t xml:space="preserve">Point-In-Time Restore. Restauración a un punto específico.</w:t>
            </w:r>
          </w:p>
        </w:tc>
      </w:tr>
      <w:tr>
        <w:tc>
          <w:tcPr>
            <w:tcW w:type="dxa" w:w="1800"/>
            <w:tcBorders>
              <w:top w:val="single" w:color="BFBFBF" w:sz="6"/>
              <w:left w:val="single" w:color="BFBFBF" w:sz="6"/>
              <w:bottom w:val="single" w:color="BFBFBF" w:sz="6"/>
              <w:right w:val="single" w:color="BFBFBF" w:sz="6"/>
            </w:tcBorders>
            <w:shd w:fill="F2F2F2" w:color="auto" w:val="clear"/>
            <w:tcMar>
              <w:top w:type="dxa" w:w="90"/>
              <w:left w:type="dxa" w:w="120"/>
              <w:bottom w:type="dxa" w:w="90"/>
              <w:right w:type="dxa" w:w="120"/>
            </w:tcMar>
          </w:tcPr>
          <w:p>
            <w:pPr>
              <w:spacing w:after="40"/>
              <w:jc w:val="left"/>
            </w:pPr>
            <w:r>
              <w:rPr>
                <w:sz w:val="19"/>
                <w:szCs w:val="19"/>
              </w:rPr>
              <w:t xml:space="preserve">RPO</w:t>
            </w:r>
          </w:p>
        </w:tc>
        <w:tc>
          <w:tcPr>
            <w:tcW w:type="dxa" w:w="7560"/>
            <w:tcBorders>
              <w:top w:val="single" w:color="BFBFBF" w:sz="6"/>
              <w:left w:val="single" w:color="BFBFBF" w:sz="6"/>
              <w:bottom w:val="single" w:color="BFBFBF" w:sz="6"/>
              <w:right w:val="single" w:color="BFBFBF" w:sz="6"/>
            </w:tcBorders>
            <w:shd w:fill="F2F2F2" w:color="auto" w:val="clear"/>
            <w:tcMar>
              <w:top w:type="dxa" w:w="90"/>
              <w:left w:type="dxa" w:w="120"/>
              <w:bottom w:type="dxa" w:w="90"/>
              <w:right w:type="dxa" w:w="120"/>
            </w:tcMar>
          </w:tcPr>
          <w:p>
            <w:pPr>
              <w:spacing w:after="40"/>
              <w:jc w:val="left"/>
            </w:pPr>
            <w:r>
              <w:rPr>
                <w:sz w:val="19"/>
                <w:szCs w:val="19"/>
              </w:rPr>
              <w:t xml:space="preserve">Recovery Point Objective. Pérdida máxima de datos tolerable.</w:t>
            </w:r>
          </w:p>
        </w:tc>
      </w:tr>
      <w:tr>
        <w:tc>
          <w:tcPr>
            <w:tcW w:type="dxa" w:w="1800"/>
            <w:tcBorders>
              <w:top w:val="single" w:color="BFBFBF" w:sz="6"/>
              <w:left w:val="single" w:color="BFBFBF" w:sz="6"/>
              <w:bottom w:val="single" w:color="BFBFBF" w:sz="6"/>
              <w:right w:val="single" w:color="BFBFBF" w:sz="6"/>
            </w:tcBorders>
            <w:tcMar>
              <w:top w:type="dxa" w:w="90"/>
              <w:left w:type="dxa" w:w="120"/>
              <w:bottom w:type="dxa" w:w="90"/>
              <w:right w:type="dxa" w:w="120"/>
            </w:tcMar>
          </w:tcPr>
          <w:p>
            <w:pPr>
              <w:spacing w:after="40"/>
              <w:jc w:val="left"/>
            </w:pPr>
            <w:r>
              <w:rPr>
                <w:sz w:val="19"/>
                <w:szCs w:val="19"/>
              </w:rPr>
              <w:t xml:space="preserve">RTO</w:t>
            </w:r>
          </w:p>
        </w:tc>
        <w:tc>
          <w:tcPr>
            <w:tcW w:type="dxa" w:w="7560"/>
            <w:tcBorders>
              <w:top w:val="single" w:color="BFBFBF" w:sz="6"/>
              <w:left w:val="single" w:color="BFBFBF" w:sz="6"/>
              <w:bottom w:val="single" w:color="BFBFBF" w:sz="6"/>
              <w:right w:val="single" w:color="BFBFBF" w:sz="6"/>
            </w:tcBorders>
            <w:tcMar>
              <w:top w:type="dxa" w:w="90"/>
              <w:left w:type="dxa" w:w="120"/>
              <w:bottom w:type="dxa" w:w="90"/>
              <w:right w:type="dxa" w:w="120"/>
            </w:tcMar>
          </w:tcPr>
          <w:p>
            <w:pPr>
              <w:spacing w:after="40"/>
              <w:jc w:val="left"/>
            </w:pPr>
            <w:r>
              <w:rPr>
                <w:sz w:val="19"/>
                <w:szCs w:val="19"/>
              </w:rPr>
              <w:t xml:space="preserve">Recovery Time Objective. Tiempo máximo de recuperación tolerable.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jc w:val="center"/>
    </w:pPr>
    <w:r>
      <w:rPr>
        <w:color w:val="595959"/>
        <w:sz w:val="18"/>
        <w:szCs w:val="18"/>
      </w:rPr>
      <w:t xml:space="preserve">Página </w:t>
    </w:r>
    <w:r>
      <w:rPr>
        <w:color w:val="595959"/>
        <w:sz w:val="18"/>
        <w:szCs w:val="18"/>
      </w:rPr>
      <w:fldChar w:fldCharType="begin"/>
      <w:instrText xml:space="preserve">PAGE</w:instrText>
      <w:fldChar w:fldCharType="separate"/>
      <w:fldChar w:fldCharType="end"/>
    </w:r>
    <w:r>
      <w:rPr>
        <w:color w:val="595959"/>
        <w:sz w:val="18"/>
        <w:szCs w:val="18"/>
      </w:rPr>
      <w:t xml:space="preserve"> de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jc w:val="right"/>
    </w:pPr>
    <w:r>
      <w:rPr>
        <w:i/>
        <w:iCs/>
        <w:color w:val="595959"/>
        <w:sz w:val="18"/>
        <w:szCs w:val="18"/>
      </w:rPr>
      <w:t xml:space="preserve">Estrategia de Respaldo Azure  |  Uso Interno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9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0B5394"/>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1F4E79"/>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Estrategia de Respaldo para Servicios en Azure</dc:title>
  <dc:creator>Equipo de Arquitectura Cloud</dc:creator>
  <dc:description>Documento técnico de estrategia de respaldo y recuperación</dc:description>
  <cp:lastModifiedBy>Un-named</cp:lastModifiedBy>
  <cp:revision>1</cp:revision>
  <dcterms:created xsi:type="dcterms:W3CDTF">2026-06-19T04:45:03.049Z</dcterms:created>
  <dcterms:modified xsi:type="dcterms:W3CDTF">2026-06-19T04:45:03.050Z</dcterms:modified>
</cp:coreProperties>
</file>

<file path=docProps/custom.xml><?xml version="1.0" encoding="utf-8"?>
<Properties xmlns="http://schemas.openxmlformats.org/officeDocument/2006/custom-properties" xmlns:vt="http://schemas.openxmlformats.org/officeDocument/2006/docPropsVTypes"/>
</file>