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va la arquitectura completa. La voy a presentar en dos partes: primero el diagrama estructural de los componentes, luego la calculadora de costos interactiva.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21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arquitectura se organiza en cuatro capas. Ahora la calculadora de costos, donde puedes ajustar el tamaño de tu plataforma y ver el desglose mensual por servicio.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94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4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Aquí tienes la arquitectura completa. Un resumen de las decisiones clave: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cuatro capas y por qué cada una: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capa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frontend y entrega</w:t>
      </w:r>
      <w:r w:rsidDel="00000000" w:rsidR="00000000" w:rsidRPr="00000000">
        <w:rPr>
          <w:sz w:val="20"/>
          <w:szCs w:val="20"/>
          <w:rtl w:val="0"/>
        </w:rPr>
        <w:t xml:space="preserve"> usa Static Web Apps porque incluye CI/CD nativo, certificados SSL automáticos y hosting gratuito para tráfico bajo. El CDN es crítico específicamente para una plataforma de mapas porque los tiles del mapa son muchas peticiones pequeñas — con caché el costo de Azure Maps puede caer hasta 70%.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capa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sz w:val="20"/>
          <w:szCs w:val="20"/>
          <w:rtl w:val="0"/>
        </w:rPr>
        <w:t xml:space="preserve"> usa Azure Functions en lugar de un servidor siempre encendido, porque el tráfico de Real Estate es muy variable (picos de fin de semana, días festivos). Azure AI Search reemplaza a un LIKE en SQL porque permite filtros facetados como "casas de 3 cuartos, menos de $5M, en radio de 2 km de metro", que son el corazón del buscador de propiedades.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capa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datos</w:t>
      </w:r>
      <w:r w:rsidDel="00000000" w:rsidR="00000000" w:rsidRPr="00000000">
        <w:rPr>
          <w:sz w:val="20"/>
          <w:szCs w:val="20"/>
          <w:rtl w:val="0"/>
        </w:rPr>
        <w:t xml:space="preserve"> separa tres tipos de almacenamiento con intención: Azure SQL para datos relacionales con coordenadas geoespaciales nativas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geography</w:t>
      </w:r>
      <w:r w:rsidDel="00000000" w:rsidR="00000000" w:rsidRPr="00000000">
        <w:rPr>
          <w:sz w:val="20"/>
          <w:szCs w:val="20"/>
          <w:rtl w:val="0"/>
        </w:rPr>
        <w:t xml:space="preserve"> type), Blob Storage para el contenido binario pesado (fotos, videos, recorridos 360°), y Redis Cache para no repetir consultas costosas al mapa.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Sobre los costos:</w:t>
      </w:r>
      <w:r w:rsidDel="00000000" w:rsidR="00000000" w:rsidRPr="00000000">
        <w:rPr>
          <w:sz w:val="20"/>
          <w:szCs w:val="20"/>
          <w:rtl w:val="0"/>
        </w:rPr>
        <w:t xml:space="preserve"> ajusta los sliders al tamaño real de tu operación. Con la escala PyME preconfigurada (10,000 usuarios, 2,000 propiedades) el costo ronda los $100–150 USD/mes, donde la mayor parte viene de Azure SQL y Azure Maps una vez que se supera el free tier de 500K transacciones. Los tres botones al pie de la calculadora te permiten explorar el código de despliegue (Terraform/Bicep), la guía de escalado y el modelo de seguridad Zero Trust.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94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4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