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D2137"/>
          <w:sz w:val="64"/>
          <w:szCs w:val="64"/>
        </w:rPr>
        <w:t xml:space="preserve">MATRIZ DE TOMA DE DECISIONES</w:t>
      </w:r>
    </w:p>
    <w:p>
      <w:pPr>
        <w:pBdr>
          <w:bottom w:val="single" w:color="1565C0" w:sz="8" w:space="6"/>
        </w:pBdr>
        <w:spacing w:after="40" w:before="0"/>
        <w:jc w:val="center"/>
      </w:pPr>
      <w:r>
        <w:rPr>
          <w:rFonts w:ascii="Calibri" w:cs="Calibri" w:eastAsia="Calibri" w:hAnsi="Calibri"/>
          <w:color w:val="1565C0"/>
          <w:sz w:val="34"/>
          <w:szCs w:val="34"/>
        </w:rPr>
        <w:t xml:space="preserve">Diseño e Implementación de SQL Server Always On</w:t>
      </w:r>
    </w:p>
    <w:p>
      <w:pPr>
        <w:spacing w:after="0" w:before="1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Edición  ·  Replicación  ·  Hardware  ·  Red  ·  Almacenamiento  ·  Topología  ·  Failover  ·  Sizing  ·  Monitoreo</w:t>
      </w:r>
    </w:p>
    <w:p>
      <w:pPr>
        <w:spacing w:after="0" w:before="21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8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Objetivo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8"/>
                <w:szCs w:val="18"/>
              </w:rPr>
              <w:t xml:space="preserve">Proveer criterios objetivos de decisión para cada dimensión clave del diseño de Always On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Audiencia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8"/>
                <w:szCs w:val="18"/>
              </w:rPr>
              <w:t xml:space="preserve">Arquitectos de solución, DBAs, líderes de proyecto e infraestructura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Versión SQL target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SQL Server 2022 Enterprise Edition  —  Always On Availability Groups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Número de matrices</w:t>
            </w:r>
          </w:p>
        </w:tc>
        <w:tc>
          <w:tcPr>
            <w:tcW w:type="dxa" w:w="6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8"/>
                <w:szCs w:val="18"/>
              </w:rPr>
              <w:t xml:space="preserve">10 dimensiones de decisión cubiertas + Resumen Ejecutivo</w:t>
            </w:r>
          </w:p>
        </w:tc>
      </w:tr>
    </w:tbl>
    <w:p>
      <w:r>
        <w:br w:type="page"/>
      </w:r>
    </w:p>
    <w:p>
      <w:pPr>
        <w:shd w:fill="1565C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1️⃣  EDICIÓN SQL SERVER: Standard vs. Enterprise</w:t>
      </w:r>
    </w:p>
    <w:p>
      <w:pPr>
        <w:shd w:fill="1565C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Factor crítico — Enterprise es obligatorio para Always On AG completo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2220"/>
        <w:gridCol w:w="224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 de decisión</w:t>
            </w:r>
          </w:p>
        </w:tc>
        <w:tc>
          <w:tcPr>
            <w:tcW w:type="dxa" w:w="1600"/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455A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Standard Edition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Enterprise Edition</w:t>
            </w:r>
          </w:p>
        </w:tc>
        <w:tc>
          <w:tcPr>
            <w:tcW w:type="dxa" w:w="222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224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Always On AG nativo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❌ NO disponible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Basic AG: 1 BD max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71C1C"/>
                <w:sz w:val="16"/>
                <w:szCs w:val="16"/>
              </w:rPr>
              <w:t xml:space="preserve">Sin readable secondary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✅ COMPLETO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Hasta 9 réplicas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Readable secondary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Read-Only Routing</w:t>
            </w:r>
          </w:p>
        </w:tc>
        <w:tc>
          <w:tcPr>
            <w:tcW w:type="dxa" w:w="22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¿Requieres más de 1 BD en el AG?
¿Necesitas réplicas de solo lectura?
¿DRP con réplica asíncrona?
→ Si alguna respuesta es Sí: Enterprise obligatorio.</w:t>
            </w:r>
          </w:p>
        </w:tc>
        <w:tc>
          <w:tcPr>
            <w:tcW w:type="dxa" w:w="2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Enterprise Edition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Para cualquier AG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productivo real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Número de réplicas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Máx. 2 (Basic AG)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1 primaria + 1 secundaria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Hasta 9 réplicas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3 sync + 6 async</w:t>
            </w:r>
          </w:p>
        </w:tc>
        <w:tc>
          <w:tcPr>
            <w:tcW w:type="dxa" w:w="22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Para un AG con Site A (2 nodos) + DRP se necesitan mínimo 3 réplicas → Enterprise.</w:t>
            </w:r>
          </w:p>
        </w:tc>
        <w:tc>
          <w:tcPr>
            <w:tcW w:type="dxa" w:w="2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Enterprise
(≥ 3 réplicas)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Costo de licencia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~$900 USD/núcleo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(más bajo)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~$3,700 USD/núcleo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(más alto)</w:t>
            </w:r>
          </w:p>
        </w:tc>
        <w:tc>
          <w:tcPr>
            <w:tcW w:type="dxa" w:w="22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Software Assurance cubre réplicas pasivas en Enterprise. Con SA, los nodos secundarios pasivos NO requieren licencia adicional.</w:t>
            </w:r>
          </w:p>
        </w:tc>
        <w:tc>
          <w:tcPr>
            <w:tcW w:type="dxa" w:w="2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Enterprise + SA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Réplicas pasivas gratis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In-Memory OLTP
(Hekaton)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7"/>
                <w:szCs w:val="17"/>
              </w:rPr>
              <w:t xml:space="preserve">❌ No disponible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✅ Disponible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OLTP alto rendimiento</w:t>
            </w:r>
          </w:p>
        </w:tc>
        <w:tc>
          <w:tcPr>
            <w:tcW w:type="dxa" w:w="22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Si la aplicación tiene tablas con &gt;1,000 inserts/seg o bloqueos severos, In-Memory OLTP puede eliminar el problema.</w:t>
            </w:r>
          </w:p>
        </w:tc>
        <w:tc>
          <w:tcPr>
            <w:tcW w:type="dxa" w:w="2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Enterprise si hay
alta concurrencia OLTP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Columnstore Index
(Analítica / BI)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⚠️ Limitado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No-clustered / read-only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✅ Completo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Clustered + updateable</w:t>
            </w:r>
          </w:p>
        </w:tc>
        <w:tc>
          <w:tcPr>
            <w:tcW w:type="dxa" w:w="22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Si la réplica secundaria se usará para reportes analíticos (BI), el Columnstore updateable de Enterprise reduce drásticamente los tiempos.</w:t>
            </w:r>
          </w:p>
        </w:tc>
        <w:tc>
          <w:tcPr>
            <w:tcW w:type="dxa" w:w="22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Enterprise si hay
carga BI/reportes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B71C1C"/>
          <w:sz w:val="20"/>
          <w:szCs w:val="20"/>
        </w:rPr>
        <w:t xml:space="preserve">⚠️  Advertencia crítica: SQL Server Standard Edition incluye un 'Basic Availability Group' limitado a 1 sola base de datos, sin réplica de lectura y sin Read-Only Routing. Para cualquier entorno productivo real con múltiples bases de datos, réplicas de lectura y DRP, Enterprise Edition es el único camino.</w:t>
      </w:r>
    </w:p>
    <w:p>
      <w:r>
        <w:br w:type="page"/>
      </w:r>
    </w:p>
    <w:p>
      <w:pPr>
        <w:shd w:fill="1565C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2️⃣  MODO DE REPLICACIÓN: Síncrona vs. Asíncrona</w:t>
      </w:r>
    </w:p>
    <w:p>
      <w:pPr>
        <w:shd w:fill="1565C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Define el RPO, el RTO y el impacto en rendimiento del primario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60"/>
        <w:gridCol w:w="2060"/>
        <w:gridCol w:w="2160"/>
        <w:gridCol w:w="138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0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🔒 Síncrono</w:t>
            </w:r>
          </w:p>
        </w:tc>
        <w:tc>
          <w:tcPr>
            <w:tcW w:type="dxa" w:w="20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📡 Asíncrono</w:t>
            </w:r>
          </w:p>
        </w:tc>
        <w:tc>
          <w:tcPr>
            <w:tcW w:type="dxa" w:w="2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1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¿Cuándo usar?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RPO (pérdida de datos)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RPO = 0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Cero pérdida garantizada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en caso de failover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RPO &gt; 0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Pérdida = transacciones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pendientes de replicar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¿Cuánto puede perder el negocio? Si la respuesta es 'nada', el modo síncrono es mandatorio.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Síncrono entre nodos del mismo Site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Impacto en rendimiento
del primario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⚠️ Alto impacto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Cada commit espera ACK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de la secundaria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✅ Sin impacto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El primario confirma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sin esperar réplica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A mayor latencia de red entre nodos, mayor impacto en el rendimiento del primario en modo síncrono.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Async para nodos con latencia &gt; 1 ms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Latencia de red
aconsejada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&lt; 1 ms ideal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&lt; 5 ms aceptable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&gt; 10 ms = riesgo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Tolerante a latencia alta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10–100 ms aceptable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Inter-datacenter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Medir con PING entre nodos antes de decidir. Latencia &gt; 5 ms en síncrono degrada el TPS del primario.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Async si latencia ≥ 5 ms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Failover automático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✅ Disponible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WSFC detecta falla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y promueve secundaria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❌ Solo manual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Requiere intervención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DBA / operaciones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failover automático solo está disponible en modo síncrono. El asíncrono requiere failover forzado manual.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Síncrono para FO automático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Número de réplicas
síncronas (SQL 2022)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Hasta 3 síncronas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(SQL 2022 Enterprise)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Hasta 6 asíncronas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adicionales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SQL 2022 amplió de 2 a 3 las réplicas síncronas simultáneas. Ideal: 2 síncronas Site A + 1 asíncrona DRP.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 sync (SiteA) +
1 async (DRP)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Uso típico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Mismo datacenter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o misma LAN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Site A Nodo 1 ↔ Nodo 2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Sitio remoto / DRP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Site B / Cloud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Latencia WAN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arquitectura estándar combina ambos: síncrono entre nodos locales (misma LAN) y asíncrono hacia el DRP.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Combinar ambos según topología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Readable Secondary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✅ Sí (Enterprise)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Replica puede servir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consultas de lectura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7"/>
                <w:szCs w:val="17"/>
              </w:rPr>
              <w:t xml:space="preserve">✅ Sí (Enterprise)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DRP puede servir reportes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7"/>
                <w:szCs w:val="17"/>
              </w:rPr>
              <w:t xml:space="preserve">con datos cerca de real-time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réplica de lectura reduce la carga del primario. Con async, los datos en la réplica pueden estar segundos/minutos atrás.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Lectura en secundaria
síncr. o asíncr. según SLA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Arquitectura recomendada: Síncrono entre Nodo A y Nodo B (mismo Site, misma LAN, &lt; 1 ms) con failover automático. Asíncrono entre Site Primario y Site DRP con failover manual. Nunca síncrono hacia el DRP si la latencia WAN supera 5 ms.</w:t>
      </w:r>
    </w:p>
    <w:p>
      <w:r>
        <w:br w:type="page"/>
      </w:r>
    </w:p>
    <w:p>
      <w:pPr>
        <w:shd w:fill="4A148C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3️⃣  HARDWARE: Físico (Bare Metal) vs. Máquina Virtual</w:t>
      </w:r>
    </w:p>
    <w:p>
      <w:pPr>
        <w:shd w:fill="4A148C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Ambas opciones son soportadas por Microsoft; la elección depende del SLA y presupuesto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2100"/>
        <w:gridCol w:w="176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9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🖥️ Hardware Físico (Bare Metal)</w:t>
            </w:r>
          </w:p>
        </w:tc>
        <w:tc>
          <w:tcPr>
            <w:tcW w:type="dxa" w:w="1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☁️ Máquina Virtual (VM)</w:t>
            </w:r>
          </w:p>
        </w:tc>
        <w:tc>
          <w:tcPr>
            <w:tcW w:type="dxa" w:w="21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1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Rendimiento I/O
(Almacenamiento)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✅ Máximo rendimiento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Acceso directo a NVMe/SAS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Sin overhead de hipervisor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⚠️ Overhead del hipervisor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5–15% latencia adicional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Mejorable con paravirtualización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Cargas con &gt;10,000 IOPS sostenidas o latencia &lt; 1ms crítica en TempDB/LOG se benefician de bare metal.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Físico para cargas
IOPS extremas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WSFC y Always On
en VM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Nativo, sin restricciones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✅ Totalmente soportado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por Microsoft en VMware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y Hyper-V con ajustes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Microsoft soporta WSFC/AG en VMs con configuraciones específicas: no usar vMotion durante operación crítica, separar discos de datos/log.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VM con configuración
correcta = aceptable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Quórum del Cluster
(WSFC)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File Share Witness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en servidor independiente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Cloud Witness (Azure)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o File Share en VM separada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En entornos virtuales, el Cloud Witness (Azure Storage Account) es la opción más confiable y económica para quórum.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Cloud Witness para
entornos virtuales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Alta disponibilidad
de la plataforma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Depende del hardware: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falla de host = nodo perdido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✅ El hipervisor protege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contra falla de hardware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(HA del hipervisor + AG)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 VMs, tienes doble capa de HA: el hipervisor protege contra falla física y el AG protege contra falla de SQL/OS.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VM: doble capa HA
(hipervisor + AG)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Configuración de
vCPU/RAM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Recursos 100% dedicados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sin contención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Reservar CPU+RAM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en el hipervisor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(no usar balón de memoria)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NUNCA permitir que el hipervisor asigne memoria dinámica a nodos SQL de AG. Reservar recursos dedicados estáticos.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Reserva estática de
CPU y RAM obligatoria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Costo inicial
(CapEx)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Alto: servidores, racks,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red, cabling, licencias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Menor CapEx: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reutiliza infraestructura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hipervisor existente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Si ya existe infraestructura de virtualización, el costo incremental de agregar VMs es mucho menor al de comprar bare metal.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VM si hay hipervisor
existente y SLA lo permite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Mantenimiento y
patches de OS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A148C"/>
                <w:sz w:val="17"/>
                <w:szCs w:val="17"/>
              </w:rPr>
              <w:t xml:space="preserve">Requiere ventana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de mantenimiento física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148C"/>
                <w:sz w:val="17"/>
                <w:szCs w:val="17"/>
              </w:rPr>
              <w:t xml:space="preserve">por nodo</w:t>
            </w:r>
          </w:p>
        </w:tc>
        <w:tc>
          <w:tcPr>
            <w:tcW w:type="dxa" w:w="19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7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17"/>
                <w:szCs w:val="17"/>
              </w:rPr>
              <w:t xml:space="preserve">✅ Live Migration/vMotion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permite patches sin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6064"/>
                <w:sz w:val="17"/>
                <w:szCs w:val="17"/>
              </w:rPr>
              <w:t xml:space="preserve">interrupción (con cuidados)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En VMs con Hyper-V Live Migration o VMware vMotion, los patches del hipervisor pueden aplicarse sin apagar el nodo SQL.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VM facilita mantenimiento
de infraestructura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Recomendación: Virtualización (VMware/Hyper-V) con recursos reservados estáticos es la opción más común y flexible. Bare metal solo si la carga supera 50,000 IOPS sostenidas o si la latencia de storage &lt; 0.2 ms es crítica para el negocio.</w:t>
      </w:r>
    </w:p>
    <w:p>
      <w:r>
        <w:br w:type="page"/>
      </w:r>
    </w:p>
    <w:p>
      <w:pPr>
        <w:shd w:fill="006064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4️⃣  RED Y CONECTIVIDAD: Ancho de banda, VLANs, Firewall y Latencia</w:t>
      </w:r>
    </w:p>
    <w:p>
      <w:pPr>
        <w:shd w:fill="006064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La red de replicación es el componente más frecuentemente subestimado en implementaciones AG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80"/>
        <w:gridCol w:w="1380"/>
        <w:gridCol w:w="1380"/>
        <w:gridCol w:w="2160"/>
        <w:gridCol w:w="136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380"/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455A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 Gbps</w:t>
            </w:r>
          </w:p>
        </w:tc>
        <w:tc>
          <w:tcPr>
            <w:tcW w:type="dxa" w:w="13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 Gbps</w:t>
            </w:r>
          </w:p>
        </w:tc>
        <w:tc>
          <w:tcPr>
            <w:tcW w:type="dxa" w:w="1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25 Gbps+</w:t>
            </w:r>
          </w:p>
        </w:tc>
        <w:tc>
          <w:tcPr>
            <w:tcW w:type="dxa" w:w="2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1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Red de replicación
(endpoint 5022)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⚠️ Mínimo aceptable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BDs pequeñas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&lt; 100 GB total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Estándar recomendado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para la mayoría de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entornos productivos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🚀 Ideal para VLDB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 múltiples BDs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con alta tasa de cambio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ancho de banda de replicación debe ser ≥ tasa de generación de log en horas pico × 2 (margen de seguridad).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10 Gbps mínimo
para producción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Red de aplicación
(Listener 1433)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✅ Suficiente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mayoría de aplicaciones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OLTP normales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Recomendado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altas concurrencia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o tráfico intenso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Para data warehouses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 muchas conexiones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concurrentes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tráfico de aplicación al Listener es independiente del tráfico de replicación. Usar NICs separadas.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NICs separadas para
aplicación y replicación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Segmentación de red
(VLANs)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No recomendado: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mezclar tráfico de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replicación y aplicación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VLAN dedicada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tráfico AG (endpoint 5022)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+ VLAN para clientes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VLAN replicación +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VLAN clientes +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VLAN gestión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Separar el tráfico de replicación del tráfico de aplicación previene que picos de consultas afecten la latencia del AG.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Mínimo 2 VLANs:
replicación + clientes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Latencia entre
nodos síncronos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&gt; 1 ms: riesgo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modo síncrono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&lt; 1 ms ideal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(mismo rack/sala)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&lt; 0.5 ms en redes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de ultra baja latencia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Cada ms de latencia de red se traduce en ms adicionales de latencia en commits del primario en modo síncrono.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&lt; 1 ms para síncrono
&lt; 50 ms para asíncrono DRP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Jumbo Frames
(MTU 9000)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No aplica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(estándar 1500 MTU)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Recomendado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Habilitar Jumbo Frames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para replicación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✅ Recomendado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Jumbo Frames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reduce overhead CPU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Habilitar Jumbo Frames (MTU 9000) en la NIC de replicación reduce el overhead de CPU en transferencias grandes. Requiere configuración en todos los switches.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Habilitar Jumbo Frames
en NIC de replicación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NIC Teaming /
Bonding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No viable con 1 Gbps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replicación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LACP/802.3ad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resiliencia en red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de replicación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Active-Active NIC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Teaming para máximo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ancho de banda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Configurar NIC Teaming en la interfaz de replicación da resiliencia ante falla de un puerto de red sin afectar el AG.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NIC Teaming (LACP)
en red de replicación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Firewall entre
nodos AG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Abrir TCP 1433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(SQL Listener)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Abrir TCP 5022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(endpoint AG)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+ TCP 1433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Abrir 1433, 5022,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puertos WSFC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(UDP 3343, TCP 3343)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Puertos requeridos: TCP 1433 (SQL), TCP 5022 (AG endpoint), TCP/UDP 3343 (WSFC heartbeat). Sin estos el cluster no puede formarse.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Abrir: 1433, 5022,
3343 (TCP y UDP)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Regla de oro: NUNCA compartir la NIC de replicación del AG (puerto 5022) con el tráfico de aplicaciones o backup. Una NIC dedicada de 10 Gbps para replicación con Jumbo Frames (MTU 9000) es el estándar mínimo para entornos productivos.</w:t>
      </w:r>
    </w:p>
    <w:p>
      <w:r>
        <w:br w:type="page"/>
      </w:r>
    </w:p>
    <w:p>
      <w:pPr>
        <w:shd w:fill="1B5E2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5️⃣  ALMACENAMIENTO: HDD vs. SSD vs. NVMe + Diseño de volúmenes</w:t>
      </w:r>
    </w:p>
    <w:p>
      <w:pPr>
        <w:shd w:fill="1B5E2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El almacenamiento del LOG de transacciones es el factor más crítico para el rendimiento del AG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80"/>
        <w:gridCol w:w="1580"/>
        <w:gridCol w:w="1580"/>
        <w:gridCol w:w="2160"/>
        <w:gridCol w:w="176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1580"/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455A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HDD (SATA/SAS)</w:t>
            </w:r>
          </w:p>
        </w:tc>
        <w:tc>
          <w:tcPr>
            <w:tcW w:type="dxa" w:w="15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SSD SATA/SAS</w:t>
            </w:r>
          </w:p>
        </w:tc>
        <w:tc>
          <w:tcPr>
            <w:tcW w:type="dxa" w:w="15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NVMe PCIe</w:t>
            </w:r>
          </w:p>
        </w:tc>
        <w:tc>
          <w:tcPr>
            <w:tcW w:type="dxa" w:w="2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1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Archivos de LOG
(.ldf)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❌ No recomendado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Latencia &gt; 5ms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Cuellos de botella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Mínimo recomendado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&lt; 1ms escritura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IMPACTO DIRECTO en AG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🚀 Óptimo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&lt; 0.2ms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Soporte cargas intensas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log de transacciones es el componente más crítico para el AG. La latencia de escritura en el .ldf afecta directamente el throughput de replicación.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SSD o NVMe dedicado
exclusivo para .ldf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Archivos de datos
(.mdf/.ndf)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⚠️ Solo para archivos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hisóricos / frío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Estándar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datos productivos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OLTP normal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🚀 Recomendado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VLDB o alta concurrencia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de lectura random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Los archivos de datos requieren buen rendimiento en lecturas aleatorias. SSD reduce time-to-first-byte en queries complejas.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SSD para datos
NVMe si presupuesto
permite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TempDB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❌ Nunca en HDD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producción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SSD dedicado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Separado de datos y log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🚀 NVMe ideal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TempDB es intensivo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en I/O aleatorio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TempDB debe estar en un disco SSD SEPARADO de datos y log. En SQL 2022: 1 archivo por núcleo lógico (máx 8) en el mismo volumen.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NVMe o SSD dedicado
1 archivo/núcleo (máx 8)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Separación de
volúmenes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Mínimo 2 discos: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Datos + Log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Óptimo: 4 volúmenes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DATOS / LOG /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TEMPDB / BACKUPS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Mismo esquema de 4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volúmenes en NVMe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por rendimiento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separación de volúmenes previene que operaciones de backup o TempDB interfieran con el I/O de datos y log en horas pico.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4 volúmenes mínimo:
DATA, LOG, TEMPDB, BACKUP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RAID para AG en
Físico (Bare Metal)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RAID 10 mínimo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datos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RAID 10 en SSD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para datos y log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NVMe con RAID-E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 sin RAID (NVMe dual)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 Always On, el AG en sí provee redundancia de datos entre réplicas. El RAID local protege contra falla de disco en el nodo, no reemplaza al AG.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RAID 10 para datos/log
AG protege la BD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Almacenamiento
para backups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✅ HDD válido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backups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comprimidos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SSD puede acelerar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restauración en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emergencias</w:t>
            </w:r>
          </w:p>
        </w:tc>
        <w:tc>
          <w:tcPr>
            <w:tcW w:type="dxa" w:w="1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Backup a NVMe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+ copia a HDD/tape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para retención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Los backups en el AG se configuran en la réplica secundaria preferida. Usar un volumen de backup separado (puede ser HDD/NAS) para no impactar datos.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HDD/NAS dedicado
para backups
(secundaria preferida)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Diseño de volúmenes recomendado: D:\ (DATA — SSD), L:\ (LOG — SSD/NVMe dedicado), T:\ (TempDB — SSD separado), B:\ (BACKUP — HDD/NAS). El LOG en SSD es la inversión con mayor retorno en rendimiento del AG.</w:t>
      </w:r>
    </w:p>
    <w:p>
      <w:r>
        <w:br w:type="page"/>
      </w:r>
    </w:p>
    <w:p>
      <w:pPr>
        <w:shd w:fill="1565C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6️⃣  TOPOLOGÍA DEL AVAILABILITY GROUP: 2, 3 o N nodos</w:t>
      </w:r>
    </w:p>
    <w:p>
      <w:pPr>
        <w:shd w:fill="1565C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La topología define el SLA, el costo y la complejidad operativa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60"/>
        <w:gridCol w:w="1860"/>
        <w:gridCol w:w="1860"/>
        <w:gridCol w:w="208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1860"/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455A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Topología 2 nodos
(Básica)</w:t>
            </w:r>
          </w:p>
        </w:tc>
        <w:tc>
          <w:tcPr>
            <w:tcW w:type="dxa" w:w="18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Topología 3 nodos
(Recomendada)</w:t>
            </w:r>
          </w:p>
        </w:tc>
        <w:tc>
          <w:tcPr>
            <w:tcW w:type="dxa" w:w="18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Topología 4–9 nodos
(Enterprise avanzada)</w:t>
            </w:r>
          </w:p>
        </w:tc>
        <w:tc>
          <w:tcPr>
            <w:tcW w:type="dxa" w:w="208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Consideración / Decisor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1 Primario + 1 Secundario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Síncrono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Sin DRP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 Primario + 1 Síncrono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+ 1 Asíncrono DRP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Arquitectura estándar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1 Primario + 2 Síncronos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+ N Asíncronos (DRP, lecturas)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Arquitectura enterprise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topología de 3 nodos (2 en Site A + 1 DRP) es el diseño de referencia más común y equilibrado.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Disponibilidad
(SLA)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99.9%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Failover automático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entre 2 nodos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99.99%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Failover + DRP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cubiertos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99.999%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Múltiples sitios y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roles especializados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Cada 9 adicional en el SLA requiere mayor inversión. El salto de 99.9% a 99.99% es el más rentable.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Quórum WSFC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2 votos: empate posible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→ Requiere Witness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File Share o Cloud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 votos: mayoría posible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sin Witness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(recomendado igual)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4+ votos: mayoría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robusta, Witness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opcional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 3 nodos, el quórum es por mayoría de votos (2 de 3). Con 2 nodos siempre se necesita un Witness.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Readable Secondary
para reportes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Solo 1 réplica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lectura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(la secundaria)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 réplicas disponibles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para lectura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(síncrona + DRP)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N réplicas dedicadas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 lectura, reportes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o BI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En topología de 3 nodos, puedes configurar Read-Only Routing para balancear lecturas entre la réplica síncrona local y la asíncrona DRP.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Costo (licencias
+ infraestructura)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Mínimo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2 servidores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2 licencias Enterprise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Estándar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3 servidores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1 licencia activa + 2 pasivas SA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Alto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4–9 servidores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Licencias por uso activo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 Software Assurance, los nodos secundarios pasivos (failover standby) no requieren licencia adicional de SQL Server.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Caso de uso
típico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Entornos pequeños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o presupuesto limitado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Sin DRP formal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✅ Recomendado 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la mayoría de entornos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productivos medianos/grandes</w:t>
            </w:r>
          </w:p>
        </w:tc>
        <w:tc>
          <w:tcPr>
            <w:tcW w:type="dxa" w:w="18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Entornos bancarios,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transaccionales críticos,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multi-región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Para la aplicación de Contabilidad, la topología de 3 nodos (Nodo A, Nodo B síncronos + Nodo DRP asíncrono) es el estándar de facto.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Topología de referencia: 3 nodos (Nodo 1 primario + Nodo 2 síncrono en Site A + Nodo 3 asíncrono en Site DRP). Esta topología cubre failover automático local + recuperación de desastres con un costo y complejidad razonables.</w:t>
      </w:r>
    </w:p>
    <w:p>
      <w:r>
        <w:br w:type="page"/>
      </w:r>
    </w:p>
    <w:p>
      <w:pPr>
        <w:shd w:fill="1B5E2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7️⃣  FAILOVER: Automático vs. Manual — Configuración y Comportamiento</w:t>
      </w:r>
    </w:p>
    <w:p>
      <w:pPr>
        <w:shd w:fill="1B5E2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El modo de failover determina el RTO real y el nivel de intervención humana requerido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60"/>
        <w:gridCol w:w="2060"/>
        <w:gridCol w:w="2160"/>
        <w:gridCol w:w="138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0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🤖 Failover Automático</w:t>
            </w:r>
          </w:p>
        </w:tc>
        <w:tc>
          <w:tcPr>
            <w:tcW w:type="dxa" w:w="20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👤 Failover Manual</w:t>
            </w:r>
          </w:p>
        </w:tc>
        <w:tc>
          <w:tcPr>
            <w:tcW w:type="dxa" w:w="2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clave de decisión</w:t>
            </w:r>
          </w:p>
        </w:tc>
        <w:tc>
          <w:tcPr>
            <w:tcW w:type="dxa" w:w="13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Requisito previo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Modo síncrono +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WSFC configurado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+ réplica Healthy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No requiere modo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síncrono ni WSFC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en estado Healthy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failover automático solo ocurre cuando el modo de replicación es SYNCHRONOUS_COMMIT y el estado del AG es SYNCHRONIZED.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Automático entre
nodos síncronos del
Site Primario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RTO (tiempo
de recuperación)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&lt; 30 segundos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(típicamente 15–20 s)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Sin intervención humana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5–30 minutos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dependiendo de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proceso aprobación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RTO del failover automático incluye: detección de falla WSFC (10 s), promoción de secundaria (5 s), reconexión de aplicaciones (5 s).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Automático para SLA
&lt; 1 min. Manual para
aprobaciones formales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RPO en el
failover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RPO = 0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(modo síncrono,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sin pérdida de datos)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RPO &gt; 0 si asíncrono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o si hay transacciones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pendientes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 failover automático en modo síncrono, todas las transacciones confirmadas en el primario están garantizadas en la secundaria.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Automático = RPO 0
Manual async = RPO &gt; 0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Condiciones de
disparo automático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Falla del servicio SQL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Falla del S.O.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Falla del nodo físico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N/A (lo dispara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el DBA / NOC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manualmente)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WSFC usa un health check (cada 5 seg, timeout 30 seg) para detectar fallas. Se puede ajustar FAILURE_CONDITION_LEVEL del AG.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Configurar FAILURE_
CONDITION_LEVEL = 3
para producción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Failover al
Site DRP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❌ No disponible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(DRP debe ser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asíncrono = manual)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✅ Sí: failover forzado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con posible pérdida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de datos (async)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failover al DRP siempre es manual y requiere comando FORCE_FAILOVER_ALLOW_DATA_LOSS. Documentar el proceso claramente.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DRP = siempre manual
y documentado con
procedimiento aprobado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Impacto en
aplicación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Reconexión automática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si MultiSubnetFailover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=True en conexión</w:t>
            </w:r>
          </w:p>
        </w:tc>
        <w:tc>
          <w:tcPr>
            <w:tcW w:type="dxa" w:w="20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Requiere actualizar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cadenas o esperar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reconexión natural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Sin MultiSubnetFailover=True, la aplicación puede tardar hasta 20–60 segundos adicionales en detectar el nuevo primario.</w:t>
            </w:r>
          </w:p>
        </w:tc>
        <w:tc>
          <w:tcPr>
            <w:tcW w:type="dxa" w:w="13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Obligatorio:
MultiSubnetFailover=True
en toda cadena de conexión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Configuración recomendada: Failover automático entre nodos síncronos del Site Primario (RTO &lt; 30 seg). Failover manual documentado y aprobado para el Site DRP. Siempre incluir MultiSubnetFailover=True en todas las cadenas de conexión.</w:t>
      </w:r>
    </w:p>
    <w:p>
      <w:r>
        <w:br w:type="page"/>
      </w:r>
    </w:p>
    <w:p>
      <w:pPr>
        <w:shd w:fill="E65100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8️⃣  MONITOREO Y BACKUPS EN ALWAYS ON</w:t>
      </w:r>
    </w:p>
    <w:p>
      <w:pPr>
        <w:shd w:fill="E65100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El AG cambia radicalmente la estrategia de backups: la réplica secundaria es el nodo preferido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500"/>
        <w:gridCol w:w="266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Opción A</w:t>
            </w:r>
          </w:p>
        </w:tc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Opción B</w:t>
            </w:r>
          </w:p>
        </w:tc>
        <w:tc>
          <w:tcPr>
            <w:tcW w:type="dxa" w:w="26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Factor / Recomendación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Herramienta de
monitoreo AG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Nativa: SQL Server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Dashboard + sys.dm_hadr_*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+ SQL Agent Alerts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3rd Party: Grafana+Telegraf,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SolarWinds DPA,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Redgate SQL Monitor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solución nativa es gratuita pero requiere scripting. Las herramientas de terceros dan visibilidad en tiempo real con alertas pre-configuradas. Recomendado: Grafana (open source) + queries al AG DMVs.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Backup en
AG (política)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Backup FULL en primario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(impacta rendimiento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del primario)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✅ Backup en réplica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secundaria preferida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(función nativa del AG)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Configurar AUTOMATED_BACKUP_PREFERENCE = SECONDARY en el AG y usar sys.fn_hadr_backup_is_preferred_replica() en el job de backup para solo ejecutar en el nodo preferido.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Backup LOG
para RPO fino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Job de backup de LOG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cada 15–30 min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(estándar)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Job de LOG cada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5 min o menos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para RPO &lt; 5 min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frecuencia del backup de LOG define el RPO en escenario de desastre total (pérdida del AG completo). Para RPO = 0 en producción, solo el modo síncrono garantiza esto.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Alertas críticas
del AG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SQL Agent Job que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monitorea sys.dm_hadr_*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con correo electrónico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Policy-Based Management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+ herramienta de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monitoreo centralizada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Alertas mínimas a configurar: (1) Réplica no sincronizada &gt; 60 seg, (2) Log send queue &gt; 500 MB, (3) Failover ocurrido, (4) Réplica desconectada. Usar Database Mail para notificaciones.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Dashboard de
salud del AG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SSMS: Activity Monitor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+ Always On Dashboard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(integrado)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Dashboard personalizado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en Grafana o Power BI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con datos de DMVs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El Always On Dashboard de SSMS es la primera línea de diagnóstico. Para monitoreo continuo 24/7 y alertas proactivas, complementar con Grafana o la herramienta de monitoreo existente.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✅  Estrategia de backup recomendada: Configurar AUTOMATED_BACKUP_PREFERENCE = SECONDARY en el AG y usar sys.fn_hadr_backup_is_preferred_replica() en el SQL Agent Job. Los backups FULL/LOG se ejecutan en la secundaria sin impactar al primario.</w:t>
      </w:r>
    </w:p>
    <w:p>
      <w:r>
        <w:br w:type="page"/>
      </w:r>
    </w:p>
    <w:p>
      <w:pPr>
        <w:shd w:fill="4A148C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9️⃣  SIZING: CPU, RAM y Configuración por tamaño de entorno</w:t>
      </w:r>
    </w:p>
    <w:p>
      <w:pPr>
        <w:shd w:fill="4A148C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Todos los nodos del AG deben tener los mismos recursos — nunca degradar la secundaria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20"/>
        <w:gridCol w:w="1720"/>
        <w:gridCol w:w="1720"/>
        <w:gridCol w:w="2500"/>
      </w:tblGrid>
      <w:tr>
        <w:tc>
          <w:tcPr>
            <w:tcW w:type="dxa" w:w="17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720"/>
            <w:tcBorders>
              <w:top w:val="single" w:color="455A64" w:sz="1"/>
              <w:left w:val="single" w:color="455A64" w:sz="1"/>
              <w:bottom w:val="single" w:color="455A64" w:sz="1"/>
              <w:right w:val="single" w:color="455A64" w:sz="1"/>
            </w:tcBorders>
            <w:shd w:fill="455A6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Entorno Pequeño
(&lt; 500 GB BDs)</w:t>
            </w:r>
          </w:p>
        </w:tc>
        <w:tc>
          <w:tcPr>
            <w:tcW w:type="dxa" w:w="17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Entorno Medio
(500 GB – 2 TB)</w:t>
            </w:r>
          </w:p>
        </w:tc>
        <w:tc>
          <w:tcPr>
            <w:tcW w:type="dxa" w:w="17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Entorno Grande
(&gt; 2 TB)</w:t>
            </w:r>
          </w:p>
        </w:tc>
        <w:tc>
          <w:tcPr>
            <w:tcW w:type="dxa" w:w="25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117"/>
                <w:sz w:val="19"/>
                <w:szCs w:val="19"/>
              </w:rPr>
              <w:t xml:space="preserve">Consideración clave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vCPU / Núcleos
(por nodo)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8–16 vCPU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(4 cores físicos mín.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para licencia)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16–32 vCPU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(8–16 cores físicos)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32–64+ vCPU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(16–32+ cores físicos)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SQL Server se licencia por núcleo físico (no virtual). Con VMs, mapear vCPU a núcleos físicos para calcular licencias. TempDB: 1 archivo por núcleo lógico (máx 8).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RAM (por nodo)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32–64 GB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(dejar 10% para OS)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64–256 GB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(dejar 20 GB para OS)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256 GB – 1 TB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(Buffer Pool = 80%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de la RAM disponible)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SQL Server maximiza uso de RAM para Buffer Pool (caché de páginas). Configurar 'max server memory' dejando al menos 10 GB para el OS y otros procesos.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RAM réplica
secundaria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Igual que primario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(failover transparente)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Igual que primario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(réplica debe ser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capaz de ser primario)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Igual que primario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(no reducir RAM en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secundaria/DRP)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La réplica secundaria debe tener exactamente los mismos recursos que el primario. Si falla el primario y la secundaria tiene menos RAM/CPU, el rendimiento se degradará.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NUMA y
affinidad CPU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No crítico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&lt; 8 núcleos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Configurar NUMA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para &gt; 16 núcleos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en físico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Obligatorio: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NUMA-aware SQL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+ CPU affinity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En servidores con múltiples sockets NUMA, configurar SQL Server con MAX_DOP y costo de umbral de paralelismo correctos. En VMs, alinear vNUMA con NUMA físico.</w:t>
            </w:r>
          </w:p>
        </w:tc>
      </w:tr>
      <w:tr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Max Degree of
Parallelism (MAXDOP)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55A64"/>
                <w:sz w:val="16"/>
                <w:szCs w:val="16"/>
              </w:rPr>
              <w:t xml:space="preserve">MAXDOP = 4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(o núm. de núcleos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55A64"/>
                <w:sz w:val="16"/>
                <w:szCs w:val="16"/>
              </w:rPr>
              <w:t xml:space="preserve">si &lt; 4)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MAXDOP = 8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(estándar SQL 2022)</w:t>
            </w:r>
          </w:p>
        </w:tc>
        <w:tc>
          <w:tcPr>
            <w:tcW w:type="dxa" w:w="172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MAXDOP = 8–16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(evaluar con carga</w:t>
            </w:r>
          </w:p>
          <w:p>
            <w:pPr>
              <w:spacing w:after="0" w:before="3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real en QA)</w:t>
            </w:r>
          </w:p>
        </w:tc>
        <w:tc>
          <w:tcPr>
            <w:tcW w:type="dxa" w:w="2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8E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117"/>
                <w:sz w:val="17"/>
                <w:szCs w:val="17"/>
              </w:rPr>
              <w:t xml:space="preserve">SQL 2022 cambió el valor predeterminado de MAXDOP durante la instalación al mínimo recomendado. Ajustar según carga: OLTP puro puede beneficiarse de MAXDOP = 1 en ciertas queries.</w:t>
            </w:r>
          </w:p>
        </w:tc>
      </w:tr>
    </w:tbl>
    <w:p>
      <w:pPr>
        <w:spacing w:after="0" w:before="7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D1117"/>
          <w:sz w:val="20"/>
          <w:szCs w:val="20"/>
        </w:rPr>
        <w:t xml:space="preserve">⚠️  Regla crítica de sizing: La réplica secundaria DEBE tener los mismos CPU y RAM que el primario. Si el primario falla y la secundaria toma el control con menos recursos, el rendimiento de la aplicación se degradará y podría generar un segundo incidente durante la crisis.</w:t>
      </w:r>
    </w:p>
    <w:p>
      <w:r>
        <w:br w:type="page"/>
      </w:r>
    </w:p>
    <w:p>
      <w:pPr>
        <w:shd w:fill="0D2137" w:val="clear"/>
        <w:spacing w:after="0" w:before="3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🏁  RESUMEN EJECUTIVO — DECISIONES RECOMENDADAS PARA AG PRODUCTIVO</w:t>
      </w:r>
    </w:p>
    <w:p>
      <w:pPr>
        <w:shd w:fill="0D2137" w:val="clear"/>
        <w:spacing w:after="100" w:before="0"/>
      </w:pPr>
      <w:r>
        <w:rPr>
          <w:rFonts w:ascii="Calibri" w:cs="Calibri" w:eastAsia="Calibri" w:hAnsi="Calibri"/>
          <w:i/>
          <w:iCs/>
          <w:color w:val="DDDDDD"/>
          <w:sz w:val="18"/>
          <w:szCs w:val="18"/>
        </w:rPr>
        <w:t xml:space="preserve">       Referencia rápida: decisión estándar + condición de cambio por dimensión  </w:t>
      </w:r>
    </w:p>
    <w:p>
      <w:pPr>
        <w:spacing w:after="0" w:before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4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Recomendación estándar para entorno productivo</w:t>
            </w:r>
          </w:p>
        </w:tc>
        <w:tc>
          <w:tcPr>
            <w:tcW w:type="dxa" w:w="260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Condición de cambio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Edición SQL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Enterprise Edition (obligatorio para AG completo con &gt;1 BD y readable secondary)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Solo Standard si Basic AG (1 BD, sin lectura secundaria, presupuesto muy limitado)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Replicación intra-site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Síncrona (SYNCHRONOUS_COMMIT + failover automático) entre nodos del mismo datacenter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Cambiar a asíncrono si latencia LAN &gt; 5 ms o si el impacto en TPS es inaceptable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Replicación hacia DRP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Asíncrona (ASYNCHRONOUS_COMMIT + failover manual) siempre hacia el site remoto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Solo síncrono DRP si latencia WAN &lt; 2 ms y el negocio exige RPO = 0 en DR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Hardware / Plataforma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Máquinas virtuales (VMware/Hyper-V) con recursos reservados estáticos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Bare metal si carga &gt; 50,000 IOPS o latencia de storage &lt; 0.2 ms es crítica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Topología de nodos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3 nodos: Nodo A (primario) + Nodo B (síncrono) + Nodo DRP (asíncrono)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4+ nodos si se requieren réplicas de lectura dedicadas para BI o múltiples DRPs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Red de replicación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10 Gbps dedicada en VLAN separada (puerto 5022) con Jumbo Frames (MTU 9000)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25 Gbps si las BDs tienen &gt; 500 MB/s de generación de log en horas pico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Almacenamiento LOG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SSD dedicado exclusivo para .ldf (máxima prioridad de I/O)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NVMe si latencia &lt; 0.5 ms es requerida para modo síncrono con alta carga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Almacenamiento DATOS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SSD para archivos .mdf / .ndf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NVMe si carga de lectura aleatoria &gt; 20,000 IOPS sostenidas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TempDB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SSD separado, 1 archivo por núcleo lógico (máximo 8 archivos)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NVMe si TempDB es cuello de botella (waits PAGELATCH_EX en tempdb)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Failover automático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Habilitado entre nodos síncronos (WSFC detecta y promueve en &lt; 30 seg)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Deshabilitar si el negocio exige validación humana antes de cualquier failover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Read-Only Routing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Habilitado en réplica secundaria síncrona para consultas de reportes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Desactivar si la réplica secundaria no tiene capacidad suficiente de CPU/RAM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Backups en AG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Configurar backup preferido en réplica secundaria (AUTOMATED_BACKUP_PREFERENCE)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Primario si la secundaria tiene restricciones de red o storage para backups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Cadenas de conexión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Listener + MultiSubnetFailover=True + ApplicationIntent según lectura/escritura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Revisar si el driver de la aplicación soporta estos parámetros antes de implementar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Quórum WSFC</w:t>
            </w:r>
          </w:p>
        </w:tc>
        <w:tc>
          <w:tcPr>
            <w:tcW w:type="dxa" w:w="4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5E20"/>
                <w:sz w:val="17"/>
                <w:szCs w:val="17"/>
              </w:rPr>
              <w:t xml:space="preserve">Cloud Witness (Azure) para entornos virtuales / File Share Witness para físicos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5100"/>
                <w:sz w:val="16"/>
                <w:szCs w:val="16"/>
              </w:rPr>
              <w:t xml:space="preserve">Disco quórum compartido si la infraestructura lo permite (bare metal con SAN)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— Fin del Documento —</w:t>
      </w:r>
    </w:p>
    <w:sectPr>
      <w:headerReference w:type="default" r:id="rId7"/>
      <w:footerReference w:type="default" r:id="rId8"/>
      <w:pgSz w:w="15840" w:h="122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spacing w:before="60"/>
    </w:pPr>
    <w:r>
      <w:rPr>
        <w:rFonts w:ascii="Calibri" w:cs="Calibri" w:eastAsia="Calibri" w:hAnsi="Calibri"/>
        <w:color w:val="888888"/>
        <w:sz w:val="15"/>
        <w:szCs w:val="15"/>
      </w:rPr>
      <w:t xml:space="preserve">Versión 1.0  ·  Uso interno  ·  SQL Server 2022 Enterprise  ·  Always On Availability Groups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9026"/>
      </w:tabs>
      <w:spacing w:after="60"/>
    </w:pPr>
    <w:r>
      <w:rPr>
        <w:rFonts w:ascii="Calibri" w:cs="Calibri" w:eastAsia="Calibri" w:hAnsi="Calibri"/>
        <w:b/>
        <w:bCs/>
        <w:color w:val="1565C0"/>
        <w:sz w:val="17"/>
        <w:szCs w:val="17"/>
      </w:rPr>
      <w:t xml:space="preserve">MATRIZ DE TOMA DE DECISIONES  |  Diseño e Implementación SQL Server Always On</w:t>
    </w:r>
    <w:r>
      <w:rPr>
        <w:rFonts w:ascii="Calibri" w:cs="Calibri" w:eastAsia="Calibri" w:hAnsi="Calibri"/>
        <w:color w:val="888888"/>
        <w:sz w:val="15"/>
        <w:szCs w:val="15"/>
      </w:rPr>
      <w:t xml:space="preserve">	2025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Calibri" w:cs="Calibri" w:eastAsia="Calibri" w:hAnsi="Calibri"/>
      <w:b/>
      <w:bCs/>
      <w:color w:val="0D213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2026-05-15T05:48:26.042Z</dcterms:created>
  <dcterms:modified xsi:type="dcterms:W3CDTF">2026-05-15T05:48:26.054Z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