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60" w:before="0"/>
      </w:pPr>
      <w:r>
        <w:rPr>
          <w:rFonts w:ascii="Arial" w:cs="Arial" w:eastAsia="Arial" w:hAnsi="Arial"/>
          <w:b/>
          <w:bCs/>
          <w:color w:val="003A6C"/>
          <w:sz w:val="46"/>
          <w:szCs w:val="46"/>
        </w:rPr>
        <w:t xml:space="preserve">PROPUESTA TÉCNICA</w:t>
      </w:r>
    </w:p>
    <w:p>
      <w:pPr>
        <w:spacing w:after="60" w:before="0"/>
      </w:pPr>
      <w:r>
        <w:rPr>
          <w:rFonts w:ascii="Arial" w:cs="Arial" w:eastAsia="Arial" w:hAnsi="Arial"/>
          <w:color w:val="666666"/>
          <w:sz w:val="28"/>
          <w:szCs w:val="28"/>
        </w:rPr>
        <w:t xml:space="preserve">Plataforma de Análisis de Documentos con IA</w:t>
      </w:r>
    </w:p>
    <w:p>
      <w:pPr>
        <w:spacing w:after="280" w:before="0"/>
      </w:pPr>
      <w:r>
        <w:rPr>
          <w:rFonts w:ascii="Arial" w:cs="Arial" w:eastAsia="Arial" w:hAnsi="Arial"/>
          <w:b/>
          <w:bCs/>
          <w:color w:val="0078D4"/>
          <w:sz w:val="30"/>
          <w:szCs w:val="30"/>
        </w:rPr>
        <w:t xml:space="preserve">Azure AI Foundry + GPT-4o + Claude + Microsoft Presidio</w:t>
      </w:r>
    </w:p>
    <w:p>
      <w:pPr>
        <w:pBdr>
          <w:bottom w:val="single" w:color="50E6FF" w:sz="14" w:space="1"/>
        </w:pBdr>
        <w:spacing w:after="0" w:before="0"/>
      </w:pPr>
      <w:r>
        <w:t xml:space="preserve"/>
      </w:r>
    </w:p>
    <w:p>
      <w:pPr>
        <w:spacing w:after="100" w:before="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none" w:color="FFFFFF" w:sz="0"/>
              <w:left w:val="none" w:color="FFFFFF" w:sz="0"/>
              <w:bottom w:val="none" w:color="FFFFFF" w:sz="0"/>
              <w:right w:val="none" w:color="FFFFFF" w:sz="0"/>
            </w:tcBorders>
          </w:tcPr>
          <w:p>
            <w:pPr>
              <w:spacing w:after="60" w:before="60"/>
            </w:pPr>
            <w:r>
              <w:rPr>
                <w:rFonts w:ascii="Arial" w:cs="Arial" w:eastAsia="Arial" w:hAnsi="Arial"/>
                <w:color w:val="666666"/>
                <w:sz w:val="18"/>
                <w:szCs w:val="18"/>
              </w:rPr>
              <w:t xml:space="preserve">Preparado para:</w:t>
            </w:r>
          </w:p>
          <w:p>
            <w:pPr>
              <w:spacing w:after="60" w:before="60"/>
            </w:pPr>
            <w:r>
              <w:rPr>
                <w:rFonts w:ascii="Arial" w:cs="Arial" w:eastAsia="Arial" w:hAnsi="Arial"/>
                <w:b/>
                <w:bCs/>
                <w:color w:val="003A6C"/>
                <w:sz w:val="22"/>
                <w:szCs w:val="22"/>
              </w:rPr>
              <w:t xml:space="preserve">[Nombre de la Empresa Cliente]</w:t>
            </w:r>
          </w:p>
          <w:p>
            <w:pPr>
              <w:spacing w:after="100" w:before="0"/>
            </w:pPr>
            <w:r>
              <w:t xml:space="preserve"/>
            </w:r>
          </w:p>
          <w:p>
            <w:pPr>
              <w:spacing w:after="60" w:before="60"/>
            </w:pPr>
            <w:r>
              <w:rPr>
                <w:rFonts w:ascii="Arial" w:cs="Arial" w:eastAsia="Arial" w:hAnsi="Arial"/>
                <w:color w:val="666666"/>
                <w:sz w:val="18"/>
                <w:szCs w:val="18"/>
              </w:rPr>
              <w:t xml:space="preserve">Preparado por:</w:t>
            </w:r>
          </w:p>
          <w:p>
            <w:pPr>
              <w:spacing w:after="60" w:before="60"/>
            </w:pPr>
            <w:r>
              <w:rPr>
                <w:rFonts w:ascii="Arial" w:cs="Arial" w:eastAsia="Arial" w:hAnsi="Arial"/>
                <w:b/>
                <w:bCs/>
                <w:color w:val="003A6C"/>
                <w:sz w:val="22"/>
                <w:szCs w:val="22"/>
              </w:rPr>
              <w:t xml:space="preserve">[Nombre del Consultor / Empresa]</w:t>
            </w:r>
          </w:p>
        </w:tc>
        <w:tc>
          <w:tcPr>
            <w:tcW w:type="dxa" w:w="492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8"/>
                <w:szCs w:val="18"/>
              </w:rPr>
              <w:t xml:space="preserve">Fecha: [DD/MM/2025]</w:t>
            </w:r>
          </w:p>
          <w:p>
            <w:pPr>
              <w:jc w:val="right"/>
            </w:pPr>
            <w:r>
              <w:rPr>
                <w:rFonts w:ascii="Arial" w:cs="Arial" w:eastAsia="Arial" w:hAnsi="Arial"/>
                <w:color w:val="666666"/>
                <w:sz w:val="18"/>
                <w:szCs w:val="18"/>
              </w:rPr>
              <w:t xml:space="preserve">Versión: 1.0</w:t>
            </w:r>
          </w:p>
          <w:p>
            <w:pPr>
              <w:jc w:val="right"/>
            </w:pPr>
            <w:r>
              <w:rPr>
                <w:rFonts w:ascii="Arial" w:cs="Arial" w:eastAsia="Arial" w:hAnsi="Arial"/>
                <w:color w:val="666666"/>
                <w:sz w:val="18"/>
                <w:szCs w:val="18"/>
              </w:rPr>
              <w:t xml:space="preserve">Clasificación: Confidencial</w:t>
            </w:r>
          </w:p>
          <w:p>
            <w:pPr>
              <w:jc w:val="right"/>
            </w:pPr>
            <w:r>
              <w:rPr>
                <w:rFonts w:ascii="Arial" w:cs="Arial" w:eastAsia="Arial" w:hAnsi="Arial"/>
                <w:color w:val="666666"/>
                <w:sz w:val="18"/>
                <w:szCs w:val="18"/>
              </w:rPr>
              <w:t xml:space="preserve">Válido por: 30 días</w:t>
            </w:r>
          </w:p>
        </w:tc>
      </w:tr>
    </w:tbl>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1. Situación Actual</w:t>
      </w:r>
    </w:p>
    <w:p>
      <w:pPr>
        <w:pBdr>
          <w:bottom w:val="single" w:color="0078D4" w:sz="6" w:space="1"/>
        </w:pBdr>
        <w:spacing w:after="120" w:before="120"/>
      </w:pPr>
      <w:r>
        <w:t xml:space="preserve"/>
      </w:r>
    </w:p>
    <w:p>
      <w:pPr>
        <w:spacing w:after="60" w:before="60"/>
      </w:pPr>
      <w:r>
        <w:rPr>
          <w:rFonts w:ascii="Arial" w:cs="Arial" w:eastAsia="Arial" w:hAnsi="Arial"/>
          <w:color w:val="333333"/>
          <w:sz w:val="20"/>
          <w:szCs w:val="20"/>
        </w:rPr>
        <w:t xml:space="preserve">Las organizaciones procesan diariamente grandes volúmenes de documentos que contienen información sensible: contratos, expedientes, reportes financieros, historial médico, datos personales y documentos regulatorios. El manejo de esta información presenta los siguientes desafíos críticos: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4E5" w:val="clear"/>
            <w:tcMar>
              <w:top w:type="dxa" w:w="120"/>
              <w:left w:type="dxa" w:w="140"/>
              <w:bottom w:type="dxa" w:w="120"/>
              <w:right w:type="dxa" w:w="140"/>
            </w:tcMar>
          </w:tcPr>
          <w:p>
            <w:r>
              <w:rPr>
                <w:rFonts w:ascii="Arial" w:cs="Arial" w:eastAsia="Arial" w:hAnsi="Arial"/>
                <w:b/>
                <w:bCs/>
                <w:color w:val="C55A11"/>
                <w:sz w:val="20"/>
                <w:szCs w:val="20"/>
              </w:rPr>
              <w:t xml:space="preserve">Desafío 1 — Exposición de datos sensibles</w:t>
            </w:r>
          </w:p>
          <w:p>
            <w:pPr>
              <w:spacing w:after="100" w:before="0"/>
            </w:pPr>
            <w:r>
              <w:t xml:space="preserve"/>
            </w:r>
          </w:p>
          <w:p>
            <w:pPr>
              <w:spacing w:after="60" w:before="60"/>
            </w:pPr>
            <w:r>
              <w:rPr>
                <w:rFonts w:ascii="Arial" w:cs="Arial" w:eastAsia="Arial" w:hAnsi="Arial"/>
                <w:color w:val="333333"/>
                <w:sz w:val="20"/>
                <w:szCs w:val="20"/>
              </w:rPr>
              <w:t xml:space="preserve">Los procesos actuales de análisis documental exponen datos personales (CURP, RFC, nombres, números de cuenta) a sistemas de IA externos sin controles de privacidad, incumpliendo con la Ley Federal de Protección de Datos y el GDPR.</w:t>
            </w:r>
          </w:p>
        </w:tc>
        <w:tc>
          <w:tcPr>
            <w:tcW w:type="dxa" w:w="4680"/>
            <w:tcBorders>
              <w:top w:val="single" w:color="CCCCCC" w:sz="1"/>
              <w:left w:val="single" w:color="CCCCCC" w:sz="1"/>
              <w:bottom w:val="single" w:color="CCCCCC" w:sz="1"/>
              <w:right w:val="single" w:color="CCCCCC" w:sz="1"/>
            </w:tcBorders>
            <w:shd w:fill="FFF4E5" w:val="clear"/>
            <w:tcMar>
              <w:top w:type="dxa" w:w="120"/>
              <w:left w:type="dxa" w:w="140"/>
              <w:bottom w:type="dxa" w:w="120"/>
              <w:right w:type="dxa" w:w="140"/>
            </w:tcMar>
          </w:tcPr>
          <w:p>
            <w:r>
              <w:rPr>
                <w:rFonts w:ascii="Arial" w:cs="Arial" w:eastAsia="Arial" w:hAnsi="Arial"/>
                <w:b/>
                <w:bCs/>
                <w:color w:val="C55A11"/>
                <w:sz w:val="20"/>
                <w:szCs w:val="20"/>
              </w:rPr>
              <w:t xml:space="preserve">Desafío 2 — Procesos manuales lentos</w:t>
            </w:r>
          </w:p>
          <w:p>
            <w:pPr>
              <w:spacing w:after="100" w:before="0"/>
            </w:pPr>
            <w:r>
              <w:t xml:space="preserve"/>
            </w:r>
          </w:p>
          <w:p>
            <w:pPr>
              <w:spacing w:after="60" w:before="60"/>
            </w:pPr>
            <w:r>
              <w:rPr>
                <w:rFonts w:ascii="Arial" w:cs="Arial" w:eastAsia="Arial" w:hAnsi="Arial"/>
                <w:color w:val="333333"/>
                <w:sz w:val="20"/>
                <w:szCs w:val="20"/>
              </w:rPr>
              <w:t xml:space="preserve">La revisión manual de documentos por parte de equipos humanos genera cuellos de botella: tiempos de respuesta de 24-72 horas, alta tasa de errores y costos operativos elevados que limitan la escalabilidad.</w:t>
            </w:r>
          </w:p>
        </w:tc>
      </w:tr>
      <w:tr>
        <w:tc>
          <w:tcPr>
            <w:tcW w:type="dxa" w:w="4680"/>
            <w:tcBorders>
              <w:top w:val="single" w:color="CCCCCC" w:sz="1"/>
              <w:left w:val="single" w:color="CCCCCC" w:sz="1"/>
              <w:bottom w:val="single" w:color="CCCCCC" w:sz="1"/>
              <w:right w:val="single" w:color="CCCCCC" w:sz="1"/>
            </w:tcBorders>
            <w:shd w:fill="FFF4E5" w:val="clear"/>
            <w:tcMar>
              <w:top w:type="dxa" w:w="120"/>
              <w:left w:type="dxa" w:w="140"/>
              <w:bottom w:type="dxa" w:w="120"/>
              <w:right w:type="dxa" w:w="140"/>
            </w:tcMar>
          </w:tcPr>
          <w:p>
            <w:r>
              <w:rPr>
                <w:rFonts w:ascii="Arial" w:cs="Arial" w:eastAsia="Arial" w:hAnsi="Arial"/>
                <w:b/>
                <w:bCs/>
                <w:color w:val="C55A11"/>
                <w:sz w:val="20"/>
                <w:szCs w:val="20"/>
              </w:rPr>
              <w:t xml:space="preserve">Desafío 3 — Falta de trazabilidad</w:t>
            </w:r>
          </w:p>
          <w:p>
            <w:pPr>
              <w:spacing w:after="100" w:before="0"/>
            </w:pPr>
            <w:r>
              <w:t xml:space="preserve"/>
            </w:r>
          </w:p>
          <w:p>
            <w:pPr>
              <w:spacing w:after="60" w:before="60"/>
            </w:pPr>
            <w:r>
              <w:rPr>
                <w:rFonts w:ascii="Arial" w:cs="Arial" w:eastAsia="Arial" w:hAnsi="Arial"/>
                <w:color w:val="333333"/>
                <w:sz w:val="20"/>
                <w:szCs w:val="20"/>
              </w:rPr>
              <w:t xml:space="preserve">No existe un registro centralizado de quién accedió a qué documentos, cuándo se procesaron ni qué información fue extraída, dificultando las auditorías de cumplimiento y la gestión de incidentes.</w:t>
            </w:r>
          </w:p>
        </w:tc>
        <w:tc>
          <w:tcPr>
            <w:tcW w:type="dxa" w:w="4680"/>
            <w:tcBorders>
              <w:top w:val="single" w:color="CCCCCC" w:sz="1"/>
              <w:left w:val="single" w:color="CCCCCC" w:sz="1"/>
              <w:bottom w:val="single" w:color="CCCCCC" w:sz="1"/>
              <w:right w:val="single" w:color="CCCCCC" w:sz="1"/>
            </w:tcBorders>
            <w:shd w:fill="FFF4E5" w:val="clear"/>
            <w:tcMar>
              <w:top w:type="dxa" w:w="120"/>
              <w:left w:type="dxa" w:w="140"/>
              <w:bottom w:type="dxa" w:w="120"/>
              <w:right w:type="dxa" w:w="140"/>
            </w:tcMar>
          </w:tcPr>
          <w:p>
            <w:r>
              <w:rPr>
                <w:rFonts w:ascii="Arial" w:cs="Arial" w:eastAsia="Arial" w:hAnsi="Arial"/>
                <w:b/>
                <w:bCs/>
                <w:color w:val="C55A11"/>
                <w:sz w:val="20"/>
                <w:szCs w:val="20"/>
              </w:rPr>
              <w:t xml:space="preserve">Desafío 4 — Dependencia de un solo modelo de IA</w:t>
            </w:r>
          </w:p>
          <w:p>
            <w:pPr>
              <w:spacing w:after="100" w:before="0"/>
            </w:pPr>
            <w:r>
              <w:t xml:space="preserve"/>
            </w:r>
          </w:p>
          <w:p>
            <w:pPr>
              <w:spacing w:after="60" w:before="60"/>
            </w:pPr>
            <w:r>
              <w:rPr>
                <w:rFonts w:ascii="Arial" w:cs="Arial" w:eastAsia="Arial" w:hAnsi="Arial"/>
                <w:color w:val="333333"/>
                <w:sz w:val="20"/>
                <w:szCs w:val="20"/>
              </w:rPr>
              <w:t xml:space="preserve">El uso de un único proveedor de IA para el análisis de documentos genera riesgo de vendor lock-in, limitaciones de capacidad y falta de flexibilidad para adaptar el modelo al tipo de documento o caso de uso específico.</w:t>
            </w:r>
          </w:p>
        </w:tc>
      </w:tr>
    </w:tbl>
    <w:p>
      <w:pPr>
        <w:spacing w:after="100" w:before="0"/>
      </w:pPr>
      <w:r>
        <w:t xml:space="preserve"/>
      </w:r>
    </w:p>
    <w:p>
      <w:pPr>
        <w:pStyle w:val="Heading2"/>
        <w:spacing w:after="120" w:before="260"/>
      </w:pPr>
      <w:r>
        <w:rPr>
          <w:rFonts w:ascii="Arial" w:cs="Arial" w:eastAsia="Arial" w:hAnsi="Arial"/>
          <w:b/>
          <w:bCs/>
          <w:color w:val="0078D4"/>
          <w:sz w:val="24"/>
          <w:szCs w:val="24"/>
        </w:rPr>
        <w:t xml:space="preserve">1.1 Estado Actual del Proceso Documental</w:t>
      </w:r>
    </w:p>
    <w:p>
      <w:pPr>
        <w:spacing w:after="60" w:before="60"/>
      </w:pPr>
      <w:r>
        <w:rPr>
          <w:rFonts w:ascii="Arial" w:cs="Arial" w:eastAsia="Arial" w:hAnsi="Arial"/>
          <w:color w:val="333333"/>
          <w:sz w:val="20"/>
          <w:szCs w:val="20"/>
        </w:rPr>
        <w:t xml:space="preserve">El flujo actual de procesamiento de documentos opera de la siguiente manera:</w:t>
      </w:r>
    </w:p>
    <w:p>
      <w:pPr>
        <w:spacing w:after="100" w:before="0"/>
      </w:pPr>
      <w:r>
        <w:t xml:space="preserve"/>
      </w:r>
    </w:p>
    <w:p>
      <w:pPr>
        <w:pStyle w:val="ListParagraph"/>
        <w:numPr>
          <w:ilvl w:val="0"/>
          <w:numId w:val="2"/>
        </w:numPr>
        <w:spacing w:after="50" w:before="50"/>
      </w:pPr>
      <w:r>
        <w:rPr>
          <w:rFonts w:ascii="Arial" w:cs="Arial" w:eastAsia="Arial" w:hAnsi="Arial"/>
          <w:color w:val="333333"/>
          <w:sz w:val="20"/>
          <w:szCs w:val="20"/>
        </w:rPr>
        <w:t xml:space="preserve">El documento llega al sistema mediante correo, portal web o digitalización física.</w:t>
      </w:r>
    </w:p>
    <w:p>
      <w:pPr>
        <w:pStyle w:val="ListParagraph"/>
        <w:numPr>
          <w:ilvl w:val="0"/>
          <w:numId w:val="2"/>
        </w:numPr>
        <w:spacing w:after="50" w:before="50"/>
      </w:pPr>
      <w:r>
        <w:rPr>
          <w:rFonts w:ascii="Arial" w:cs="Arial" w:eastAsia="Arial" w:hAnsi="Arial"/>
          <w:color w:val="333333"/>
          <w:sz w:val="20"/>
          <w:szCs w:val="20"/>
        </w:rPr>
        <w:t xml:space="preserve">Un analista humano lo revisa manualmente para extraer datos relevantes.</w:t>
      </w:r>
    </w:p>
    <w:p>
      <w:pPr>
        <w:pStyle w:val="ListParagraph"/>
        <w:numPr>
          <w:ilvl w:val="0"/>
          <w:numId w:val="2"/>
        </w:numPr>
        <w:spacing w:after="50" w:before="50"/>
      </w:pPr>
      <w:r>
        <w:rPr>
          <w:rFonts w:ascii="Arial" w:cs="Arial" w:eastAsia="Arial" w:hAnsi="Arial"/>
          <w:color w:val="333333"/>
          <w:sz w:val="20"/>
          <w:szCs w:val="20"/>
        </w:rPr>
        <w:t xml:space="preserve">La información se captura en sistemas ERP/CRM de forma manual, con alto riesgo de error.</w:t>
      </w:r>
    </w:p>
    <w:p>
      <w:pPr>
        <w:pStyle w:val="ListParagraph"/>
        <w:numPr>
          <w:ilvl w:val="0"/>
          <w:numId w:val="2"/>
        </w:numPr>
        <w:spacing w:after="50" w:before="50"/>
      </w:pPr>
      <w:r>
        <w:rPr>
          <w:rFonts w:ascii="Arial" w:cs="Arial" w:eastAsia="Arial" w:hAnsi="Arial"/>
          <w:color w:val="333333"/>
          <w:sz w:val="20"/>
          <w:szCs w:val="20"/>
        </w:rPr>
        <w:t xml:space="preserve">No existe anonimización previa antes de cualquier procesamiento digital.</w:t>
      </w:r>
    </w:p>
    <w:p>
      <w:pPr>
        <w:pStyle w:val="ListParagraph"/>
        <w:numPr>
          <w:ilvl w:val="0"/>
          <w:numId w:val="2"/>
        </w:numPr>
        <w:spacing w:after="50" w:before="50"/>
      </w:pPr>
      <w:r>
        <w:rPr>
          <w:rFonts w:ascii="Arial" w:cs="Arial" w:eastAsia="Arial" w:hAnsi="Arial"/>
          <w:color w:val="333333"/>
          <w:sz w:val="20"/>
          <w:szCs w:val="20"/>
        </w:rPr>
        <w:t xml:space="preserve">Los tiempos de respuesta oscilan entre 24 y 72 horas por documento complejo.</w:t>
      </w:r>
    </w:p>
    <w:p>
      <w:pPr>
        <w:spacing w:after="100" w:before="0"/>
      </w:pPr>
      <w:r>
        <w:t xml:space="preserve"/>
      </w:r>
    </w:p>
    <w:p>
      <w:pPr>
        <w:spacing w:after="60" w:before="60"/>
      </w:pPr>
      <w:r>
        <w:rPr>
          <w:rFonts w:ascii="Arial" w:cs="Arial" w:eastAsia="Arial" w:hAnsi="Arial"/>
          <w:color w:val="333333"/>
          <w:sz w:val="20"/>
          <w:szCs w:val="20"/>
        </w:rPr>
        <w:t xml:space="preserve">Esta propuesta plantea transformar este flujo mediante una arquitectura de IA moderna, privada y escalable, donde Microsoft Presidio actúa como capa de protección de datos antes de que cualquier modelo de lenguaje procese el contenido.</w:t>
      </w:r>
    </w:p>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2. Objetivos del Proyecto</w:t>
      </w:r>
    </w:p>
    <w:p>
      <w:pPr>
        <w:pBdr>
          <w:bottom w:val="single" w:color="0078D4" w:sz="6" w:space="1"/>
        </w:pBdr>
        <w:spacing w:after="120" w:before="120"/>
      </w:pPr>
      <w:r>
        <w:t xml:space="preserve"/>
      </w:r>
    </w:p>
    <w:p>
      <w:pPr>
        <w:pStyle w:val="Heading2"/>
        <w:spacing w:after="120" w:before="260"/>
      </w:pPr>
      <w:r>
        <w:rPr>
          <w:rFonts w:ascii="Arial" w:cs="Arial" w:eastAsia="Arial" w:hAnsi="Arial"/>
          <w:b/>
          <w:bCs/>
          <w:color w:val="0078D4"/>
          <w:sz w:val="24"/>
          <w:szCs w:val="24"/>
        </w:rPr>
        <w:t xml:space="preserve">2.1 Objetivo General</w:t>
      </w:r>
    </w:p>
    <w:p>
      <w:pPr>
        <w:spacing w:after="60" w:before="60"/>
      </w:pPr>
      <w:r>
        <w:rPr>
          <w:rFonts w:ascii="Arial" w:cs="Arial" w:eastAsia="Arial" w:hAnsi="Arial"/>
          <w:color w:val="333333"/>
          <w:sz w:val="20"/>
          <w:szCs w:val="20"/>
        </w:rPr>
        <w:t xml:space="preserve">Implementar una plataforma de análisis inteligente de documentos sobre Azure AI Foundry, que integre Microsoft Presidio para el enmascaramiento automático de datos sensibles antes de su procesamiento por modelos de lenguaje (GPT-4o de OpenAI y Claude de Anthropic), garantizando privacidad, cumplimiento normativo, trazabilidad completa y reducción de tiempos operativos.</w:t>
      </w:r>
    </w:p>
    <w:p>
      <w:pPr>
        <w:spacing w:after="100" w:before="0"/>
      </w:pPr>
      <w:r>
        <w:t xml:space="preserve"/>
      </w:r>
    </w:p>
    <w:p>
      <w:pPr>
        <w:pStyle w:val="Heading2"/>
        <w:spacing w:after="120" w:before="260"/>
      </w:pPr>
      <w:r>
        <w:rPr>
          <w:rFonts w:ascii="Arial" w:cs="Arial" w:eastAsia="Arial" w:hAnsi="Arial"/>
          <w:b/>
          <w:bCs/>
          <w:color w:val="0078D4"/>
          <w:sz w:val="24"/>
          <w:szCs w:val="24"/>
        </w:rPr>
        <w:t xml:space="preserve">2.2 Objetivos Específicos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t>
            </w:r>
          </w:p>
        </w:tc>
        <w:tc>
          <w:tcPr>
            <w:tcW w:type="dxa" w:w="34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Objetivo</w:t>
            </w:r>
          </w:p>
        </w:tc>
        <w:tc>
          <w:tcPr>
            <w:tcW w:type="dxa" w:w="556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Métrica de Éxito</w:t>
            </w:r>
          </w:p>
        </w:tc>
      </w:tr>
      <w:tr>
        <w:tc>
          <w:tcPr>
            <w:tcW w:type="dxa" w:w="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O1</w:t>
            </w:r>
          </w:p>
        </w:tc>
        <w:tc>
          <w:tcPr>
            <w:tcW w:type="dxa" w:w="3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Automatizar el análisis de documentos con IA, eliminando la revisión manual como paso primario.</w:t>
            </w:r>
          </w:p>
        </w:tc>
        <w:tc>
          <w:tcPr>
            <w:tcW w:type="dxa" w:w="55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Reducción ≥60% en tiempo de procesamiento por documento.</w:t>
            </w:r>
          </w:p>
        </w:tc>
      </w:tr>
      <w:tr>
        <w:tc>
          <w:tcPr>
            <w:tcW w:type="dxa" w:w="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O2</w:t>
            </w:r>
          </w:p>
        </w:tc>
        <w:tc>
          <w:tcPr>
            <w:tcW w:type="dxa" w:w="3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Implementar enmascaramiento automático de PII (Información Personal Identificable) con Microsoft Presidio antes de enviar contenido a los modelos de IA.</w:t>
            </w:r>
          </w:p>
        </w:tc>
        <w:tc>
          <w:tcPr>
            <w:tcW w:type="dxa" w:w="55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100% de documentos procesados sin datos sensibles en tránsito hacia los LLMs.</w:t>
            </w:r>
          </w:p>
        </w:tc>
      </w:tr>
      <w:tr>
        <w:tc>
          <w:tcPr>
            <w:tcW w:type="dxa" w:w="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O3</w:t>
            </w:r>
          </w:p>
        </w:tc>
        <w:tc>
          <w:tcPr>
            <w:tcW w:type="dxa" w:w="3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Habilitar un motor dual de IA (GPT-4o + Claude) que permita elegir el modelo óptimo según el tipo de documento y caso de uso.</w:t>
            </w:r>
          </w:p>
        </w:tc>
        <w:tc>
          <w:tcPr>
            <w:tcW w:type="dxa" w:w="55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Disponibilidad de ambos modelos con conmutación automática y SLA 99.9%.</w:t>
            </w:r>
          </w:p>
        </w:tc>
      </w:tr>
      <w:tr>
        <w:tc>
          <w:tcPr>
            <w:tcW w:type="dxa" w:w="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O4</w:t>
            </w:r>
          </w:p>
        </w:tc>
        <w:tc>
          <w:tcPr>
            <w:tcW w:type="dxa" w:w="3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Garantizar cumplimiento con LFPDPPP (México), GDPR y estándares ISO 27001 a través de controles técnicos y auditoría centralizada.</w:t>
            </w:r>
          </w:p>
        </w:tc>
        <w:tc>
          <w:tcPr>
            <w:tcW w:type="dxa" w:w="55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Certificación de cumplimiento al término del proyecto.</w:t>
            </w:r>
          </w:p>
        </w:tc>
      </w:tr>
      <w:tr>
        <w:tc>
          <w:tcPr>
            <w:tcW w:type="dxa" w:w="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O5</w:t>
            </w:r>
          </w:p>
        </w:tc>
        <w:tc>
          <w:tcPr>
            <w:tcW w:type="dxa" w:w="3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Establecer trazabilidad completa de cada documento: quién lo procesó, qué datos se enmascararon, qué modelo lo analizó y cuál fue el resultado.</w:t>
            </w:r>
          </w:p>
        </w:tc>
        <w:tc>
          <w:tcPr>
            <w:tcW w:type="dxa" w:w="55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Dashboard de auditoría con registros de 100% de transacciones.</w:t>
            </w:r>
          </w:p>
        </w:tc>
      </w:tr>
    </w:tbl>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3. Arquitectura de la Solución</w:t>
      </w:r>
    </w:p>
    <w:p>
      <w:pPr>
        <w:pBdr>
          <w:bottom w:val="single" w:color="0078D4" w:sz="6" w:space="1"/>
        </w:pBdr>
        <w:spacing w:after="120" w:before="120"/>
      </w:pPr>
      <w:r>
        <w:t xml:space="preserve"/>
      </w:r>
    </w:p>
    <w:p>
      <w:pPr>
        <w:spacing w:after="60" w:before="60"/>
      </w:pPr>
      <w:r>
        <w:rPr>
          <w:rFonts w:ascii="Arial" w:cs="Arial" w:eastAsia="Arial" w:hAnsi="Arial"/>
          <w:color w:val="333333"/>
          <w:sz w:val="20"/>
          <w:szCs w:val="20"/>
        </w:rPr>
        <w:t xml:space="preserve">La solución se basa en una arquitectura de flujo en capas (layered pipeline) donde cada componente tiene una responsabilidad específica. El principio de diseño central es Privacy by Design: los datos sensibles nunca llegan a los modelos de IA — Microsoft Presidio los enmascara antes.</w:t>
      </w:r>
    </w:p>
    <w:p>
      <w:pPr>
        <w:spacing w:after="100" w:before="0"/>
      </w:pPr>
      <w:r>
        <w:t xml:space="preserve"/>
      </w:r>
    </w:p>
    <w:p>
      <w:pPr>
        <w:pStyle w:val="Heading2"/>
        <w:spacing w:after="120" w:before="260"/>
      </w:pPr>
      <w:r>
        <w:rPr>
          <w:rFonts w:ascii="Arial" w:cs="Arial" w:eastAsia="Arial" w:hAnsi="Arial"/>
          <w:b/>
          <w:bCs/>
          <w:color w:val="0078D4"/>
          <w:sz w:val="24"/>
          <w:szCs w:val="24"/>
        </w:rPr>
        <w:t xml:space="preserve">3.1 Diagrama de Flujo de la Arquitectura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gridSpan w:val="6"/>
            <w:tcBorders>
              <w:top w:val="none" w:color="FFFFFF" w:sz="0"/>
              <w:left w:val="none" w:color="FFFFFF" w:sz="0"/>
              <w:bottom w:val="none" w:color="FFFFFF" w:sz="0"/>
              <w:right w:val="none" w:color="FFFFFF" w:sz="0"/>
            </w:tcBorders>
            <w:shd w:fill="003A6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PIPELINE DE PROCESAMIENTO DE DOCUMENTOS</w:t>
            </w:r>
          </w:p>
        </w:tc>
      </w:tr>
      <w:tr>
        <w:tc>
          <w:tcPr>
            <w:tcW w:type="dxa" w:w="1560"/>
            <w:tcBorders>
              <w:top w:val="single" w:color="CCCCCC" w:sz="1"/>
              <w:left w:val="single" w:color="CCCCCC" w:sz="1"/>
              <w:bottom w:val="single" w:color="CCCCCC" w:sz="1"/>
              <w:right w:val="single" w:color="CCCCCC" w:sz="1"/>
            </w:tcBorders>
            <w:shd w:fill="0078D4" w:val="clear"/>
            <w:tcMar>
              <w:top w:type="dxa" w:w="100"/>
              <w:left w:type="dxa" w:w="80"/>
              <w:bottom w:type="dxa" w:w="100"/>
              <w:right w:type="dxa" w:w="80"/>
            </w:tcMar>
          </w:tcPr>
          <w:p>
            <w:pPr>
              <w:jc w:val="center"/>
            </w:pPr>
            <w:r>
              <w:rPr>
                <w:rFonts w:ascii="Arial" w:cs="Arial" w:eastAsia="Arial" w:hAnsi="Arial"/>
                <w:color w:val="DDDDDD"/>
                <w:sz w:val="16"/>
                <w:szCs w:val="16"/>
              </w:rPr>
              <w:t xml:space="preserve">CAPA 1</w:t>
            </w:r>
          </w:p>
          <w:p>
            <w:pPr>
              <w:jc w:val="center"/>
            </w:pPr>
            <w:r>
              <w:rPr>
                <w:rFonts w:ascii="Arial" w:cs="Arial" w:eastAsia="Arial" w:hAnsi="Arial"/>
                <w:b/>
                <w:bCs/>
                <w:color w:val="FFFFFF"/>
                <w:sz w:val="19"/>
                <w:szCs w:val="19"/>
              </w:rPr>
              <w:t xml:space="preserve">Ingesta</w:t>
            </w:r>
          </w:p>
          <w:p>
            <w:pPr>
              <w:spacing w:before="60"/>
              <w:jc w:val="center"/>
            </w:pPr>
            <w:r>
              <w:rPr>
                <w:rFonts w:ascii="Arial" w:cs="Arial" w:eastAsia="Arial" w:hAnsi="Arial"/>
                <w:color w:val="CCDDEE"/>
                <w:sz w:val="16"/>
                <w:szCs w:val="16"/>
              </w:rPr>
              <w:t xml:space="preserve">Portales web, email, API, escáner, SharePoint</w:t>
            </w:r>
          </w:p>
        </w:tc>
        <w:tc>
          <w:tcPr>
            <w:tcW w:type="dxa" w:w="1560"/>
            <w:tcBorders>
              <w:top w:val="single" w:color="CCCCCC" w:sz="1"/>
              <w:left w:val="single" w:color="CCCCCC" w:sz="1"/>
              <w:bottom w:val="single" w:color="CCCCCC" w:sz="1"/>
              <w:right w:val="single" w:color="CCCCCC" w:sz="1"/>
            </w:tcBorders>
            <w:shd w:fill="5C2D91" w:val="clear"/>
            <w:tcMar>
              <w:top w:type="dxa" w:w="100"/>
              <w:left w:type="dxa" w:w="80"/>
              <w:bottom w:type="dxa" w:w="100"/>
              <w:right w:type="dxa" w:w="80"/>
            </w:tcMar>
          </w:tcPr>
          <w:p>
            <w:pPr>
              <w:jc w:val="center"/>
            </w:pPr>
            <w:r>
              <w:rPr>
                <w:rFonts w:ascii="Arial" w:cs="Arial" w:eastAsia="Arial" w:hAnsi="Arial"/>
                <w:color w:val="DDDDDD"/>
                <w:sz w:val="16"/>
                <w:szCs w:val="16"/>
              </w:rPr>
              <w:t xml:space="preserve">CAPA 2</w:t>
            </w:r>
          </w:p>
          <w:p>
            <w:pPr>
              <w:jc w:val="center"/>
            </w:pPr>
            <w:r>
              <w:rPr>
                <w:rFonts w:ascii="Arial" w:cs="Arial" w:eastAsia="Arial" w:hAnsi="Arial"/>
                <w:b/>
                <w:bCs/>
                <w:color w:val="FFFFFF"/>
                <w:sz w:val="19"/>
                <w:szCs w:val="19"/>
              </w:rPr>
              <w:t xml:space="preserve">Presidio</w:t>
            </w:r>
          </w:p>
          <w:p>
            <w:pPr>
              <w:spacing w:before="60"/>
              <w:jc w:val="center"/>
            </w:pPr>
            <w:r>
              <w:rPr>
                <w:rFonts w:ascii="Arial" w:cs="Arial" w:eastAsia="Arial" w:hAnsi="Arial"/>
                <w:color w:val="CCDDEE"/>
                <w:sz w:val="16"/>
                <w:szCs w:val="16"/>
              </w:rPr>
              <w:t xml:space="preserve">Detección y enmascaramiento de PII/datos sensibles</w:t>
            </w:r>
          </w:p>
        </w:tc>
        <w:tc>
          <w:tcPr>
            <w:tcW w:type="dxa" w:w="1560"/>
            <w:tcBorders>
              <w:top w:val="single" w:color="CCCCCC" w:sz="1"/>
              <w:left w:val="single" w:color="CCCCCC" w:sz="1"/>
              <w:bottom w:val="single" w:color="CCCCCC" w:sz="1"/>
              <w:right w:val="single" w:color="CCCCCC" w:sz="1"/>
            </w:tcBorders>
            <w:shd w:fill="005BA1" w:val="clear"/>
            <w:tcMar>
              <w:top w:type="dxa" w:w="100"/>
              <w:left w:type="dxa" w:w="80"/>
              <w:bottom w:type="dxa" w:w="100"/>
              <w:right w:type="dxa" w:w="80"/>
            </w:tcMar>
          </w:tcPr>
          <w:p>
            <w:pPr>
              <w:jc w:val="center"/>
            </w:pPr>
            <w:r>
              <w:rPr>
                <w:rFonts w:ascii="Arial" w:cs="Arial" w:eastAsia="Arial" w:hAnsi="Arial"/>
                <w:color w:val="DDDDDD"/>
                <w:sz w:val="16"/>
                <w:szCs w:val="16"/>
              </w:rPr>
              <w:t xml:space="preserve">CAPA 3</w:t>
            </w:r>
          </w:p>
          <w:p>
            <w:pPr>
              <w:jc w:val="center"/>
            </w:pPr>
            <w:r>
              <w:rPr>
                <w:rFonts w:ascii="Arial" w:cs="Arial" w:eastAsia="Arial" w:hAnsi="Arial"/>
                <w:b/>
                <w:bCs/>
                <w:color w:val="FFFFFF"/>
                <w:sz w:val="19"/>
                <w:szCs w:val="19"/>
              </w:rPr>
              <w:t xml:space="preserve">Azure AI Foundry</w:t>
            </w:r>
          </w:p>
          <w:p>
            <w:pPr>
              <w:spacing w:before="60"/>
              <w:jc w:val="center"/>
            </w:pPr>
            <w:r>
              <w:rPr>
                <w:rFonts w:ascii="Arial" w:cs="Arial" w:eastAsia="Arial" w:hAnsi="Arial"/>
                <w:color w:val="CCDDEE"/>
                <w:sz w:val="16"/>
                <w:szCs w:val="16"/>
              </w:rPr>
              <w:t xml:space="preserve">Orquestación, enrutamiento y gestión de modelos</w:t>
            </w:r>
          </w:p>
        </w:tc>
        <w:tc>
          <w:tcPr>
            <w:tcW w:type="dxa" w:w="1560"/>
            <w:tcBorders>
              <w:top w:val="single" w:color="CCCCCC" w:sz="1"/>
              <w:left w:val="single" w:color="CCCCCC" w:sz="1"/>
              <w:bottom w:val="single" w:color="CCCCCC" w:sz="1"/>
              <w:right w:val="single" w:color="CCCCCC" w:sz="1"/>
            </w:tcBorders>
            <w:shd w:fill="003A6C" w:val="clear"/>
            <w:tcMar>
              <w:top w:type="dxa" w:w="100"/>
              <w:left w:type="dxa" w:w="80"/>
              <w:bottom w:type="dxa" w:w="100"/>
              <w:right w:type="dxa" w:w="80"/>
            </w:tcMar>
          </w:tcPr>
          <w:p>
            <w:pPr>
              <w:jc w:val="center"/>
            </w:pPr>
            <w:r>
              <w:rPr>
                <w:rFonts w:ascii="Arial" w:cs="Arial" w:eastAsia="Arial" w:hAnsi="Arial"/>
                <w:color w:val="DDDDDD"/>
                <w:sz w:val="16"/>
                <w:szCs w:val="16"/>
              </w:rPr>
              <w:t xml:space="preserve">CAPA 4</w:t>
            </w:r>
          </w:p>
          <w:p>
            <w:pPr>
              <w:jc w:val="center"/>
            </w:pPr>
            <w:r>
              <w:rPr>
                <w:rFonts w:ascii="Arial" w:cs="Arial" w:eastAsia="Arial" w:hAnsi="Arial"/>
                <w:b/>
                <w:bCs/>
                <w:color w:val="FFFFFF"/>
                <w:sz w:val="19"/>
                <w:szCs w:val="19"/>
              </w:rPr>
              <w:t xml:space="preserve">GPT-4o / Claude</w:t>
            </w:r>
          </w:p>
          <w:p>
            <w:pPr>
              <w:spacing w:before="60"/>
              <w:jc w:val="center"/>
            </w:pPr>
            <w:r>
              <w:rPr>
                <w:rFonts w:ascii="Arial" w:cs="Arial" w:eastAsia="Arial" w:hAnsi="Arial"/>
                <w:color w:val="CCDDEE"/>
                <w:sz w:val="16"/>
                <w:szCs w:val="16"/>
              </w:rPr>
              <w:t xml:space="preserve">Análisis, extracción, clasificación y resumen</w:t>
            </w:r>
          </w:p>
        </w:tc>
        <w:tc>
          <w:tcPr>
            <w:tcW w:type="dxa" w:w="1560"/>
            <w:tcBorders>
              <w:top w:val="single" w:color="CCCCCC" w:sz="1"/>
              <w:left w:val="single" w:color="CCCCCC" w:sz="1"/>
              <w:bottom w:val="single" w:color="CCCCCC" w:sz="1"/>
              <w:right w:val="single" w:color="CCCCCC" w:sz="1"/>
            </w:tcBorders>
            <w:shd w:fill="108010" w:val="clear"/>
            <w:tcMar>
              <w:top w:type="dxa" w:w="100"/>
              <w:left w:type="dxa" w:w="80"/>
              <w:bottom w:type="dxa" w:w="100"/>
              <w:right w:type="dxa" w:w="80"/>
            </w:tcMar>
          </w:tcPr>
          <w:p>
            <w:pPr>
              <w:jc w:val="center"/>
            </w:pPr>
            <w:r>
              <w:rPr>
                <w:rFonts w:ascii="Arial" w:cs="Arial" w:eastAsia="Arial" w:hAnsi="Arial"/>
                <w:color w:val="DDDDDD"/>
                <w:sz w:val="16"/>
                <w:szCs w:val="16"/>
              </w:rPr>
              <w:t xml:space="preserve">CAPA 5</w:t>
            </w:r>
          </w:p>
          <w:p>
            <w:pPr>
              <w:jc w:val="center"/>
            </w:pPr>
            <w:r>
              <w:rPr>
                <w:rFonts w:ascii="Arial" w:cs="Arial" w:eastAsia="Arial" w:hAnsi="Arial"/>
                <w:b/>
                <w:bCs/>
                <w:color w:val="FFFFFF"/>
                <w:sz w:val="19"/>
                <w:szCs w:val="19"/>
              </w:rPr>
              <w:t xml:space="preserve">De-anonimización</w:t>
            </w:r>
          </w:p>
          <w:p>
            <w:pPr>
              <w:spacing w:before="60"/>
              <w:jc w:val="center"/>
            </w:pPr>
            <w:r>
              <w:rPr>
                <w:rFonts w:ascii="Arial" w:cs="Arial" w:eastAsia="Arial" w:hAnsi="Arial"/>
                <w:color w:val="CCDDEE"/>
                <w:sz w:val="16"/>
                <w:szCs w:val="16"/>
              </w:rPr>
              <w:t xml:space="preserve">Restauración controlada de datos reales (opcional)</w:t>
            </w:r>
          </w:p>
        </w:tc>
        <w:tc>
          <w:tcPr>
            <w:tcW w:type="dxa" w:w="1560"/>
            <w:tcBorders>
              <w:top w:val="single" w:color="CCCCCC" w:sz="1"/>
              <w:left w:val="single" w:color="CCCCCC" w:sz="1"/>
              <w:bottom w:val="single" w:color="CCCCCC" w:sz="1"/>
              <w:right w:val="single" w:color="CCCCCC" w:sz="1"/>
            </w:tcBorders>
            <w:shd w:fill="C55A11" w:val="clear"/>
            <w:tcMar>
              <w:top w:type="dxa" w:w="100"/>
              <w:left w:type="dxa" w:w="80"/>
              <w:bottom w:type="dxa" w:w="100"/>
              <w:right w:type="dxa" w:w="80"/>
            </w:tcMar>
          </w:tcPr>
          <w:p>
            <w:pPr>
              <w:jc w:val="center"/>
            </w:pPr>
            <w:r>
              <w:rPr>
                <w:rFonts w:ascii="Arial" w:cs="Arial" w:eastAsia="Arial" w:hAnsi="Arial"/>
                <w:color w:val="DDDDDD"/>
                <w:sz w:val="16"/>
                <w:szCs w:val="16"/>
              </w:rPr>
              <w:t xml:space="preserve">CAPA 6</w:t>
            </w:r>
          </w:p>
          <w:p>
            <w:pPr>
              <w:jc w:val="center"/>
            </w:pPr>
            <w:r>
              <w:rPr>
                <w:rFonts w:ascii="Arial" w:cs="Arial" w:eastAsia="Arial" w:hAnsi="Arial"/>
                <w:b/>
                <w:bCs/>
                <w:color w:val="FFFFFF"/>
                <w:sz w:val="19"/>
                <w:szCs w:val="19"/>
              </w:rPr>
              <w:t xml:space="preserve">Resultados</w:t>
            </w:r>
          </w:p>
          <w:p>
            <w:pPr>
              <w:spacing w:before="60"/>
              <w:jc w:val="center"/>
            </w:pPr>
            <w:r>
              <w:rPr>
                <w:rFonts w:ascii="Arial" w:cs="Arial" w:eastAsia="Arial" w:hAnsi="Arial"/>
                <w:color w:val="CCDDEE"/>
                <w:sz w:val="16"/>
                <w:szCs w:val="16"/>
              </w:rPr>
              <w:t xml:space="preserve">ERP, CRM, repositorio, notificaciones, audit log</w:t>
            </w:r>
          </w:p>
        </w:tc>
      </w:tr>
    </w:tbl>
    <w:p>
      <w:pPr>
        <w:spacing w:after="100" w:before="0"/>
      </w:pPr>
      <w:r>
        <w:t xml:space="preserve"/>
      </w:r>
    </w:p>
    <w:p>
      <w:pPr>
        <w:pStyle w:val="Heading2"/>
        <w:spacing w:after="120" w:before="260"/>
      </w:pPr>
      <w:r>
        <w:rPr>
          <w:rFonts w:ascii="Arial" w:cs="Arial" w:eastAsia="Arial" w:hAnsi="Arial"/>
          <w:b/>
          <w:bCs/>
          <w:color w:val="0078D4"/>
          <w:sz w:val="24"/>
          <w:szCs w:val="24"/>
        </w:rPr>
        <w:t xml:space="preserve">3.2 Componentes de la Arquitectura</w:t>
      </w:r>
    </w:p>
    <w:p>
      <w:pPr>
        <w:spacing w:after="100" w:before="0"/>
      </w:pPr>
      <w:r>
        <w:t xml:space="preserve"/>
      </w:r>
    </w:p>
    <w:p>
      <w:pPr>
        <w:spacing w:after="80" w:before="180"/>
      </w:pPr>
      <w:r>
        <w:rPr>
          <w:rFonts w:ascii="Arial" w:cs="Arial" w:eastAsia="Arial" w:hAnsi="Arial"/>
          <w:b/>
          <w:bCs/>
          <w:color w:val="003A6C"/>
          <w:sz w:val="21"/>
          <w:szCs w:val="21"/>
        </w:rPr>
        <w:t xml:space="preserve">Componente 1 — Capa de Ingesta Documental</w:t>
      </w:r>
    </w:p>
    <w:p>
      <w:pPr>
        <w:spacing w:after="60" w:before="60"/>
      </w:pPr>
      <w:r>
        <w:rPr>
          <w:rFonts w:ascii="Arial" w:cs="Arial" w:eastAsia="Arial" w:hAnsi="Arial"/>
          <w:color w:val="333333"/>
          <w:sz w:val="20"/>
          <w:szCs w:val="20"/>
        </w:rPr>
        <w:t xml:space="preserve">Punto de entrada unificado para todos los tipos de documentos que maneja la organización.</w:t>
      </w:r>
    </w:p>
    <w:p>
      <w:pPr>
        <w:pStyle w:val="ListParagraph"/>
        <w:numPr>
          <w:ilvl w:val="0"/>
          <w:numId w:val="3"/>
        </w:numPr>
        <w:spacing w:after="50" w:before="50"/>
      </w:pPr>
      <w:r>
        <w:rPr>
          <w:rFonts w:ascii="Arial" w:cs="Arial" w:eastAsia="Arial" w:hAnsi="Arial"/>
          <w:b w:val="false"/>
          <w:bCs w:val="false"/>
          <w:color w:val="333333"/>
          <w:sz w:val="20"/>
          <w:szCs w:val="20"/>
        </w:rPr>
        <w:t xml:space="preserve">Azure Blob Storage: repositorio central con políticas de retención y cifrado en reposo (AES-256).</w:t>
      </w:r>
    </w:p>
    <w:p>
      <w:pPr>
        <w:pStyle w:val="ListParagraph"/>
        <w:numPr>
          <w:ilvl w:val="0"/>
          <w:numId w:val="3"/>
        </w:numPr>
        <w:spacing w:after="50" w:before="50"/>
      </w:pPr>
      <w:r>
        <w:rPr>
          <w:rFonts w:ascii="Arial" w:cs="Arial" w:eastAsia="Arial" w:hAnsi="Arial"/>
          <w:b w:val="false"/>
          <w:bCs w:val="false"/>
          <w:color w:val="333333"/>
          <w:sz w:val="20"/>
          <w:szCs w:val="20"/>
        </w:rPr>
        <w:t xml:space="preserve">Azure Logic Apps / Power Automate: conectores para ingesta desde email (Exchange), SharePoint, formularios web y escaneo físico (SFTP).</w:t>
      </w:r>
    </w:p>
    <w:p>
      <w:pPr>
        <w:pStyle w:val="ListParagraph"/>
        <w:numPr>
          <w:ilvl w:val="0"/>
          <w:numId w:val="3"/>
        </w:numPr>
        <w:spacing w:after="50" w:before="50"/>
      </w:pPr>
      <w:r>
        <w:rPr>
          <w:rFonts w:ascii="Arial" w:cs="Arial" w:eastAsia="Arial" w:hAnsi="Arial"/>
          <w:b w:val="false"/>
          <w:bCs w:val="false"/>
          <w:color w:val="333333"/>
          <w:sz w:val="20"/>
          <w:szCs w:val="20"/>
        </w:rPr>
        <w:t xml:space="preserve">Azure API Management: endpoint REST seguro para envío programático de documentos desde sistemas externos.</w:t>
      </w:r>
    </w:p>
    <w:p>
      <w:pPr>
        <w:pStyle w:val="ListParagraph"/>
        <w:numPr>
          <w:ilvl w:val="0"/>
          <w:numId w:val="3"/>
        </w:numPr>
        <w:spacing w:after="50" w:before="50"/>
      </w:pPr>
      <w:r>
        <w:rPr>
          <w:rFonts w:ascii="Arial" w:cs="Arial" w:eastAsia="Arial" w:hAnsi="Arial"/>
          <w:b w:val="false"/>
          <w:bCs w:val="false"/>
          <w:color w:val="333333"/>
          <w:sz w:val="20"/>
          <w:szCs w:val="20"/>
        </w:rPr>
        <w:t xml:space="preserve">Azure Document Intelligence (pre-OCR): extracción de texto en documentos escaneados o imágenes antes del enmascaramiento.</w:t>
      </w:r>
    </w:p>
    <w:p>
      <w:pPr>
        <w:spacing w:after="100" w:before="0"/>
      </w:pPr>
      <w:r>
        <w:t xml:space="preserve"/>
      </w:r>
    </w:p>
    <w:p>
      <w:pPr>
        <w:spacing w:after="80" w:before="180"/>
      </w:pPr>
      <w:r>
        <w:rPr>
          <w:rFonts w:ascii="Arial" w:cs="Arial" w:eastAsia="Arial" w:hAnsi="Arial"/>
          <w:b/>
          <w:bCs/>
          <w:color w:val="003A6C"/>
          <w:sz w:val="21"/>
          <w:szCs w:val="21"/>
        </w:rPr>
        <w:t xml:space="preserve">Componente 2 — Microsoft Presidio (Enmascaramiento PII)</w:t>
      </w:r>
    </w:p>
    <w:p>
      <w:pPr>
        <w:spacing w:after="60" w:before="60"/>
      </w:pPr>
      <w:r>
        <w:rPr>
          <w:rFonts w:ascii="Arial" w:cs="Arial" w:eastAsia="Arial" w:hAnsi="Arial"/>
          <w:color w:val="333333"/>
          <w:sz w:val="20"/>
          <w:szCs w:val="20"/>
        </w:rPr>
        <w:t xml:space="preserve">Núcleo de privacidad de la solución. Microsoft Presidio es un framework open-source de Microsoft para detección y anonimización de información personal identificable.</w:t>
      </w:r>
    </w:p>
    <w:p>
      <w:pPr>
        <w:pStyle w:val="ListParagraph"/>
        <w:numPr>
          <w:ilvl w:val="0"/>
          <w:numId w:val="3"/>
        </w:numPr>
        <w:spacing w:after="50" w:before="50"/>
      </w:pPr>
      <w:r>
        <w:rPr>
          <w:rFonts w:ascii="Arial" w:cs="Arial" w:eastAsia="Arial" w:hAnsi="Arial"/>
          <w:b w:val="false"/>
          <w:bCs w:val="false"/>
          <w:color w:val="333333"/>
          <w:sz w:val="20"/>
          <w:szCs w:val="20"/>
        </w:rPr>
        <w:t xml:space="preserve">Detección de entidades PII: nombres, CURP, RFC, NSS, números de cuenta, tarjetas, correos, teléfonos, fechas de nacimiento, direcciones, coordenadas geográficas.</w:t>
      </w:r>
    </w:p>
    <w:p>
      <w:pPr>
        <w:pStyle w:val="ListParagraph"/>
        <w:numPr>
          <w:ilvl w:val="0"/>
          <w:numId w:val="3"/>
        </w:numPr>
        <w:spacing w:after="50" w:before="50"/>
      </w:pPr>
      <w:r>
        <w:rPr>
          <w:rFonts w:ascii="Arial" w:cs="Arial" w:eastAsia="Arial" w:hAnsi="Arial"/>
          <w:b w:val="false"/>
          <w:bCs w:val="false"/>
          <w:color w:val="333333"/>
          <w:sz w:val="20"/>
          <w:szCs w:val="20"/>
        </w:rPr>
        <w:t xml:space="preserve">Soporte multiidioma: español e inglés de forma nativa; extensible a otros idiomas con modelos SpaCy.</w:t>
      </w:r>
    </w:p>
    <w:p>
      <w:pPr>
        <w:pStyle w:val="ListParagraph"/>
        <w:numPr>
          <w:ilvl w:val="0"/>
          <w:numId w:val="3"/>
        </w:numPr>
        <w:spacing w:after="50" w:before="50"/>
      </w:pPr>
      <w:r>
        <w:rPr>
          <w:rFonts w:ascii="Arial" w:cs="Arial" w:eastAsia="Arial" w:hAnsi="Arial"/>
          <w:b/>
          <w:bCs/>
          <w:color w:val="333333"/>
          <w:sz w:val="20"/>
          <w:szCs w:val="20"/>
        </w:rPr>
        <w:t xml:space="preserve">Estrategias de anonimización configurables:</w:t>
      </w:r>
    </w:p>
    <w:p>
      <w:pPr>
        <w:pStyle w:val="ListParagraph"/>
        <w:numPr>
          <w:ilvl w:val="0"/>
          <w:numId w:val="4"/>
        </w:numPr>
        <w:spacing w:after="40" w:before="40"/>
      </w:pPr>
      <w:r>
        <w:rPr>
          <w:rFonts w:ascii="Arial" w:cs="Arial" w:eastAsia="Arial" w:hAnsi="Arial"/>
          <w:color w:val="666666"/>
          <w:sz w:val="19"/>
          <w:szCs w:val="19"/>
        </w:rPr>
        <w:t xml:space="preserve">Reemplazo por placeholder: [NOMBRE], [RFC], [CUENTA_BANCARIA]</w:t>
      </w:r>
    </w:p>
    <w:p>
      <w:pPr>
        <w:pStyle w:val="ListParagraph"/>
        <w:numPr>
          <w:ilvl w:val="0"/>
          <w:numId w:val="4"/>
        </w:numPr>
        <w:spacing w:after="40" w:before="40"/>
      </w:pPr>
      <w:r>
        <w:rPr>
          <w:rFonts w:ascii="Arial" w:cs="Arial" w:eastAsia="Arial" w:hAnsi="Arial"/>
          <w:color w:val="666666"/>
          <w:sz w:val="19"/>
          <w:szCs w:val="19"/>
        </w:rPr>
        <w:t xml:space="preserve">Encriptación reversible: AES con llave manejada en Azure Key Vault (permite de-anonimización controlada)</w:t>
      </w:r>
    </w:p>
    <w:p>
      <w:pPr>
        <w:pStyle w:val="ListParagraph"/>
        <w:numPr>
          <w:ilvl w:val="0"/>
          <w:numId w:val="4"/>
        </w:numPr>
        <w:spacing w:after="40" w:before="40"/>
      </w:pPr>
      <w:r>
        <w:rPr>
          <w:rFonts w:ascii="Arial" w:cs="Arial" w:eastAsia="Arial" w:hAnsi="Arial"/>
          <w:color w:val="666666"/>
          <w:sz w:val="19"/>
          <w:szCs w:val="19"/>
        </w:rPr>
        <w:t xml:space="preserve">Pseudonimización: sustitución por identificador único rastreable solo con clave maestra</w:t>
      </w:r>
    </w:p>
    <w:p>
      <w:pPr>
        <w:pStyle w:val="ListParagraph"/>
        <w:numPr>
          <w:ilvl w:val="0"/>
          <w:numId w:val="4"/>
        </w:numPr>
        <w:spacing w:after="40" w:before="40"/>
      </w:pPr>
      <w:r>
        <w:rPr>
          <w:rFonts w:ascii="Arial" w:cs="Arial" w:eastAsia="Arial" w:hAnsi="Arial"/>
          <w:color w:val="666666"/>
          <w:sz w:val="19"/>
          <w:szCs w:val="19"/>
        </w:rPr>
        <w:t xml:space="preserve">Redacción total: remoción del texto sin reemplazo</w:t>
      </w:r>
    </w:p>
    <w:p>
      <w:pPr>
        <w:pStyle w:val="ListParagraph"/>
        <w:numPr>
          <w:ilvl w:val="0"/>
          <w:numId w:val="3"/>
        </w:numPr>
        <w:spacing w:after="50" w:before="50"/>
      </w:pPr>
      <w:r>
        <w:rPr>
          <w:rFonts w:ascii="Arial" w:cs="Arial" w:eastAsia="Arial" w:hAnsi="Arial"/>
          <w:b w:val="false"/>
          <w:bCs w:val="false"/>
          <w:color w:val="333333"/>
          <w:sz w:val="20"/>
          <w:szCs w:val="20"/>
        </w:rPr>
        <w:t xml:space="preserve">Despliegue como microservicio en Azure Container Apps: escalado automático, aislamiento de red, sin salida a internet.</w:t>
      </w:r>
    </w:p>
    <w:p>
      <w:pPr>
        <w:pStyle w:val="ListParagraph"/>
        <w:numPr>
          <w:ilvl w:val="0"/>
          <w:numId w:val="3"/>
        </w:numPr>
        <w:spacing w:after="50" w:before="50"/>
      </w:pPr>
      <w:r>
        <w:rPr>
          <w:rFonts w:ascii="Arial" w:cs="Arial" w:eastAsia="Arial" w:hAnsi="Arial"/>
          <w:b w:val="false"/>
          <w:bCs w:val="false"/>
          <w:color w:val="333333"/>
          <w:sz w:val="20"/>
          <w:szCs w:val="20"/>
        </w:rPr>
        <w:t xml:space="preserve">Registro de auditoría: cada entidad detectada y enmascarada queda registrada en Azure Cosmos DB con timestamp, tipo de entidad y estrategia aplicada.</w:t>
      </w:r>
    </w:p>
    <w:p>
      <w:pPr>
        <w:spacing w:after="100" w:before="0"/>
      </w:pPr>
      <w:r>
        <w:t xml:space="preserve"/>
      </w:r>
    </w:p>
    <w:p>
      <w:pPr>
        <w:spacing w:after="80" w:before="180"/>
      </w:pPr>
      <w:r>
        <w:rPr>
          <w:rFonts w:ascii="Arial" w:cs="Arial" w:eastAsia="Arial" w:hAnsi="Arial"/>
          <w:b/>
          <w:bCs/>
          <w:color w:val="003A6C"/>
          <w:sz w:val="21"/>
          <w:szCs w:val="21"/>
        </w:rPr>
        <w:t xml:space="preserve">Componente 3 — Azure AI Foundry (Orquestación IA)</w:t>
      </w:r>
    </w:p>
    <w:p>
      <w:pPr>
        <w:spacing w:after="60" w:before="60"/>
      </w:pPr>
      <w:r>
        <w:rPr>
          <w:rFonts w:ascii="Arial" w:cs="Arial" w:eastAsia="Arial" w:hAnsi="Arial"/>
          <w:color w:val="333333"/>
          <w:sz w:val="20"/>
          <w:szCs w:val="20"/>
        </w:rPr>
        <w:t xml:space="preserve">Plataforma central que gestiona el ciclo de vida de los modelos y el enrutamiento inteligente de solicitudes.</w:t>
      </w:r>
    </w:p>
    <w:p>
      <w:pPr>
        <w:pStyle w:val="ListParagraph"/>
        <w:numPr>
          <w:ilvl w:val="0"/>
          <w:numId w:val="3"/>
        </w:numPr>
        <w:spacing w:after="50" w:before="50"/>
      </w:pPr>
      <w:r>
        <w:rPr>
          <w:rFonts w:ascii="Arial" w:cs="Arial" w:eastAsia="Arial" w:hAnsi="Arial"/>
          <w:b w:val="false"/>
          <w:bCs w:val="false"/>
          <w:color w:val="333333"/>
          <w:sz w:val="20"/>
          <w:szCs w:val="20"/>
        </w:rPr>
        <w:t xml:space="preserve">Motor dual de modelos: GPT-4o (OpenAI) y Claude Sonnet/Haiku (Anthropic) disponibles simultáneamente.</w:t>
      </w:r>
    </w:p>
    <w:p>
      <w:pPr>
        <w:pStyle w:val="ListParagraph"/>
        <w:numPr>
          <w:ilvl w:val="0"/>
          <w:numId w:val="3"/>
        </w:numPr>
        <w:spacing w:after="50" w:before="50"/>
      </w:pPr>
      <w:r>
        <w:rPr>
          <w:rFonts w:ascii="Arial" w:cs="Arial" w:eastAsia="Arial" w:hAnsi="Arial"/>
          <w:b w:val="false"/>
          <w:bCs w:val="false"/>
          <w:color w:val="333333"/>
          <w:sz w:val="20"/>
          <w:szCs w:val="20"/>
        </w:rPr>
        <w:t xml:space="preserve">Enrutamiento inteligente: selección automática del modelo según tipo de documento, longitud del contexto y costo-beneficio.</w:t>
      </w:r>
    </w:p>
    <w:p>
      <w:pPr>
        <w:pStyle w:val="ListParagraph"/>
        <w:numPr>
          <w:ilvl w:val="0"/>
          <w:numId w:val="3"/>
        </w:numPr>
        <w:spacing w:after="50" w:before="50"/>
      </w:pPr>
      <w:r>
        <w:rPr>
          <w:rFonts w:ascii="Arial" w:cs="Arial" w:eastAsia="Arial" w:hAnsi="Arial"/>
          <w:b w:val="false"/>
          <w:bCs w:val="false"/>
          <w:color w:val="333333"/>
          <w:sz w:val="20"/>
          <w:szCs w:val="20"/>
        </w:rPr>
        <w:t xml:space="preserve">Azure AI Content Safety: filtros de contenido dañino y cumplimiento de Responsible AI en todas las llamadas.</w:t>
      </w:r>
    </w:p>
    <w:p>
      <w:pPr>
        <w:pStyle w:val="ListParagraph"/>
        <w:numPr>
          <w:ilvl w:val="0"/>
          <w:numId w:val="3"/>
        </w:numPr>
        <w:spacing w:after="50" w:before="50"/>
      </w:pPr>
      <w:r>
        <w:rPr>
          <w:rFonts w:ascii="Arial" w:cs="Arial" w:eastAsia="Arial" w:hAnsi="Arial"/>
          <w:b w:val="false"/>
          <w:bCs w:val="false"/>
          <w:color w:val="333333"/>
          <w:sz w:val="20"/>
          <w:szCs w:val="20"/>
        </w:rPr>
        <w:t xml:space="preserve">Azure AI Search: indexación vectorial del repositorio documental para búsqueda semántica y flujos RAG.</w:t>
      </w:r>
    </w:p>
    <w:p>
      <w:pPr>
        <w:pStyle w:val="ListParagraph"/>
        <w:numPr>
          <w:ilvl w:val="0"/>
          <w:numId w:val="3"/>
        </w:numPr>
        <w:spacing w:after="50" w:before="50"/>
      </w:pPr>
      <w:r>
        <w:rPr>
          <w:rFonts w:ascii="Arial" w:cs="Arial" w:eastAsia="Arial" w:hAnsi="Arial"/>
          <w:b w:val="false"/>
          <w:bCs w:val="false"/>
          <w:color w:val="333333"/>
          <w:sz w:val="20"/>
          <w:szCs w:val="20"/>
        </w:rPr>
        <w:t xml:space="preserve">Semantic Kernel / LangChain: orquestación de cadenas de procesamiento multi-paso para análisis complejos.</w:t>
      </w:r>
    </w:p>
    <w:p>
      <w:pPr>
        <w:spacing w:after="100" w:before="0"/>
      </w:pPr>
      <w:r>
        <w:t xml:space="preserve"/>
      </w:r>
    </w:p>
    <w:p>
      <w:pPr>
        <w:spacing w:after="80" w:before="180"/>
      </w:pPr>
      <w:r>
        <w:rPr>
          <w:rFonts w:ascii="Arial" w:cs="Arial" w:eastAsia="Arial" w:hAnsi="Arial"/>
          <w:b/>
          <w:bCs/>
          <w:color w:val="003A6C"/>
          <w:sz w:val="21"/>
          <w:szCs w:val="21"/>
        </w:rPr>
        <w:t xml:space="preserve">Componente 4 — Motor Dual GPT-4o + Claude</w:t>
      </w:r>
    </w:p>
    <w:p>
      <w:pPr>
        <w:spacing w:after="60" w:before="60"/>
      </w:pPr>
      <w:r>
        <w:rPr>
          <w:rFonts w:ascii="Arial" w:cs="Arial" w:eastAsia="Arial" w:hAnsi="Arial"/>
          <w:color w:val="333333"/>
          <w:sz w:val="20"/>
          <w:szCs w:val="20"/>
        </w:rPr>
        <w:t xml:space="preserve">Los dos modelos operan en paralelo o en modo failover, cada uno con fortalezas complementarias: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Capacidad</w:t>
            </w:r>
          </w:p>
        </w:tc>
        <w:tc>
          <w:tcPr>
            <w:tcW w:type="dxa" w:w="368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GPT-4o (OpenAI)</w:t>
            </w:r>
          </w:p>
        </w:tc>
        <w:tc>
          <w:tcPr>
            <w:tcW w:type="dxa" w:w="368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Claude Sonnet 4.6 (Anthropic)</w:t>
            </w:r>
          </w:p>
        </w:tc>
      </w:tr>
      <w:tr>
        <w:tc>
          <w:tcPr>
            <w:tcW w:type="dxa" w:w="20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Contexto máximo</w:t>
            </w:r>
          </w:p>
        </w:tc>
        <w:tc>
          <w:tcPr>
            <w:tcW w:type="dxa" w:w="36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128K tokens</w:t>
            </w:r>
          </w:p>
        </w:tc>
        <w:tc>
          <w:tcPr>
            <w:tcW w:type="dxa" w:w="36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200K tokens — ideal para documentos muy extensos</w:t>
            </w:r>
          </w:p>
        </w:tc>
      </w:tr>
      <w:tr>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Extracción estructurada</w:t>
            </w:r>
          </w:p>
        </w:tc>
        <w:tc>
          <w:tcPr>
            <w:tcW w:type="dxa" w:w="36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Excelente con function calling y JSON mode</w:t>
            </w:r>
          </w:p>
        </w:tc>
        <w:tc>
          <w:tcPr>
            <w:tcW w:type="dxa" w:w="36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Excelente, formato XML/JSON nativo muy preciso</w:t>
            </w:r>
          </w:p>
        </w:tc>
      </w:tr>
      <w:tr>
        <w:tc>
          <w:tcPr>
            <w:tcW w:type="dxa" w:w="20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Análisis de contratos</w:t>
            </w:r>
          </w:p>
        </w:tc>
        <w:tc>
          <w:tcPr>
            <w:tcW w:type="dxa" w:w="36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bueno, detalle legal preciso</w:t>
            </w:r>
          </w:p>
        </w:tc>
        <w:tc>
          <w:tcPr>
            <w:tcW w:type="dxa" w:w="36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Excelente, superior en textos legales y normativos</w:t>
            </w:r>
          </w:p>
        </w:tc>
      </w:tr>
      <w:tr>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Velocidad de respuesta</w:t>
            </w:r>
          </w:p>
        </w:tc>
        <w:tc>
          <w:tcPr>
            <w:tcW w:type="dxa" w:w="36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seg. en respuestas medianas</w:t>
            </w:r>
          </w:p>
        </w:tc>
        <w:tc>
          <w:tcPr>
            <w:tcW w:type="dxa" w:w="36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~1.5-3 seg. en respuestas medianas</w:t>
            </w:r>
          </w:p>
        </w:tc>
      </w:tr>
      <w:tr>
        <w:tc>
          <w:tcPr>
            <w:tcW w:type="dxa" w:w="20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Costo por 1M tokens (in/out)</w:t>
            </w:r>
          </w:p>
        </w:tc>
        <w:tc>
          <w:tcPr>
            <w:tcW w:type="dxa" w:w="36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 / $10.00</w:t>
            </w:r>
          </w:p>
        </w:tc>
        <w:tc>
          <w:tcPr>
            <w:tcW w:type="dxa" w:w="36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 / $15.00</w:t>
            </w:r>
          </w:p>
        </w:tc>
      </w:tr>
      <w:tr>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Soporte multimodal</w:t>
            </w:r>
          </w:p>
        </w:tc>
        <w:tc>
          <w:tcPr>
            <w:tcW w:type="dxa" w:w="36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Imágenes, audio, texto</w:t>
            </w:r>
          </w:p>
        </w:tc>
        <w:tc>
          <w:tcPr>
            <w:tcW w:type="dxa" w:w="36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Texto e imágenes (visión)</w:t>
            </w:r>
          </w:p>
        </w:tc>
      </w:tr>
      <w:tr>
        <w:tc>
          <w:tcPr>
            <w:tcW w:type="dxa" w:w="20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Caso de uso recomendado</w:t>
            </w:r>
          </w:p>
        </w:tc>
        <w:tc>
          <w:tcPr>
            <w:tcW w:type="dxa" w:w="36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Chatbots, extracción de datos de facturas, formularios</w:t>
            </w:r>
          </w:p>
        </w:tc>
        <w:tc>
          <w:tcPr>
            <w:tcW w:type="dxa" w:w="36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Contratos largos, análisis jurídico, documentos regulatorios</w:t>
            </w:r>
          </w:p>
        </w:tc>
      </w:tr>
    </w:tbl>
    <w:p>
      <w:pPr>
        <w:spacing w:after="100" w:before="0"/>
      </w:pPr>
      <w:r>
        <w:t xml:space="preserve"/>
      </w:r>
    </w:p>
    <w:p>
      <w:pPr>
        <w:spacing w:after="80" w:before="180"/>
      </w:pPr>
      <w:r>
        <w:rPr>
          <w:rFonts w:ascii="Arial" w:cs="Arial" w:eastAsia="Arial" w:hAnsi="Arial"/>
          <w:b/>
          <w:bCs/>
          <w:color w:val="003A6C"/>
          <w:sz w:val="21"/>
          <w:szCs w:val="21"/>
        </w:rPr>
        <w:t xml:space="preserve">Componente 5 — De-anonimización Controlada</w:t>
      </w:r>
    </w:p>
    <w:p>
      <w:pPr>
        <w:spacing w:after="60" w:before="60"/>
      </w:pPr>
      <w:r>
        <w:rPr>
          <w:rFonts w:ascii="Arial" w:cs="Arial" w:eastAsia="Arial" w:hAnsi="Arial"/>
          <w:color w:val="333333"/>
          <w:sz w:val="20"/>
          <w:szCs w:val="20"/>
        </w:rPr>
        <w:t xml:space="preserve">Capa opcional que permite restaurar datos reales en los resultados cuando el flujo de negocio lo requiera y el usuario tenga los permisos adecuados.</w:t>
      </w:r>
    </w:p>
    <w:p>
      <w:pPr>
        <w:pStyle w:val="ListParagraph"/>
        <w:numPr>
          <w:ilvl w:val="0"/>
          <w:numId w:val="3"/>
        </w:numPr>
        <w:spacing w:after="50" w:before="50"/>
      </w:pPr>
      <w:r>
        <w:rPr>
          <w:rFonts w:ascii="Arial" w:cs="Arial" w:eastAsia="Arial" w:hAnsi="Arial"/>
          <w:b w:val="false"/>
          <w:bCs w:val="false"/>
          <w:color w:val="333333"/>
          <w:sz w:val="20"/>
          <w:szCs w:val="20"/>
        </w:rPr>
        <w:t xml:space="preserve">La clave de des-encriptación se almacena en Azure Key Vault con acceso restringido por RBAC.</w:t>
      </w:r>
    </w:p>
    <w:p>
      <w:pPr>
        <w:pStyle w:val="ListParagraph"/>
        <w:numPr>
          <w:ilvl w:val="0"/>
          <w:numId w:val="3"/>
        </w:numPr>
        <w:spacing w:after="50" w:before="50"/>
      </w:pPr>
      <w:r>
        <w:rPr>
          <w:rFonts w:ascii="Arial" w:cs="Arial" w:eastAsia="Arial" w:hAnsi="Arial"/>
          <w:b w:val="false"/>
          <w:bCs w:val="false"/>
          <w:color w:val="333333"/>
          <w:sz w:val="20"/>
          <w:szCs w:val="20"/>
        </w:rPr>
        <w:t xml:space="preserve">Solo roles específicos (ej. Compliance Officer) pueden solicitar la restauración de datos reales.</w:t>
      </w:r>
    </w:p>
    <w:p>
      <w:pPr>
        <w:pStyle w:val="ListParagraph"/>
        <w:numPr>
          <w:ilvl w:val="0"/>
          <w:numId w:val="3"/>
        </w:numPr>
        <w:spacing w:after="50" w:before="50"/>
      </w:pPr>
      <w:r>
        <w:rPr>
          <w:rFonts w:ascii="Arial" w:cs="Arial" w:eastAsia="Arial" w:hAnsi="Arial"/>
          <w:b w:val="false"/>
          <w:bCs w:val="false"/>
          <w:color w:val="333333"/>
          <w:sz w:val="20"/>
          <w:szCs w:val="20"/>
        </w:rPr>
        <w:t xml:space="preserve">Todo acceso a la de-anonimización queda registrado en el audit log con identidad del solicitante.</w:t>
      </w:r>
    </w:p>
    <w:p>
      <w:pPr>
        <w:spacing w:after="100" w:before="0"/>
      </w:pPr>
      <w:r>
        <w:t xml:space="preserve"/>
      </w:r>
    </w:p>
    <w:p>
      <w:pPr>
        <w:spacing w:after="80" w:before="180"/>
      </w:pPr>
      <w:r>
        <w:rPr>
          <w:rFonts w:ascii="Arial" w:cs="Arial" w:eastAsia="Arial" w:hAnsi="Arial"/>
          <w:b/>
          <w:bCs/>
          <w:color w:val="003A6C"/>
          <w:sz w:val="21"/>
          <w:szCs w:val="21"/>
        </w:rPr>
        <w:t xml:space="preserve">Componente 6 — Capa de Resultados e Integración</w:t>
      </w:r>
    </w:p>
    <w:p>
      <w:pPr>
        <w:pStyle w:val="ListParagraph"/>
        <w:numPr>
          <w:ilvl w:val="0"/>
          <w:numId w:val="3"/>
        </w:numPr>
        <w:spacing w:after="50" w:before="50"/>
      </w:pPr>
      <w:r>
        <w:rPr>
          <w:rFonts w:ascii="Arial" w:cs="Arial" w:eastAsia="Arial" w:hAnsi="Arial"/>
          <w:b w:val="false"/>
          <w:bCs w:val="false"/>
          <w:color w:val="333333"/>
          <w:sz w:val="20"/>
          <w:szCs w:val="20"/>
        </w:rPr>
        <w:t xml:space="preserve">Azure Cosmos DB: almacenamiento de resultados de análisis, metadatos y audit log completo.</w:t>
      </w:r>
    </w:p>
    <w:p>
      <w:pPr>
        <w:pStyle w:val="ListParagraph"/>
        <w:numPr>
          <w:ilvl w:val="0"/>
          <w:numId w:val="3"/>
        </w:numPr>
        <w:spacing w:after="50" w:before="50"/>
      </w:pPr>
      <w:r>
        <w:rPr>
          <w:rFonts w:ascii="Arial" w:cs="Arial" w:eastAsia="Arial" w:hAnsi="Arial"/>
          <w:b w:val="false"/>
          <w:bCs w:val="false"/>
          <w:color w:val="333333"/>
          <w:sz w:val="20"/>
          <w:szCs w:val="20"/>
        </w:rPr>
        <w:t xml:space="preserve">Power BI / Azure Monitor: dashboards de operación, métricas de uso y reportes de cumplimiento.</w:t>
      </w:r>
    </w:p>
    <w:p>
      <w:pPr>
        <w:pStyle w:val="ListParagraph"/>
        <w:numPr>
          <w:ilvl w:val="0"/>
          <w:numId w:val="3"/>
        </w:numPr>
        <w:spacing w:after="50" w:before="50"/>
      </w:pPr>
      <w:r>
        <w:rPr>
          <w:rFonts w:ascii="Arial" w:cs="Arial" w:eastAsia="Arial" w:hAnsi="Arial"/>
          <w:b w:val="false"/>
          <w:bCs w:val="false"/>
          <w:color w:val="333333"/>
          <w:sz w:val="20"/>
          <w:szCs w:val="20"/>
        </w:rPr>
        <w:t xml:space="preserve">APIs REST: publicación de resultados hacia ERP (SAP, Oracle), CRM (Salesforce, Dynamics) y otros sistemas corporativos.</w:t>
      </w:r>
    </w:p>
    <w:p>
      <w:pPr>
        <w:pStyle w:val="ListParagraph"/>
        <w:numPr>
          <w:ilvl w:val="0"/>
          <w:numId w:val="3"/>
        </w:numPr>
        <w:spacing w:after="50" w:before="50"/>
      </w:pPr>
      <w:r>
        <w:rPr>
          <w:rFonts w:ascii="Arial" w:cs="Arial" w:eastAsia="Arial" w:hAnsi="Arial"/>
          <w:b w:val="false"/>
          <w:bCs w:val="false"/>
          <w:color w:val="333333"/>
          <w:sz w:val="20"/>
          <w:szCs w:val="20"/>
        </w:rPr>
        <w:t xml:space="preserve">Azure Event Grid / Service Bus: notificaciones de eventos en tiempo real al completarse el análisis de un documento.</w:t>
      </w:r>
    </w:p>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4. Alcance del Proyecto</w:t>
      </w:r>
    </w:p>
    <w:p>
      <w:pPr>
        <w:pBdr>
          <w:bottom w:val="single" w:color="0078D4" w:sz="6" w:space="1"/>
        </w:pBdr>
        <w:spacing w:after="120" w:before="120"/>
      </w:pPr>
      <w:r>
        <w:t xml:space="preserve"/>
      </w:r>
    </w:p>
    <w:p>
      <w:pPr>
        <w:pStyle w:val="Heading2"/>
        <w:spacing w:after="120" w:before="260"/>
      </w:pPr>
      <w:r>
        <w:rPr>
          <w:rFonts w:ascii="Arial" w:cs="Arial" w:eastAsia="Arial" w:hAnsi="Arial"/>
          <w:b/>
          <w:bCs/>
          <w:color w:val="0078D4"/>
          <w:sz w:val="24"/>
          <w:szCs w:val="24"/>
        </w:rPr>
        <w:t xml:space="preserve">4.1 Dentro del Alcance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30"/>
        <w:gridCol w:w="4530"/>
      </w:tblGrid>
      <w:tr>
        <w:tc>
          <w:tcPr>
            <w:tcW w:type="dxa" w:w="3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
            </w:r>
          </w:p>
        </w:tc>
        <w:tc>
          <w:tcPr>
            <w:tcW w:type="dxa" w:w="453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Elemento incluido</w:t>
            </w:r>
          </w:p>
        </w:tc>
        <w:tc>
          <w:tcPr>
            <w:tcW w:type="dxa" w:w="453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Detalle / Entregable</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Despliegue de Microsoft Presidio en Azure Container Apps con reglas de detección PII configuradas para español/inglés y entidades mexicanas (CURP, RFC, NSS).</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Microservicio de Presidio desplegado y validado con set de pruebas documentales del cliente.</w:t>
            </w:r>
          </w:p>
        </w:tc>
      </w:tr>
      <w:tr>
        <w:tc>
          <w:tcPr>
            <w:tcW w:type="dxa" w:w="300"/>
            <w:tcBorders>
              <w:top w:val="single" w:color="CCCCCC" w:sz="1"/>
              <w:left w:val="single" w:color="CCCCCC" w:sz="1"/>
              <w:bottom w:val="single" w:color="CCCCCC" w:sz="1"/>
              <w:right w:val="single" w:color="CCCCCC" w:sz="1"/>
            </w:tcBorders>
            <w:shd w:fill="F9F9F9"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Implementación de Azure AI Foundry con acceso a GPT-4o (OpenAI) y Claude Sonnet/Haiku (Anthropic).</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Ambos modelos desplegados en Azure con endpoints privados, RBAC y monitoreo.</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Desarrollo de pipeline de procesamiento: ingesta → Presidio → Foundry → resultados.</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Pipeline funcional con manejo de errores, reintentos y logging en Azure Monitor.</w:t>
            </w:r>
          </w:p>
        </w:tc>
      </w:tr>
      <w:tr>
        <w:tc>
          <w:tcPr>
            <w:tcW w:type="dxa" w:w="300"/>
            <w:tcBorders>
              <w:top w:val="single" w:color="CCCCCC" w:sz="1"/>
              <w:left w:val="single" w:color="CCCCCC" w:sz="1"/>
              <w:bottom w:val="single" w:color="CCCCCC" w:sz="1"/>
              <w:right w:val="single" w:color="CCCCCC" w:sz="1"/>
            </w:tcBorders>
            <w:shd w:fill="F9F9F9"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Configuración de hasta 5 tipos de documentos con prompts especializados (ej. facturas, contratos, expedientes, formularios, reportes).</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Prompts y lógica de extracción estructurada para cada tipo de documento definido con el cliente.</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Integración con hasta 2 fuentes de ingesta (ej. SharePoint + email) y 2 sistemas de destino (ej. ERP + CRM).</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Conectores configurados y validados con datos reales en ambiente de producción.</w:t>
            </w:r>
          </w:p>
        </w:tc>
      </w:tr>
      <w:tr>
        <w:tc>
          <w:tcPr>
            <w:tcW w:type="dxa" w:w="300"/>
            <w:tcBorders>
              <w:top w:val="single" w:color="CCCCCC" w:sz="1"/>
              <w:left w:val="single" w:color="CCCCCC" w:sz="1"/>
              <w:bottom w:val="single" w:color="CCCCCC" w:sz="1"/>
              <w:right w:val="single" w:color="CCCCCC" w:sz="1"/>
            </w:tcBorders>
            <w:shd w:fill="F9F9F9"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Implementación de Azure AI Search con indexación vectorial del repositorio documental para búsqueda semántica.</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Motor de búsqueda semántica operativo sobre el repositorio de documentos del cliente.</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Dashboard de auditoría y cumplimiento con registro de todas las transacciones de enmascaramiento y análisis.</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Dashboard en Power BI o Azure Monitor con métricas de PII detectada, modelos usados y tiempos de respuesta.</w:t>
            </w:r>
          </w:p>
        </w:tc>
      </w:tr>
      <w:tr>
        <w:tc>
          <w:tcPr>
            <w:tcW w:type="dxa" w:w="300"/>
            <w:tcBorders>
              <w:top w:val="single" w:color="CCCCCC" w:sz="1"/>
              <w:left w:val="single" w:color="CCCCCC" w:sz="1"/>
              <w:bottom w:val="single" w:color="CCCCCC" w:sz="1"/>
              <w:right w:val="single" w:color="CCCCCC" w:sz="1"/>
            </w:tcBorders>
            <w:shd w:fill="F9F9F9"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Configuración de seguridad: Private Endpoints, Azure Key Vault para claves de encriptación, RBAC y Azure AD.</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Ambiente seguro validado por el equipo de seguridad del cliente.</w:t>
            </w:r>
          </w:p>
        </w:tc>
      </w:tr>
      <w:tr>
        <w:tc>
          <w:tcPr>
            <w:tcW w:type="dxa" w:w="300"/>
            <w:tcBorders>
              <w:top w:val="single" w:color="CCCCCC" w:sz="1"/>
              <w:left w:val="single" w:color="CCCCCC" w:sz="1"/>
              <w:bottom w:val="single" w:color="CCCCCC" w:sz="1"/>
              <w:right w:val="single" w:color="CCCCCC" w:sz="1"/>
            </w:tcBorders>
            <w:shd w:fill="E8F4FD"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Capacitación al equipo técnico (máx. 10 personas) y sesiones de adopción para usuarios de negocio (máx. 3 áreas).</w:t>
            </w:r>
          </w:p>
        </w:tc>
        <w:tc>
          <w:tcPr>
            <w:tcW w:type="dxa" w:w="453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Material de capacitación, videos instructivos y sesiones presenciales/virtuales.</w:t>
            </w:r>
          </w:p>
        </w:tc>
      </w:tr>
      <w:tr>
        <w:tc>
          <w:tcPr>
            <w:tcW w:type="dxa" w:w="300"/>
            <w:tcBorders>
              <w:top w:val="single" w:color="CCCCCC" w:sz="1"/>
              <w:left w:val="single" w:color="CCCCCC" w:sz="1"/>
              <w:bottom w:val="single" w:color="CCCCCC" w:sz="1"/>
              <w:right w:val="single" w:color="CCCCCC" w:sz="1"/>
            </w:tcBorders>
            <w:shd w:fill="F9F9F9" w:val="clear"/>
            <w:tcMar>
              <w:top w:type="dxa" w:w="80"/>
              <w:left w:type="dxa" w:w="60"/>
              <w:bottom w:type="dxa" w:w="80"/>
              <w:right w:type="dxa" w:w="60"/>
            </w:tcMar>
          </w:tcPr>
          <w:p>
            <w:pPr>
              <w:jc w:val="center"/>
            </w:pPr>
            <w:r>
              <w:rPr>
                <w:rFonts w:ascii="Arial" w:cs="Arial" w:eastAsia="Arial" w:hAnsi="Arial"/>
                <w:b/>
                <w:bCs/>
                <w:color w:val="107C10"/>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Documentación técnica completa: arquitectura, runbooks, guías de operación y manual de usuario.</w:t>
            </w:r>
          </w:p>
        </w:tc>
        <w:tc>
          <w:tcPr>
            <w:tcW w:type="dxa" w:w="453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Paquete documental entregado al cierre del proyecto.</w:t>
            </w:r>
          </w:p>
        </w:tc>
      </w:tr>
    </w:tbl>
    <w:p>
      <w:pPr>
        <w:spacing w:after="100" w:before="0"/>
      </w:pPr>
      <w:r>
        <w:t xml:space="preserve"/>
      </w:r>
    </w:p>
    <w:p>
      <w:pPr>
        <w:pStyle w:val="Heading2"/>
        <w:spacing w:after="120" w:before="260"/>
      </w:pPr>
      <w:r>
        <w:rPr>
          <w:rFonts w:ascii="Arial" w:cs="Arial" w:eastAsia="Arial" w:hAnsi="Arial"/>
          <w:b/>
          <w:bCs/>
          <w:color w:val="0078D4"/>
          <w:sz w:val="24"/>
          <w:szCs w:val="24"/>
        </w:rPr>
        <w:t xml:space="preserve">4.2 Fuera del Alcance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30"/>
        <w:gridCol w:w="4530"/>
      </w:tblGrid>
      <w:tr>
        <w:tc>
          <w:tcPr>
            <w:tcW w:type="dxa" w:w="3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
            </w:r>
          </w:p>
        </w:tc>
        <w:tc>
          <w:tcPr>
            <w:tcW w:type="dxa" w:w="453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Elemento excluido</w:t>
            </w:r>
          </w:p>
        </w:tc>
        <w:tc>
          <w:tcPr>
            <w:tcW w:type="dxa" w:w="453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Razón / Alternativa</w:t>
            </w:r>
          </w:p>
        </w:tc>
      </w:tr>
      <w:tr>
        <w:tc>
          <w:tcPr>
            <w:tcW w:type="dxa" w:w="300"/>
            <w:tcBorders>
              <w:top w:val="single" w:color="CCCCCC" w:sz="1"/>
              <w:left w:val="single" w:color="CCCCCC" w:sz="1"/>
              <w:bottom w:val="single" w:color="CCCCCC" w:sz="1"/>
              <w:right w:val="single" w:color="CCCCCC" w:sz="1"/>
            </w:tcBorders>
            <w:shd w:fill="FFF4E5"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Desarrollo de aplicaciones móviles nativas (iOS/Android).</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Requiere proyecto independiente de desarrollo móvil. Se puede acceder vía web responsive.</w:t>
            </w:r>
          </w:p>
        </w:tc>
      </w:tr>
      <w:tr>
        <w:tc>
          <w:tcPr>
            <w:tcW w:type="dxa" w:w="300"/>
            <w:tcBorders>
              <w:top w:val="single" w:color="CCCCCC" w:sz="1"/>
              <w:left w:val="single" w:color="CCCCCC" w:sz="1"/>
              <w:bottom w:val="single" w:color="CCCCCC" w:sz="1"/>
              <w:right w:val="single" w:color="CCCCCC" w:sz="1"/>
            </w:tcBorders>
            <w:shd w:fill="FFF9F0"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Procesamiento de más de 5 tipos de documentos en el alcance inicial.</w:t>
            </w:r>
          </w:p>
        </w:tc>
        <w:tc>
          <w:tcPr>
            <w:tcW w:type="dxa" w:w="4530"/>
            <w:gridSpan w:val="1"/>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Cada tipo adicional requiere orden de cambio con estimación de esfuerzo y costo.</w:t>
            </w:r>
          </w:p>
        </w:tc>
      </w:tr>
      <w:tr>
        <w:tc>
          <w:tcPr>
            <w:tcW w:type="dxa" w:w="300"/>
            <w:tcBorders>
              <w:top w:val="single" w:color="CCCCCC" w:sz="1"/>
              <w:left w:val="single" w:color="CCCCCC" w:sz="1"/>
              <w:bottom w:val="single" w:color="CCCCCC" w:sz="1"/>
              <w:right w:val="single" w:color="CCCCCC" w:sz="1"/>
            </w:tcBorders>
            <w:shd w:fill="FFF4E5"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Integración con más de 2 fuentes de ingesta y 2 sistemas de destino.</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Cada integración adicional tiene estimación independiente.</w:t>
            </w:r>
          </w:p>
        </w:tc>
      </w:tr>
      <w:tr>
        <w:tc>
          <w:tcPr>
            <w:tcW w:type="dxa" w:w="300"/>
            <w:tcBorders>
              <w:top w:val="single" w:color="CCCCCC" w:sz="1"/>
              <w:left w:val="single" w:color="CCCCCC" w:sz="1"/>
              <w:bottom w:val="single" w:color="CCCCCC" w:sz="1"/>
              <w:right w:val="single" w:color="CCCCCC" w:sz="1"/>
            </w:tcBorders>
            <w:shd w:fill="FFF9F0"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Entrenamiento de modelos de IA desde cero o fine-tuning avanzado.</w:t>
            </w:r>
          </w:p>
        </w:tc>
        <w:tc>
          <w:tcPr>
            <w:tcW w:type="dxa" w:w="4530"/>
            <w:gridSpan w:val="1"/>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Se usan modelos base de Azure AI Foundry; fine-tuning puntual se puede cotizar por separado.</w:t>
            </w:r>
          </w:p>
        </w:tc>
      </w:tr>
      <w:tr>
        <w:tc>
          <w:tcPr>
            <w:tcW w:type="dxa" w:w="300"/>
            <w:tcBorders>
              <w:top w:val="single" w:color="CCCCCC" w:sz="1"/>
              <w:left w:val="single" w:color="CCCCCC" w:sz="1"/>
              <w:bottom w:val="single" w:color="CCCCCC" w:sz="1"/>
              <w:right w:val="single" w:color="CCCCCC" w:sz="1"/>
            </w:tcBorders>
            <w:shd w:fill="FFF4E5"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Implementación de OCR avanzado para documentos con calidad de imagen muy baja (&lt;72 DPI).</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Requiere preprocesamiento de imagen especializado (solución aparte).</w:t>
            </w:r>
          </w:p>
        </w:tc>
      </w:tr>
      <w:tr>
        <w:tc>
          <w:tcPr>
            <w:tcW w:type="dxa" w:w="300"/>
            <w:tcBorders>
              <w:top w:val="single" w:color="CCCCCC" w:sz="1"/>
              <w:left w:val="single" w:color="CCCCCC" w:sz="1"/>
              <w:bottom w:val="single" w:color="CCCCCC" w:sz="1"/>
              <w:right w:val="single" w:color="CCCCCC" w:sz="1"/>
            </w:tcBorders>
            <w:shd w:fill="FFF9F0"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Soporte y mantenimiento post-garantía (más de 3 meses post-Go Live).</w:t>
            </w:r>
          </w:p>
        </w:tc>
        <w:tc>
          <w:tcPr>
            <w:tcW w:type="dxa" w:w="4530"/>
            <w:gridSpan w:val="1"/>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Se define en contrato de soporte separado.</w:t>
            </w:r>
          </w:p>
        </w:tc>
      </w:tr>
      <w:tr>
        <w:tc>
          <w:tcPr>
            <w:tcW w:type="dxa" w:w="300"/>
            <w:tcBorders>
              <w:top w:val="single" w:color="CCCCCC" w:sz="1"/>
              <w:left w:val="single" w:color="CCCCCC" w:sz="1"/>
              <w:bottom w:val="single" w:color="CCCCCC" w:sz="1"/>
              <w:right w:val="single" w:color="CCCCCC" w:sz="1"/>
            </w:tcBorders>
            <w:shd w:fill="FFF4E5"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Consultoría legal o de compliance específica por sector.</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Requiere especialista legal; la solución técnica provee los controles, no la asesoría normativa.</w:t>
            </w:r>
          </w:p>
        </w:tc>
      </w:tr>
      <w:tr>
        <w:tc>
          <w:tcPr>
            <w:tcW w:type="dxa" w:w="300"/>
            <w:tcBorders>
              <w:top w:val="single" w:color="CCCCCC" w:sz="1"/>
              <w:left w:val="single" w:color="CCCCCC" w:sz="1"/>
              <w:bottom w:val="single" w:color="CCCCCC" w:sz="1"/>
              <w:right w:val="single" w:color="CCCCCC" w:sz="1"/>
            </w:tcBorders>
            <w:shd w:fill="FFF9F0"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Migración de datos históricos de documentos (más de 100 GB).</w:t>
            </w:r>
          </w:p>
        </w:tc>
        <w:tc>
          <w:tcPr>
            <w:tcW w:type="dxa" w:w="4530"/>
            <w:gridSpan w:val="1"/>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Se evalúa como proyecto de migración independiente con estimación dedicada.</w:t>
            </w:r>
          </w:p>
        </w:tc>
      </w:tr>
      <w:tr>
        <w:tc>
          <w:tcPr>
            <w:tcW w:type="dxa" w:w="300"/>
            <w:tcBorders>
              <w:top w:val="single" w:color="CCCCCC" w:sz="1"/>
              <w:left w:val="single" w:color="CCCCCC" w:sz="1"/>
              <w:bottom w:val="single" w:color="CCCCCC" w:sz="1"/>
              <w:right w:val="single" w:color="CCCCCC" w:sz="1"/>
            </w:tcBorders>
            <w:shd w:fill="FFF4E5" w:val="clear"/>
            <w:tcMar>
              <w:top w:type="dxa" w:w="80"/>
              <w:left w:type="dxa" w:w="60"/>
              <w:bottom w:type="dxa" w:w="80"/>
              <w:right w:type="dxa" w:w="60"/>
            </w:tcMar>
          </w:tcPr>
          <w:p>
            <w:pPr>
              <w:jc w:val="center"/>
            </w:pPr>
            <w:r>
              <w:rPr>
                <w:rFonts w:ascii="Arial" w:cs="Arial" w:eastAsia="Arial" w:hAnsi="Arial"/>
                <w:b/>
                <w:bCs/>
                <w:color w:val="C55A11"/>
                <w:sz w:val="20"/>
                <w:szCs w:val="20"/>
              </w:rPr>
              <w:t xml:space="preserve">✕</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bCs/>
                <w:color w:val="C55A11"/>
                <w:sz w:val="20"/>
                <w:szCs w:val="20"/>
              </w:rPr>
              <w:t xml:space="preserve">Implementación en entornos distintos a Microsoft Azure (AWS, GCP, on-premises).</w:t>
            </w:r>
          </w:p>
        </w:tc>
        <w:tc>
          <w:tcPr>
            <w:tcW w:type="dxa" w:w="4530"/>
            <w:gridSpan w:val="1"/>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La solución está diseñada específicamente para el ecosistema Azure.</w:t>
            </w:r>
          </w:p>
        </w:tc>
      </w:tr>
    </w:tbl>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5. Requerimientos Técnicos</w:t>
      </w:r>
    </w:p>
    <w:p>
      <w:pPr>
        <w:pBdr>
          <w:bottom w:val="single" w:color="0078D4" w:sz="6" w:space="1"/>
        </w:pBdr>
        <w:spacing w:after="120" w:before="120"/>
      </w:pPr>
      <w:r>
        <w:t xml:space="preserve"/>
      </w:r>
    </w:p>
    <w:p>
      <w:pPr>
        <w:pStyle w:val="Heading2"/>
        <w:spacing w:after="120" w:before="260"/>
      </w:pPr>
      <w:r>
        <w:rPr>
          <w:rFonts w:ascii="Arial" w:cs="Arial" w:eastAsia="Arial" w:hAnsi="Arial"/>
          <w:b/>
          <w:bCs/>
          <w:color w:val="0078D4"/>
          <w:sz w:val="24"/>
          <w:szCs w:val="24"/>
        </w:rPr>
        <w:t xml:space="preserve">5.1 Infraestructura Azure Requerida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Servicio Azure</w:t>
            </w:r>
          </w:p>
        </w:tc>
        <w:tc>
          <w:tcPr>
            <w:tcW w:type="dxa" w:w="16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SKU / Tier</w:t>
            </w:r>
          </w:p>
        </w:tc>
        <w:tc>
          <w:tcPr>
            <w:tcW w:type="dxa" w:w="16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Costo Est. USD/mes</w:t>
            </w:r>
          </w:p>
        </w:tc>
        <w:tc>
          <w:tcPr>
            <w:tcW w:type="dxa" w:w="336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Función en la Solución</w:t>
            </w:r>
          </w:p>
        </w:tc>
      </w:tr>
      <w:tr>
        <w:tc>
          <w:tcPr>
            <w:tcW w:type="dxa" w:w="2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AI Foundry (Portal + SDK)</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Incluido</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$0</w:t>
            </w:r>
          </w:p>
        </w:tc>
        <w:tc>
          <w:tcPr>
            <w:tcW w:type="dxa" w:w="3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Plataforma de orquestación y gestión de modelos de IA.</w:t>
            </w:r>
          </w:p>
        </w:tc>
      </w:tr>
      <w:tr>
        <w:tc>
          <w:tcPr>
            <w:tcW w:type="dxa" w:w="28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OpenAI Service (GPT-4o)</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Standard S0</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$2,000–$8,000</w:t>
            </w:r>
          </w:p>
        </w:tc>
        <w:tc>
          <w:tcPr>
            <w:tcW w:type="dxa" w:w="3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Motor de análisis para documentos estándar. Pago por tokens.</w:t>
            </w:r>
          </w:p>
        </w:tc>
      </w:tr>
      <w:tr>
        <w:tc>
          <w:tcPr>
            <w:tcW w:type="dxa" w:w="2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Anthropic Claude (vía Azure Marketplace)</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Pay-per-use</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$1,500–$6,000</w:t>
            </w:r>
          </w:p>
        </w:tc>
        <w:tc>
          <w:tcPr>
            <w:tcW w:type="dxa" w:w="3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Motor de análisis para documentos extensos y legales.</w:t>
            </w:r>
          </w:p>
        </w:tc>
      </w:tr>
      <w:tr>
        <w:tc>
          <w:tcPr>
            <w:tcW w:type="dxa" w:w="28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Container Apps</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Consumption</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$200–$500</w:t>
            </w:r>
          </w:p>
        </w:tc>
        <w:tc>
          <w:tcPr>
            <w:tcW w:type="dxa" w:w="3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Hosting del microservicio de Microsoft Presidio.</w:t>
            </w:r>
          </w:p>
        </w:tc>
      </w:tr>
      <w:tr>
        <w:tc>
          <w:tcPr>
            <w:tcW w:type="dxa" w:w="2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Blob Storage</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LRS Standard</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$100–$300</w:t>
            </w:r>
          </w:p>
        </w:tc>
        <w:tc>
          <w:tcPr>
            <w:tcW w:type="dxa" w:w="3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Repositorio de documentos originales y anonimizados.</w:t>
            </w:r>
          </w:p>
        </w:tc>
      </w:tr>
      <w:tr>
        <w:tc>
          <w:tcPr>
            <w:tcW w:type="dxa" w:w="28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Cosmos DB</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Serverless</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$150–$400</w:t>
            </w:r>
          </w:p>
        </w:tc>
        <w:tc>
          <w:tcPr>
            <w:tcW w:type="dxa" w:w="3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Audit log, resultados de análisis y metadatos de PII.</w:t>
            </w:r>
          </w:p>
        </w:tc>
      </w:tr>
      <w:tr>
        <w:tc>
          <w:tcPr>
            <w:tcW w:type="dxa" w:w="2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Key Vault</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Standard</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$30–$80</w:t>
            </w:r>
          </w:p>
        </w:tc>
        <w:tc>
          <w:tcPr>
            <w:tcW w:type="dxa" w:w="3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Gestión de claves de encriptación para de-anonimización.</w:t>
            </w:r>
          </w:p>
        </w:tc>
      </w:tr>
      <w:tr>
        <w:tc>
          <w:tcPr>
            <w:tcW w:type="dxa" w:w="28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API Management</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Standard</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$300–$600</w:t>
            </w:r>
          </w:p>
        </w:tc>
        <w:tc>
          <w:tcPr>
            <w:tcW w:type="dxa" w:w="3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Gateway seguro para todas las APIs de la plataforma.</w:t>
            </w:r>
          </w:p>
        </w:tc>
      </w:tr>
      <w:tr>
        <w:tc>
          <w:tcPr>
            <w:tcW w:type="dxa" w:w="2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AI Search</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Standard S1</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$700–$1,500</w:t>
            </w:r>
          </w:p>
        </w:tc>
        <w:tc>
          <w:tcPr>
            <w:tcW w:type="dxa" w:w="3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Indexación vectorial para búsqueda semántica.</w:t>
            </w:r>
          </w:p>
        </w:tc>
      </w:tr>
      <w:tr>
        <w:tc>
          <w:tcPr>
            <w:tcW w:type="dxa" w:w="28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Document Intelligence</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Standard S0</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$300–$1,000</w:t>
            </w:r>
          </w:p>
        </w:tc>
        <w:tc>
          <w:tcPr>
            <w:tcW w:type="dxa" w:w="3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OCR y pre-extracción de texto en documentos escaneados.</w:t>
            </w:r>
          </w:p>
        </w:tc>
      </w:tr>
      <w:tr>
        <w:tc>
          <w:tcPr>
            <w:tcW w:type="dxa" w:w="2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Monitor + Log Analytics</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Pay-per-use</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$200–$500</w:t>
            </w:r>
          </w:p>
        </w:tc>
        <w:tc>
          <w:tcPr>
            <w:tcW w:type="dxa" w:w="3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Monitoreo, alertas y telemetría de todo el pipeline.</w:t>
            </w:r>
          </w:p>
        </w:tc>
      </w:tr>
      <w:tr>
        <w:tc>
          <w:tcPr>
            <w:tcW w:type="dxa" w:w="28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Virtual Network + Private Endpoints</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Standard</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$100–$250</w:t>
            </w:r>
          </w:p>
        </w:tc>
        <w:tc>
          <w:tcPr>
            <w:tcW w:type="dxa" w:w="3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Red privada; ningún servicio expuesto a internet público.</w:t>
            </w:r>
          </w:p>
        </w:tc>
      </w:tr>
      <w:tr>
        <w:tc>
          <w:tcPr>
            <w:tcW w:type="dxa" w:w="28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Microsoft Entra ID P2</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Por usuario/mes</w:t>
            </w:r>
          </w:p>
        </w:tc>
        <w:tc>
          <w:tcPr>
            <w:tcW w:type="dxa" w:w="1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$100–$300</w:t>
            </w:r>
          </w:p>
        </w:tc>
        <w:tc>
          <w:tcPr>
            <w:tcW w:type="dxa" w:w="3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Autenticación, MFA y control de acceso condicional.</w:t>
            </w:r>
          </w:p>
        </w:tc>
      </w:tr>
      <w:tr>
        <w:tc>
          <w:tcPr>
            <w:tcW w:type="dxa" w:w="28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Azure AI Content Safety</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Standard S0</w:t>
            </w:r>
          </w:p>
        </w:tc>
        <w:tc>
          <w:tcPr>
            <w:tcW w:type="dxa" w:w="1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$100–$250</w:t>
            </w:r>
          </w:p>
        </w:tc>
        <w:tc>
          <w:tcPr>
            <w:tcW w:type="dxa" w:w="3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Filtros de Responsible AI en todas las llamadas a LLMs.</w:t>
            </w:r>
          </w:p>
        </w:tc>
      </w:tr>
      <w:tr>
        <w:tc>
          <w:tcPr>
            <w:tcW w:type="dxa" w:w="28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ESTIMADO MENSUAL</w:t>
            </w:r>
          </w:p>
        </w:tc>
        <w:tc>
          <w:tcPr>
            <w:tcW w:type="dxa" w:w="16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w:t>
            </w:r>
          </w:p>
        </w:tc>
        <w:tc>
          <w:tcPr>
            <w:tcW w:type="dxa" w:w="16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$5,780–$19,680</w:t>
            </w:r>
          </w:p>
        </w:tc>
        <w:tc>
          <w:tcPr>
            <w:tcW w:type="dxa" w:w="336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left"/>
            </w:pPr>
            <w:r>
              <w:rPr>
                <w:rFonts w:ascii="Arial" w:cs="Arial" w:eastAsia="Arial" w:hAnsi="Arial"/>
                <w:b w:val="false"/>
                <w:bCs w:val="false"/>
                <w:color w:val="50E6FF"/>
                <w:sz w:val="20"/>
                <w:szCs w:val="20"/>
              </w:rPr>
              <w:t xml:space="preserve">Variable según volumen de documentos y tokens consumidos.</w:t>
            </w:r>
          </w:p>
        </w:tc>
      </w:tr>
    </w:tbl>
    <w:p>
      <w:pPr>
        <w:spacing w:after="100" w:before="0"/>
      </w:pPr>
      <w:r>
        <w:t xml:space="preserve"/>
      </w:r>
    </w:p>
    <w:p>
      <w:pPr>
        <w:spacing w:after="60" w:before="60"/>
      </w:pPr>
      <w:r>
        <w:rPr>
          <w:rFonts w:ascii="Arial" w:cs="Arial" w:eastAsia="Arial" w:hAnsi="Arial"/>
          <w:i/>
          <w:iCs/>
          <w:color w:val="666666"/>
          <w:sz w:val="18"/>
          <w:szCs w:val="18"/>
        </w:rPr>
        <w:t xml:space="preserve">* Los costos de GPT-4o y Claude son estimados basados en volumen de 500,000 páginas/mes procesadas. Precios sujetos a variaciones por región y acuerdos MACC/EA con Microsoft.</w:t>
      </w:r>
    </w:p>
    <w:p>
      <w:pPr>
        <w:spacing w:after="100" w:before="0"/>
      </w:pPr>
      <w:r>
        <w:t xml:space="preserve"/>
      </w:r>
    </w:p>
    <w:p>
      <w:pPr>
        <w:pStyle w:val="Heading2"/>
        <w:spacing w:after="120" w:before="260"/>
      </w:pPr>
      <w:r>
        <w:rPr>
          <w:rFonts w:ascii="Arial" w:cs="Arial" w:eastAsia="Arial" w:hAnsi="Arial"/>
          <w:b/>
          <w:bCs/>
          <w:color w:val="0078D4"/>
          <w:sz w:val="24"/>
          <w:szCs w:val="24"/>
        </w:rPr>
        <w:t xml:space="preserve">5.2 Requerimientos Previos del Cliente</w:t>
      </w:r>
    </w:p>
    <w:p>
      <w:pPr>
        <w:spacing w:after="100" w:before="0"/>
      </w:pPr>
      <w:r>
        <w:t xml:space="preserve"/>
      </w:r>
    </w:p>
    <w:p>
      <w:pPr>
        <w:spacing w:after="80" w:before="180"/>
      </w:pPr>
      <w:r>
        <w:rPr>
          <w:rFonts w:ascii="Arial" w:cs="Arial" w:eastAsia="Arial" w:hAnsi="Arial"/>
          <w:b/>
          <w:bCs/>
          <w:color w:val="003A6C"/>
          <w:sz w:val="21"/>
          <w:szCs w:val="21"/>
        </w:rPr>
        <w:t xml:space="preserve">Infraestructura y Accesos</w:t>
      </w:r>
    </w:p>
    <w:p>
      <w:pPr>
        <w:pStyle w:val="ListParagraph"/>
        <w:numPr>
          <w:ilvl w:val="0"/>
          <w:numId w:val="3"/>
        </w:numPr>
        <w:spacing w:after="50" w:before="50"/>
      </w:pPr>
      <w:r>
        <w:rPr>
          <w:rFonts w:ascii="Arial" w:cs="Arial" w:eastAsia="Arial" w:hAnsi="Arial"/>
          <w:b/>
          <w:bCs/>
          <w:color w:val="333333"/>
          <w:sz w:val="20"/>
          <w:szCs w:val="20"/>
        </w:rPr>
        <w:t xml:space="preserve">Suscripción activa de Microsoft Azure con rol de Contributor o Owner a nivel de suscripción.</w:t>
      </w:r>
    </w:p>
    <w:p>
      <w:pPr>
        <w:pStyle w:val="ListParagraph"/>
        <w:numPr>
          <w:ilvl w:val="0"/>
          <w:numId w:val="4"/>
        </w:numPr>
        <w:spacing w:after="40" w:before="40"/>
      </w:pPr>
      <w:r>
        <w:rPr>
          <w:rFonts w:ascii="Arial" w:cs="Arial" w:eastAsia="Arial" w:hAnsi="Arial"/>
          <w:color w:val="666666"/>
          <w:sz w:val="19"/>
          <w:szCs w:val="19"/>
        </w:rPr>
        <w:t xml:space="preserve">Recomendado: suscripción dedicada para el proyecto (Landing Zone aislada).</w:t>
      </w:r>
    </w:p>
    <w:p>
      <w:pPr>
        <w:pStyle w:val="ListParagraph"/>
        <w:numPr>
          <w:ilvl w:val="0"/>
          <w:numId w:val="3"/>
        </w:numPr>
        <w:spacing w:after="50" w:before="50"/>
      </w:pPr>
      <w:r>
        <w:rPr>
          <w:rFonts w:ascii="Arial" w:cs="Arial" w:eastAsia="Arial" w:hAnsi="Arial"/>
          <w:b/>
          <w:bCs/>
          <w:color w:val="333333"/>
          <w:sz w:val="20"/>
          <w:szCs w:val="20"/>
        </w:rPr>
        <w:t xml:space="preserve">Azure Active Directory (Entra ID) configurado con dominio corporativo verificado y MFA habilitado.</w:t>
      </w:r>
    </w:p>
    <w:p>
      <w:pPr>
        <w:pStyle w:val="ListParagraph"/>
        <w:numPr>
          <w:ilvl w:val="0"/>
          <w:numId w:val="3"/>
        </w:numPr>
        <w:spacing w:after="50" w:before="50"/>
      </w:pPr>
      <w:r>
        <w:rPr>
          <w:rFonts w:ascii="Arial" w:cs="Arial" w:eastAsia="Arial" w:hAnsi="Arial"/>
          <w:b/>
          <w:bCs/>
          <w:color w:val="333333"/>
          <w:sz w:val="20"/>
          <w:szCs w:val="20"/>
        </w:rPr>
        <w:t xml:space="preserve">Cuota aprobada para Azure OpenAI Service en la región deseada (solicitar en: aka.ms/oai/access).</w:t>
      </w:r>
    </w:p>
    <w:p>
      <w:pPr>
        <w:pStyle w:val="ListParagraph"/>
        <w:numPr>
          <w:ilvl w:val="0"/>
          <w:numId w:val="3"/>
        </w:numPr>
        <w:spacing w:after="50" w:before="50"/>
      </w:pPr>
      <w:r>
        <w:rPr>
          <w:rFonts w:ascii="Arial" w:cs="Arial" w:eastAsia="Arial" w:hAnsi="Arial"/>
          <w:b/>
          <w:bCs/>
          <w:color w:val="333333"/>
          <w:sz w:val="20"/>
          <w:szCs w:val="20"/>
        </w:rPr>
        <w:t xml:space="preserve">Acceso a Azure Marketplace habilitado para adquirir modelos de Anthropic Claude.</w:t>
      </w:r>
    </w:p>
    <w:p>
      <w:pPr>
        <w:spacing w:after="100" w:before="0"/>
      </w:pPr>
      <w:r>
        <w:t xml:space="preserve"/>
      </w:r>
    </w:p>
    <w:p>
      <w:pPr>
        <w:spacing w:after="80" w:before="180"/>
      </w:pPr>
      <w:r>
        <w:rPr>
          <w:rFonts w:ascii="Arial" w:cs="Arial" w:eastAsia="Arial" w:hAnsi="Arial"/>
          <w:b/>
          <w:bCs/>
          <w:color w:val="003A6C"/>
          <w:sz w:val="21"/>
          <w:szCs w:val="21"/>
        </w:rPr>
        <w:t xml:space="preserve">Conectividad y Datos</w:t>
      </w:r>
    </w:p>
    <w:p>
      <w:pPr>
        <w:pStyle w:val="ListParagraph"/>
        <w:numPr>
          <w:ilvl w:val="0"/>
          <w:numId w:val="3"/>
        </w:numPr>
        <w:spacing w:after="50" w:before="50"/>
      </w:pPr>
      <w:r>
        <w:rPr>
          <w:rFonts w:ascii="Arial" w:cs="Arial" w:eastAsia="Arial" w:hAnsi="Arial"/>
          <w:b/>
          <w:bCs/>
          <w:color w:val="333333"/>
          <w:sz w:val="20"/>
          <w:szCs w:val="20"/>
        </w:rPr>
        <w:t xml:space="preserve">Conectividad de red a Azure con latencia menor a 50ms (ExpressRoute o VPN Site-to-Site para entornos híbridos).</w:t>
      </w:r>
    </w:p>
    <w:p>
      <w:pPr>
        <w:pStyle w:val="ListParagraph"/>
        <w:numPr>
          <w:ilvl w:val="0"/>
          <w:numId w:val="3"/>
        </w:numPr>
        <w:spacing w:after="50" w:before="50"/>
      </w:pPr>
      <w:r>
        <w:rPr>
          <w:rFonts w:ascii="Arial" w:cs="Arial" w:eastAsia="Arial" w:hAnsi="Arial"/>
          <w:b/>
          <w:bCs/>
          <w:color w:val="333333"/>
          <w:sz w:val="20"/>
          <w:szCs w:val="20"/>
        </w:rPr>
        <w:t xml:space="preserve">Acceso a los sistemas de origen de documentos (SharePoint, email, ERP) con credenciales de servicio.</w:t>
      </w:r>
    </w:p>
    <w:p>
      <w:pPr>
        <w:pStyle w:val="ListParagraph"/>
        <w:numPr>
          <w:ilvl w:val="0"/>
          <w:numId w:val="3"/>
        </w:numPr>
        <w:spacing w:after="50" w:before="50"/>
      </w:pPr>
      <w:r>
        <w:rPr>
          <w:rFonts w:ascii="Arial" w:cs="Arial" w:eastAsia="Arial" w:hAnsi="Arial"/>
          <w:b/>
          <w:bCs/>
          <w:color w:val="333333"/>
          <w:sz w:val="20"/>
          <w:szCs w:val="20"/>
        </w:rPr>
        <w:t xml:space="preserve">Muestra representativa de al menos 500 documentos de cada tipo para configuración y validación del pipeline.</w:t>
      </w:r>
    </w:p>
    <w:p>
      <w:pPr>
        <w:pStyle w:val="ListParagraph"/>
        <w:numPr>
          <w:ilvl w:val="0"/>
          <w:numId w:val="3"/>
        </w:numPr>
        <w:spacing w:after="50" w:before="50"/>
      </w:pPr>
      <w:r>
        <w:rPr>
          <w:rFonts w:ascii="Arial" w:cs="Arial" w:eastAsia="Arial" w:hAnsi="Arial"/>
          <w:b/>
          <w:bCs/>
          <w:color w:val="333333"/>
          <w:sz w:val="20"/>
          <w:szCs w:val="20"/>
        </w:rPr>
        <w:t xml:space="preserve">Definición de las entidades PII específicas a detectar y la estrategia de enmascaramiento por tipo de dato.</w:t>
      </w:r>
    </w:p>
    <w:p>
      <w:pPr>
        <w:spacing w:after="100" w:before="0"/>
      </w:pPr>
      <w:r>
        <w:t xml:space="preserve"/>
      </w:r>
    </w:p>
    <w:p>
      <w:pPr>
        <w:spacing w:after="80" w:before="180"/>
      </w:pPr>
      <w:r>
        <w:rPr>
          <w:rFonts w:ascii="Arial" w:cs="Arial" w:eastAsia="Arial" w:hAnsi="Arial"/>
          <w:b/>
          <w:bCs/>
          <w:color w:val="003A6C"/>
          <w:sz w:val="21"/>
          <w:szCs w:val="21"/>
        </w:rPr>
        <w:t xml:space="preserve">Herramientas de Desarrollo</w:t>
      </w:r>
    </w:p>
    <w:p>
      <w:pPr>
        <w:pStyle w:val="ListParagraph"/>
        <w:numPr>
          <w:ilvl w:val="0"/>
          <w:numId w:val="3"/>
        </w:numPr>
        <w:spacing w:after="50" w:before="50"/>
      </w:pPr>
      <w:r>
        <w:rPr>
          <w:rFonts w:ascii="Arial" w:cs="Arial" w:eastAsia="Arial" w:hAnsi="Arial"/>
          <w:b w:val="false"/>
          <w:bCs w:val="false"/>
          <w:color w:val="333333"/>
          <w:sz w:val="20"/>
          <w:szCs w:val="20"/>
        </w:rPr>
        <w:t xml:space="preserve">Azure DevOps o GitHub Enterprise para control de versiones y CI/CD del código del pipeline.</w:t>
      </w:r>
    </w:p>
    <w:p>
      <w:pPr>
        <w:pStyle w:val="ListParagraph"/>
        <w:numPr>
          <w:ilvl w:val="0"/>
          <w:numId w:val="3"/>
        </w:numPr>
        <w:spacing w:after="50" w:before="50"/>
      </w:pPr>
      <w:r>
        <w:rPr>
          <w:rFonts w:ascii="Arial" w:cs="Arial" w:eastAsia="Arial" w:hAnsi="Arial"/>
          <w:b w:val="false"/>
          <w:bCs w:val="false"/>
          <w:color w:val="333333"/>
          <w:sz w:val="20"/>
          <w:szCs w:val="20"/>
        </w:rPr>
        <w:t xml:space="preserve">Visual Studio Code con extensiones Azure e Python instalado en las máquinas del equipo técnico.</w:t>
      </w:r>
    </w:p>
    <w:p>
      <w:pPr>
        <w:pStyle w:val="ListParagraph"/>
        <w:numPr>
          <w:ilvl w:val="0"/>
          <w:numId w:val="3"/>
        </w:numPr>
        <w:spacing w:after="50" w:before="50"/>
      </w:pPr>
      <w:r>
        <w:rPr>
          <w:rFonts w:ascii="Arial" w:cs="Arial" w:eastAsia="Arial" w:hAnsi="Arial"/>
          <w:b w:val="false"/>
          <w:bCs w:val="false"/>
          <w:color w:val="333333"/>
          <w:sz w:val="20"/>
          <w:szCs w:val="20"/>
        </w:rPr>
        <w:t xml:space="preserve">Python 3.11+ como lenguaje principal para el desarrollo del pipeline de orquestación.</w:t>
      </w:r>
    </w:p>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6. Requerimientos Humanos</w:t>
      </w:r>
    </w:p>
    <w:p>
      <w:pPr>
        <w:pBdr>
          <w:bottom w:val="single" w:color="0078D4" w:sz="6" w:space="1"/>
        </w:pBdr>
        <w:spacing w:after="120" w:before="120"/>
      </w:pPr>
      <w:r>
        <w:t xml:space="preserve"/>
      </w:r>
    </w:p>
    <w:p>
      <w:pPr>
        <w:pStyle w:val="Heading2"/>
        <w:spacing w:after="120" w:before="260"/>
      </w:pPr>
      <w:r>
        <w:rPr>
          <w:rFonts w:ascii="Arial" w:cs="Arial" w:eastAsia="Arial" w:hAnsi="Arial"/>
          <w:b/>
          <w:bCs/>
          <w:color w:val="0078D4"/>
          <w:sz w:val="24"/>
          <w:szCs w:val="24"/>
        </w:rPr>
        <w:t xml:space="preserve">6.1 Equipo del Proveedor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Rol</w:t>
            </w:r>
          </w:p>
        </w:tc>
        <w:tc>
          <w:tcPr>
            <w:tcW w:type="dxa" w:w="12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Dedicación</w:t>
            </w:r>
          </w:p>
        </w:tc>
        <w:tc>
          <w:tcPr>
            <w:tcW w:type="dxa" w:w="14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Fases</w:t>
            </w:r>
          </w:p>
        </w:tc>
        <w:tc>
          <w:tcPr>
            <w:tcW w:type="dxa" w:w="436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Responsabilidades Clave</w:t>
            </w:r>
          </w:p>
        </w:tc>
      </w:tr>
      <w:tr>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Líder de Proyecto</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100%</w:t>
            </w:r>
          </w:p>
        </w:tc>
        <w:tc>
          <w:tcPr>
            <w:tcW w:type="dxa" w:w="1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4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Gestión de alcance, tiempo y presupuesto. Comunicación con stakeholders. Gestión de riesgos y entregables.</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Arquitecto Azure</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100%</w:t>
            </w:r>
          </w:p>
        </w:tc>
        <w:tc>
          <w:tcPr>
            <w:tcW w:type="dxa" w:w="1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4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Diseño de arquitectura cloud, definición de patrones de seguridad y privacidad. Supervisión técnica integral.</w:t>
            </w:r>
          </w:p>
        </w:tc>
      </w:tr>
      <w:tr>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Especialista en IA / LLMs</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100%</w:t>
            </w:r>
          </w:p>
        </w:tc>
        <w:tc>
          <w:tcPr>
            <w:tcW w:type="dxa" w:w="1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4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Implementación de Azure AI Foundry, configuración de GPT-4o y Claude, diseño de prompts y cadenas RAG.</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Especialista en Microsoft Presidio</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80%</w:t>
            </w:r>
          </w:p>
        </w:tc>
        <w:tc>
          <w:tcPr>
            <w:tcW w:type="dxa" w:w="1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4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Implementación y configuración del microservicio de Presidio, reglas de detección PII, estrategias de anonimización.</w:t>
            </w:r>
          </w:p>
        </w:tc>
      </w:tr>
      <w:tr>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Desarrollador de Software</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100%</w:t>
            </w:r>
          </w:p>
        </w:tc>
        <w:tc>
          <w:tcPr>
            <w:tcW w:type="dxa" w:w="1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4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Desarrollo del pipeline de orquestación, APIs REST, integraciones con ERP/CRM y automatizaciones.</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Ingeniero de Infraestructura</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80%</w:t>
            </w:r>
          </w:p>
        </w:tc>
        <w:tc>
          <w:tcPr>
            <w:tcW w:type="dxa" w:w="1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4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Aprovisionamiento de recursos Azure, redes privadas, monitoreo, CI/CD y DevSecOps.</w:t>
            </w:r>
          </w:p>
        </w:tc>
      </w:tr>
      <w:tr>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Especialista en Seguridad</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60%</w:t>
            </w:r>
          </w:p>
        </w:tc>
        <w:tc>
          <w:tcPr>
            <w:tcW w:type="dxa" w:w="1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4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Configuración de Key Vault, RBAC, Private Endpoints, auditoría y revisión de cumplimiento normativo.</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Analista de Negocio</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80%</w:t>
            </w:r>
          </w:p>
        </w:tc>
        <w:tc>
          <w:tcPr>
            <w:tcW w:type="dxa" w:w="1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4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Levantamiento de requerimientos, diseño de casos de uso, UAT, documentación y capacitación.</w:t>
            </w:r>
          </w:p>
        </w:tc>
      </w:tr>
    </w:tbl>
    <w:p>
      <w:pPr>
        <w:spacing w:after="100" w:before="0"/>
      </w:pPr>
      <w:r>
        <w:t xml:space="preserve"/>
      </w:r>
    </w:p>
    <w:p>
      <w:pPr>
        <w:pStyle w:val="Heading2"/>
        <w:spacing w:after="120" w:before="260"/>
      </w:pPr>
      <w:r>
        <w:rPr>
          <w:rFonts w:ascii="Arial" w:cs="Arial" w:eastAsia="Arial" w:hAnsi="Arial"/>
          <w:b/>
          <w:bCs/>
          <w:color w:val="0078D4"/>
          <w:sz w:val="24"/>
          <w:szCs w:val="24"/>
        </w:rPr>
        <w:t xml:space="preserve">6.2 Equipo Requerido del Cliente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Rol del Cliente</w:t>
            </w:r>
          </w:p>
        </w:tc>
        <w:tc>
          <w:tcPr>
            <w:tcW w:type="dxa" w:w="14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Dedicación Est.</w:t>
            </w:r>
          </w:p>
        </w:tc>
        <w:tc>
          <w:tcPr>
            <w:tcW w:type="dxa" w:w="536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Participación Requerida</w:t>
            </w:r>
          </w:p>
        </w:tc>
      </w:tr>
      <w:tr>
        <w:tc>
          <w:tcPr>
            <w:tcW w:type="dxa" w:w="2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Sponsor Ejecutivo</w:t>
            </w:r>
          </w:p>
        </w:tc>
        <w:tc>
          <w:tcPr>
            <w:tcW w:type="dxa" w:w="1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5%</w:t>
            </w:r>
          </w:p>
        </w:tc>
        <w:tc>
          <w:tcPr>
            <w:tcW w:type="dxa" w:w="5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Aprobación de entregables clave, desbloqueo de recursos y toma de decisiones estratégicas.</w:t>
            </w:r>
          </w:p>
        </w:tc>
      </w:tr>
      <w:tr>
        <w:tc>
          <w:tcPr>
            <w:tcW w:type="dxa" w:w="2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Director de TI / CTO</w:t>
            </w:r>
          </w:p>
        </w:tc>
        <w:tc>
          <w:tcPr>
            <w:tcW w:type="dxa" w:w="1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20%</w:t>
            </w:r>
          </w:p>
        </w:tc>
        <w:tc>
          <w:tcPr>
            <w:tcW w:type="dxa" w:w="5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Validación de arquitectura, autorización de accesos y alineación con estrategia tecnológica.</w:t>
            </w:r>
          </w:p>
        </w:tc>
      </w:tr>
      <w:tr>
        <w:tc>
          <w:tcPr>
            <w:tcW w:type="dxa" w:w="2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Líder Técnico Interno</w:t>
            </w:r>
          </w:p>
        </w:tc>
        <w:tc>
          <w:tcPr>
            <w:tcW w:type="dxa" w:w="1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50%</w:t>
            </w:r>
          </w:p>
        </w:tc>
        <w:tc>
          <w:tcPr>
            <w:tcW w:type="dxa" w:w="5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Punto de contacto técnico, coordinación de accesos, revisión de integraciones y aprobaciones.</w:t>
            </w:r>
          </w:p>
        </w:tc>
      </w:tr>
      <w:tr>
        <w:tc>
          <w:tcPr>
            <w:tcW w:type="dxa" w:w="2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Responsable de Privacidad / DPO</w:t>
            </w:r>
          </w:p>
        </w:tc>
        <w:tc>
          <w:tcPr>
            <w:tcW w:type="dxa" w:w="1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25%</w:t>
            </w:r>
          </w:p>
        </w:tc>
        <w:tc>
          <w:tcPr>
            <w:tcW w:type="dxa" w:w="5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Definición de entidades PII a proteger, validación de estrategias de anonimización y revisión de cumplimiento.</w:t>
            </w:r>
          </w:p>
        </w:tc>
      </w:tr>
      <w:tr>
        <w:tc>
          <w:tcPr>
            <w:tcW w:type="dxa" w:w="2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Administrador Azure / AAD</w:t>
            </w:r>
          </w:p>
        </w:tc>
        <w:tc>
          <w:tcPr>
            <w:tcW w:type="dxa" w:w="1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30%</w:t>
            </w:r>
          </w:p>
        </w:tc>
        <w:tc>
          <w:tcPr>
            <w:tcW w:type="dxa" w:w="5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Gestión de permisos, creación de service principals y configuración de accesos en Azure.</w:t>
            </w:r>
          </w:p>
        </w:tc>
      </w:tr>
      <w:tr>
        <w:tc>
          <w:tcPr>
            <w:tcW w:type="dxa" w:w="2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Usuarios Clave de Negocio (3–5)</w:t>
            </w:r>
          </w:p>
        </w:tc>
        <w:tc>
          <w:tcPr>
            <w:tcW w:type="dxa" w:w="1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20%</w:t>
            </w:r>
          </w:p>
        </w:tc>
        <w:tc>
          <w:tcPr>
            <w:tcW w:type="dxa" w:w="5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Participación en workshops de requerimientos y sesiones de UAT por cada tipo de documento.</w:t>
            </w:r>
          </w:p>
        </w:tc>
      </w:tr>
      <w:tr>
        <w:tc>
          <w:tcPr>
            <w:tcW w:type="dxa" w:w="2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Responsable de Seguridad / CISO</w:t>
            </w:r>
          </w:p>
        </w:tc>
        <w:tc>
          <w:tcPr>
            <w:tcW w:type="dxa" w:w="1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0078D4"/>
                <w:sz w:val="20"/>
                <w:szCs w:val="20"/>
              </w:rPr>
              <w:t xml:space="preserve">15%</w:t>
            </w:r>
          </w:p>
        </w:tc>
        <w:tc>
          <w:tcPr>
            <w:tcW w:type="dxa" w:w="5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Revisión y aprobación de políticas de seguridad, cifrado y controles de acceso.</w:t>
            </w:r>
          </w:p>
        </w:tc>
      </w:tr>
    </w:tbl>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7. Plan de Implementación</w:t>
      </w:r>
    </w:p>
    <w:p>
      <w:pPr>
        <w:pBdr>
          <w:bottom w:val="single" w:color="0078D4" w:sz="6" w:space="1"/>
        </w:pBdr>
        <w:spacing w:after="120" w:before="120"/>
      </w:pPr>
      <w:r>
        <w:t xml:space="preserve"/>
      </w:r>
    </w:p>
    <w:p>
      <w:pPr>
        <w:spacing w:after="60" w:before="60"/>
      </w:pPr>
      <w:r>
        <w:rPr>
          <w:rFonts w:ascii="Arial" w:cs="Arial" w:eastAsia="Arial" w:hAnsi="Arial"/>
          <w:color w:val="333333"/>
          <w:sz w:val="20"/>
          <w:szCs w:val="20"/>
        </w:rPr>
        <w:t xml:space="preserve">El proyecto se estructura en 4 fases secuenciales con una duración total estimada de 20 semanas (~5 meses). Cada fase produce entregables verificables que deben ser aprobados formalmente antes de iniciar la siguiente.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Fase</w:t>
            </w:r>
          </w:p>
        </w:tc>
        <w:tc>
          <w:tcPr>
            <w:tcW w:type="dxa" w:w="12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Duración</w:t>
            </w:r>
          </w:p>
        </w:tc>
        <w:tc>
          <w:tcPr>
            <w:tcW w:type="dxa" w:w="616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Actividades y Entregables</w:t>
            </w:r>
          </w:p>
        </w:tc>
      </w:tr>
      <w:tr>
        <w:tc>
          <w:tcPr>
            <w:tcW w:type="dxa" w:w="2000"/>
            <w:tcBorders>
              <w:top w:val="single" w:color="CCCCCC" w:sz="1"/>
              <w:left w:val="single" w:color="CCCCCC" w:sz="1"/>
              <w:bottom w:val="single" w:color="CCCCCC" w:sz="1"/>
              <w:right w:val="single" w:color="CCCCCC" w:sz="1"/>
            </w:tcBorders>
            <w:shd w:fill="0078D4"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Fase 1
Diagnóstico y Diseño</w:t>
            </w:r>
          </w:p>
        </w:tc>
        <w:tc>
          <w:tcPr>
            <w:tcW w:type="dxa" w:w="1200"/>
            <w:gridSpan w:val="1"/>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vAlign w:val="center"/>
          </w:tcPr>
          <w:p>
            <w:pPr>
              <w:jc w:val="center"/>
            </w:pPr>
            <w:r>
              <w:rPr>
                <w:rFonts w:ascii="Arial" w:cs="Arial" w:eastAsia="Arial" w:hAnsi="Arial"/>
                <w:b w:val="false"/>
                <w:bCs w:val="false"/>
                <w:color w:val="BBDDFF"/>
                <w:sz w:val="20"/>
                <w:szCs w:val="20"/>
              </w:rPr>
              <w:t xml:space="preserve">Semanas 1–4</w:t>
            </w:r>
          </w:p>
        </w:tc>
        <w:tc>
          <w:tcPr>
            <w:tcW w:type="dxa" w:w="6160"/>
            <w:gridSpan w:val="1"/>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Levantamiento de requerimientos con todas las áreas involucradas. Inventario y clasificación de tipos de documentos. Definición de entidades PII a proteger y estrategia de enmascaramiento por tipo de dato. Diseño de arquitectura To-Be con diagramas de flujo. Plan de seguridad y gobernanza de datos. Entregable: Documento de Arquitectura y Plan de Gobierno firmado.</w:t>
            </w:r>
          </w:p>
        </w:tc>
      </w:tr>
      <w:tr>
        <w:tc>
          <w:tcPr>
            <w:tcW w:type="dxa" w:w="2000"/>
            <w:tcBorders>
              <w:top w:val="single" w:color="CCCCCC" w:sz="1"/>
              <w:left w:val="single" w:color="CCCCCC" w:sz="1"/>
              <w:bottom w:val="single" w:color="CCCCCC" w:sz="1"/>
              <w:right w:val="single" w:color="CCCCCC" w:sz="1"/>
            </w:tcBorders>
            <w:shd w:fill="005BA1"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Fase 2
Desarrollo del PoC</w:t>
            </w:r>
          </w:p>
        </w:tc>
        <w:tc>
          <w:tcPr>
            <w:tcW w:type="dxa" w:w="1200"/>
            <w:gridSpan w:val="1"/>
            <w:tcBorders>
              <w:top w:val="single" w:color="CCCCCC" w:sz="1"/>
              <w:left w:val="single" w:color="CCCCCC" w:sz="1"/>
              <w:bottom w:val="single" w:color="CCCCCC" w:sz="1"/>
              <w:right w:val="single" w:color="CCCCCC" w:sz="1"/>
            </w:tcBorders>
            <w:shd w:fill="005BA1" w:val="clear"/>
            <w:tcMar>
              <w:top w:type="dxa" w:w="80"/>
              <w:left w:type="dxa" w:w="120"/>
              <w:bottom w:type="dxa" w:w="80"/>
              <w:right w:type="dxa" w:w="120"/>
            </w:tcMar>
            <w:vAlign w:val="center"/>
          </w:tcPr>
          <w:p>
            <w:pPr>
              <w:jc w:val="center"/>
            </w:pPr>
            <w:r>
              <w:rPr>
                <w:rFonts w:ascii="Arial" w:cs="Arial" w:eastAsia="Arial" w:hAnsi="Arial"/>
                <w:b w:val="false"/>
                <w:bCs w:val="false"/>
                <w:color w:val="BBDDFF"/>
                <w:sz w:val="20"/>
                <w:szCs w:val="20"/>
              </w:rPr>
              <w:t xml:space="preserve">Semanas 5–9</w:t>
            </w:r>
          </w:p>
        </w:tc>
        <w:tc>
          <w:tcPr>
            <w:tcW w:type="dxa" w:w="6160"/>
            <w:gridSpan w:val="1"/>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Despliegue de ambiente de desarrollo en Azure. Implementación y configuración de Microsoft Presidio con reglas PII para los 5 tipos de documentos. Despliegue de Azure AI Foundry con GPT-4o y Claude. Desarrollo del pipeline core: ingesta → Presidio → Foundry → resultados. Validación con set de 100 documentos de prueba. Entregable: Demo funcional del PoC aprobada por el cliente.</w:t>
            </w:r>
          </w:p>
        </w:tc>
      </w:tr>
      <w:tr>
        <w:tc>
          <w:tcPr>
            <w:tcW w:type="dxa" w:w="2000"/>
            <w:tcBorders>
              <w:top w:val="single" w:color="CCCCCC" w:sz="1"/>
              <w:left w:val="single" w:color="CCCCCC" w:sz="1"/>
              <w:bottom w:val="single" w:color="CCCCCC" w:sz="1"/>
              <w:right w:val="single" w:color="CCCCCC" w:sz="1"/>
            </w:tcBorders>
            <w:shd w:fill="003A6C"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Fase 3
Implementación en Producción</w:t>
            </w:r>
          </w:p>
        </w:tc>
        <w:tc>
          <w:tcPr>
            <w:tcW w:type="dxa" w:w="12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val="false"/>
                <w:bCs w:val="false"/>
                <w:color w:val="BBDDFF"/>
                <w:sz w:val="20"/>
                <w:szCs w:val="20"/>
              </w:rPr>
              <w:t xml:space="preserve">Semanas 10–17</w:t>
            </w:r>
          </w:p>
        </w:tc>
        <w:tc>
          <w:tcPr>
            <w:tcW w:type="dxa" w:w="6160"/>
            <w:gridSpan w:val="1"/>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Despliegue completo en ambiente de producción con alta disponibilidad. Desarrollo de integraciones con sistemas origen y destino (2+2). Implementación de Azure AI Search para búsqueda semántica. Dashboard de auditoría y cumplimiento en producción. Pruebas de carga, performance y seguridad (penetration test). UAT con usuarios reales de cada área de negocio. Entregable: Sistema en producción con Go/No-Go ejecutivo firmado.</w:t>
            </w:r>
          </w:p>
        </w:tc>
      </w:tr>
      <w:tr>
        <w:tc>
          <w:tcPr>
            <w:tcW w:type="dxa" w:w="2000"/>
            <w:tcBorders>
              <w:top w:val="single" w:color="CCCCCC" w:sz="1"/>
              <w:left w:val="single" w:color="CCCCCC" w:sz="1"/>
              <w:bottom w:val="single" w:color="CCCCCC" w:sz="1"/>
              <w:right w:val="single" w:color="CCCCCC" w:sz="1"/>
            </w:tcBorders>
            <w:shd w:fill="00205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Fase 4
Capacitación y Cierre</w:t>
            </w:r>
          </w:p>
        </w:tc>
        <w:tc>
          <w:tcPr>
            <w:tcW w:type="dxa" w:w="1200"/>
            <w:gridSpan w:val="1"/>
            <w:tcBorders>
              <w:top w:val="single" w:color="CCCCCC" w:sz="1"/>
              <w:left w:val="single" w:color="CCCCCC" w:sz="1"/>
              <w:bottom w:val="single" w:color="CCCCCC" w:sz="1"/>
              <w:right w:val="single" w:color="CCCCCC" w:sz="1"/>
            </w:tcBorders>
            <w:shd w:fill="002050" w:val="clear"/>
            <w:tcMar>
              <w:top w:type="dxa" w:w="80"/>
              <w:left w:type="dxa" w:w="120"/>
              <w:bottom w:type="dxa" w:w="80"/>
              <w:right w:type="dxa" w:w="120"/>
            </w:tcMar>
            <w:vAlign w:val="center"/>
          </w:tcPr>
          <w:p>
            <w:pPr>
              <w:jc w:val="center"/>
            </w:pPr>
            <w:r>
              <w:rPr>
                <w:rFonts w:ascii="Arial" w:cs="Arial" w:eastAsia="Arial" w:hAnsi="Arial"/>
                <w:b w:val="false"/>
                <w:bCs w:val="false"/>
                <w:color w:val="BBDDFF"/>
                <w:sz w:val="20"/>
                <w:szCs w:val="20"/>
              </w:rPr>
              <w:t xml:space="preserve">Semanas 18–20</w:t>
            </w:r>
          </w:p>
        </w:tc>
        <w:tc>
          <w:tcPr>
            <w:tcW w:type="dxa" w:w="6160"/>
            <w:gridSpan w:val="1"/>
            <w:tcBorders>
              <w:top w:val="single" w:color="CCCCCC" w:sz="1"/>
              <w:left w:val="single" w:color="CCCCCC" w:sz="1"/>
              <w:bottom w:val="single" w:color="CCCCCC" w:sz="1"/>
              <w:right w:val="single" w:color="CCCCCC" w:sz="1"/>
            </w:tcBorders>
            <w:shd w:fill="F9FB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Talleres de capacitación técnica para equipo de TI (administración, monitoreo, troubleshooting). Sesiones de adopción para usuarios de negocio de cada área. Entrega de documentación técnica completa (arquitectura, runbooks, manuales). Período de hipercare: soporte intensivo de 2 semanas post Go-Live. Entregable: Acta de cierre firmada y paquete documental completo.</w:t>
            </w:r>
          </w:p>
        </w:tc>
      </w:tr>
    </w:tbl>
    <w:p>
      <w:pPr>
        <w:spacing w:after="100" w:before="0"/>
      </w:pPr>
      <w:r>
        <w:t xml:space="preserve"/>
      </w:r>
    </w:p>
    <w:p>
      <w:pPr>
        <w:pStyle w:val="Heading2"/>
        <w:spacing w:after="120" w:before="260"/>
      </w:pPr>
      <w:r>
        <w:rPr>
          <w:rFonts w:ascii="Arial" w:cs="Arial" w:eastAsia="Arial" w:hAnsi="Arial"/>
          <w:b/>
          <w:bCs/>
          <w:color w:val="0078D4"/>
          <w:sz w:val="24"/>
          <w:szCs w:val="24"/>
        </w:rPr>
        <w:t xml:space="preserve">7.1 Esfuerzo Estimado por Perfil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960"/>
      </w:tblGrid>
      <w:tr>
        <w:tc>
          <w:tcPr>
            <w:tcW w:type="dxa" w:w="26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Rol</w:t>
            </w:r>
          </w:p>
        </w:tc>
        <w:tc>
          <w:tcPr>
            <w:tcW w:type="dxa" w:w="12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Fase 1</w:t>
            </w:r>
          </w:p>
        </w:tc>
        <w:tc>
          <w:tcPr>
            <w:tcW w:type="dxa" w:w="12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Fase 2</w:t>
            </w:r>
          </w:p>
        </w:tc>
        <w:tc>
          <w:tcPr>
            <w:tcW w:type="dxa" w:w="12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Fase 3</w:t>
            </w:r>
          </w:p>
        </w:tc>
        <w:tc>
          <w:tcPr>
            <w:tcW w:type="dxa" w:w="12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Fase 4</w:t>
            </w:r>
          </w:p>
        </w:tc>
        <w:tc>
          <w:tcPr>
            <w:tcW w:type="dxa" w:w="196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Total (días-persona)</w:t>
            </w:r>
          </w:p>
        </w:tc>
      </w:tr>
      <w:tr>
        <w:tc>
          <w:tcPr>
            <w:tcW w:type="dxa" w:w="2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Líder de Proyecto</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9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46</w:t>
            </w:r>
          </w:p>
        </w:tc>
      </w:tr>
      <w:tr>
        <w:tc>
          <w:tcPr>
            <w:tcW w:type="dxa" w:w="2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Arquitecto Azure</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9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55</w:t>
            </w:r>
          </w:p>
        </w:tc>
      </w:tr>
      <w:tr>
        <w:tc>
          <w:tcPr>
            <w:tcW w:type="dxa" w:w="2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Especialista IA / LLMs</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9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80</w:t>
            </w:r>
          </w:p>
        </w:tc>
      </w:tr>
      <w:tr>
        <w:tc>
          <w:tcPr>
            <w:tcW w:type="dxa" w:w="2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Especialista Presidio</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9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60</w:t>
            </w:r>
          </w:p>
        </w:tc>
      </w:tr>
      <w:tr>
        <w:tc>
          <w:tcPr>
            <w:tcW w:type="dxa" w:w="2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Desarrollador de Software</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9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76</w:t>
            </w:r>
          </w:p>
        </w:tc>
      </w:tr>
      <w:tr>
        <w:tc>
          <w:tcPr>
            <w:tcW w:type="dxa" w:w="2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Ingeniero de Infraestructura</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9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56</w:t>
            </w:r>
          </w:p>
        </w:tc>
      </w:tr>
      <w:tr>
        <w:tc>
          <w:tcPr>
            <w:tcW w:type="dxa" w:w="26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Especialista en Seguridad</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12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9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40</w:t>
            </w:r>
          </w:p>
        </w:tc>
      </w:tr>
      <w:tr>
        <w:tc>
          <w:tcPr>
            <w:tcW w:type="dxa" w:w="26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Analista de Negocio</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2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9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003A6C"/>
                <w:sz w:val="20"/>
                <w:szCs w:val="20"/>
              </w:rPr>
              <w:t xml:space="preserve">57</w:t>
            </w:r>
          </w:p>
        </w:tc>
      </w:tr>
      <w:tr>
        <w:tc>
          <w:tcPr>
            <w:tcW w:type="dxa" w:w="26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POR FASE</w:t>
            </w:r>
          </w:p>
        </w:tc>
        <w:tc>
          <w:tcPr>
            <w:tcW w:type="dxa" w:w="12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72</w:t>
            </w:r>
          </w:p>
        </w:tc>
        <w:tc>
          <w:tcPr>
            <w:tcW w:type="dxa" w:w="12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123</w:t>
            </w:r>
          </w:p>
        </w:tc>
        <w:tc>
          <w:tcPr>
            <w:tcW w:type="dxa" w:w="12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212</w:t>
            </w:r>
          </w:p>
        </w:tc>
        <w:tc>
          <w:tcPr>
            <w:tcW w:type="dxa" w:w="12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63</w:t>
            </w:r>
          </w:p>
        </w:tc>
        <w:tc>
          <w:tcPr>
            <w:tcW w:type="dxa" w:w="196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470 días-persona</w:t>
            </w:r>
          </w:p>
        </w:tc>
      </w:tr>
    </w:tbl>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8. Calculadora de Costos Azure</w:t>
      </w:r>
    </w:p>
    <w:p>
      <w:pPr>
        <w:pBdr>
          <w:bottom w:val="single" w:color="0078D4" w:sz="6" w:space="1"/>
        </w:pBdr>
        <w:spacing w:after="120" w:before="120"/>
      </w:pPr>
      <w:r>
        <w:t xml:space="preserve"/>
      </w:r>
    </w:p>
    <w:p>
      <w:pPr>
        <w:spacing w:after="60" w:before="60"/>
      </w:pPr>
      <w:r>
        <w:rPr>
          <w:rFonts w:ascii="Arial" w:cs="Arial" w:eastAsia="Arial" w:hAnsi="Arial"/>
          <w:color w:val="333333"/>
          <w:sz w:val="20"/>
          <w:szCs w:val="20"/>
        </w:rPr>
        <w:t xml:space="preserve">Los costos operativos de la plataforma dependen principalmente del volumen de documentos procesados mensualmente y el modelo de IA utilizado. A continuación se presentan tres escenarios representativos:</w:t>
      </w:r>
    </w:p>
    <w:p>
      <w:pPr>
        <w:spacing w:after="100" w:before="0"/>
      </w:pPr>
      <w:r>
        <w:t xml:space="preserve"/>
      </w:r>
    </w:p>
    <w:p>
      <w:pPr>
        <w:pStyle w:val="Heading2"/>
        <w:spacing w:after="120" w:before="260"/>
      </w:pPr>
      <w:r>
        <w:rPr>
          <w:rFonts w:ascii="Arial" w:cs="Arial" w:eastAsia="Arial" w:hAnsi="Arial"/>
          <w:b/>
          <w:bCs/>
          <w:color w:val="0078D4"/>
          <w:sz w:val="24"/>
          <w:szCs w:val="24"/>
        </w:rPr>
        <w:t xml:space="preserve">8.1 Supuestos del Cálculo</w:t>
      </w:r>
    </w:p>
    <w:p>
      <w:pPr>
        <w:pStyle w:val="ListParagraph"/>
        <w:numPr>
          <w:ilvl w:val="0"/>
          <w:numId w:val="3"/>
        </w:numPr>
        <w:spacing w:after="50" w:before="50"/>
      </w:pPr>
      <w:r>
        <w:rPr>
          <w:rFonts w:ascii="Arial" w:cs="Arial" w:eastAsia="Arial" w:hAnsi="Arial"/>
          <w:b w:val="false"/>
          <w:bCs w:val="false"/>
          <w:color w:val="333333"/>
          <w:sz w:val="20"/>
          <w:szCs w:val="20"/>
        </w:rPr>
        <w:t xml:space="preserve">Página de documento = promedio de 700 tokens de entrada al modelo de IA.</w:t>
      </w:r>
    </w:p>
    <w:p>
      <w:pPr>
        <w:pStyle w:val="ListParagraph"/>
        <w:numPr>
          <w:ilvl w:val="0"/>
          <w:numId w:val="3"/>
        </w:numPr>
        <w:spacing w:after="50" w:before="50"/>
      </w:pPr>
      <w:r>
        <w:rPr>
          <w:rFonts w:ascii="Arial" w:cs="Arial" w:eastAsia="Arial" w:hAnsi="Arial"/>
          <w:b w:val="false"/>
          <w:bCs w:val="false"/>
          <w:color w:val="333333"/>
          <w:sz w:val="20"/>
          <w:szCs w:val="20"/>
        </w:rPr>
        <w:t xml:space="preserve">Por cada página, el modelo genera en promedio 200 tokens de salida (resumen, extracción de campos, clasificación).</w:t>
      </w:r>
    </w:p>
    <w:p>
      <w:pPr>
        <w:pStyle w:val="ListParagraph"/>
        <w:numPr>
          <w:ilvl w:val="0"/>
          <w:numId w:val="3"/>
        </w:numPr>
        <w:spacing w:after="50" w:before="50"/>
      </w:pPr>
      <w:r>
        <w:rPr>
          <w:rFonts w:ascii="Arial" w:cs="Arial" w:eastAsia="Arial" w:hAnsi="Arial"/>
          <w:b w:val="false"/>
          <w:bCs w:val="false"/>
          <w:color w:val="333333"/>
          <w:sz w:val="20"/>
          <w:szCs w:val="20"/>
        </w:rPr>
        <w:t xml:space="preserve">Microsoft Presidio procesa los documentos antes del LLM: costo de Azure Container Apps incluido en infraestructura.</w:t>
      </w:r>
    </w:p>
    <w:p>
      <w:pPr>
        <w:pStyle w:val="ListParagraph"/>
        <w:numPr>
          <w:ilvl w:val="0"/>
          <w:numId w:val="3"/>
        </w:numPr>
        <w:spacing w:after="50" w:before="50"/>
      </w:pPr>
      <w:r>
        <w:rPr>
          <w:rFonts w:ascii="Arial" w:cs="Arial" w:eastAsia="Arial" w:hAnsi="Arial"/>
          <w:b w:val="false"/>
          <w:bCs w:val="false"/>
          <w:color w:val="333333"/>
          <w:sz w:val="20"/>
          <w:szCs w:val="20"/>
        </w:rPr>
        <w:t xml:space="preserve">Azure Document Intelligence (OCR) aplica solo en documentos escaneados (~30% del volumen).</w:t>
      </w:r>
    </w:p>
    <w:p>
      <w:pPr>
        <w:pStyle w:val="ListParagraph"/>
        <w:numPr>
          <w:ilvl w:val="0"/>
          <w:numId w:val="3"/>
        </w:numPr>
        <w:spacing w:after="50" w:before="50"/>
      </w:pPr>
      <w:r>
        <w:rPr>
          <w:rFonts w:ascii="Arial" w:cs="Arial" w:eastAsia="Arial" w:hAnsi="Arial"/>
          <w:b w:val="false"/>
          <w:bCs w:val="false"/>
          <w:color w:val="333333"/>
          <w:sz w:val="20"/>
          <w:szCs w:val="20"/>
        </w:rPr>
        <w:t xml:space="preserve">Mix de modelos: 60% GPT-4o, 40% Claude Sonnet — ajustable según el tipo de documento.</w:t>
      </w:r>
    </w:p>
    <w:p>
      <w:pPr>
        <w:spacing w:after="100" w:before="0"/>
      </w:pPr>
      <w:r>
        <w:t xml:space="preserve"/>
      </w:r>
    </w:p>
    <w:p>
      <w:pPr>
        <w:pStyle w:val="Heading2"/>
        <w:spacing w:after="120" w:before="260"/>
      </w:pPr>
      <w:r>
        <w:rPr>
          <w:rFonts w:ascii="Arial" w:cs="Arial" w:eastAsia="Arial" w:hAnsi="Arial"/>
          <w:b/>
          <w:bCs/>
          <w:color w:val="0078D4"/>
          <w:sz w:val="24"/>
          <w:szCs w:val="24"/>
        </w:rPr>
        <w:t xml:space="preserve">8.2 Escenarios de Costo Mensual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Concepto</w:t>
            </w:r>
          </w:p>
        </w:tc>
        <w:tc>
          <w:tcPr>
            <w:tcW w:type="dxa" w:w="208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Escenario Bajo
1,000 docs/mes</w:t>
            </w:r>
          </w:p>
        </w:tc>
        <w:tc>
          <w:tcPr>
            <w:tcW w:type="dxa" w:w="208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Escenario Medio
10,000 docs/mes</w:t>
            </w:r>
          </w:p>
        </w:tc>
        <w:tc>
          <w:tcPr>
            <w:tcW w:type="dxa" w:w="208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Escenario Alto
50,000 docs/mes</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Páginas procesadas/mes</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5,000 págs.</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50,000 págs.</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250,000 págs.</w:t>
            </w:r>
          </w:p>
        </w:tc>
      </w:tr>
      <w:tr>
        <w:tc>
          <w:tcPr>
            <w:tcW w:type="dxa" w:w="312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Tokens entrada (millones)</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 M tokens</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 M tokens</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175 M tokens</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Tokens salida (millones)</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 M tokens</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 M tokens</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 M tokens</w:t>
            </w:r>
          </w:p>
        </w:tc>
      </w:tr>
      <w:tr>
        <w:tc>
          <w:tcPr>
            <w:tcW w:type="dxa" w:w="312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GPT-4o (60%) — Entrada ($2.50/M)</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$5.25</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$52.50</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$262.50</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GPT-4o (60%) — Salida ($10.00/M)</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$6.00</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$60.00</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$300.00</w:t>
            </w:r>
          </w:p>
        </w:tc>
      </w:tr>
      <w:tr>
        <w:tc>
          <w:tcPr>
            <w:tcW w:type="dxa" w:w="312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Sonnet (40%) — Entrada ($3.00/M)</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$4.20</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$42.00</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$210.00</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Claude Sonnet (40%) — Salida ($15.00/M)</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$6.00</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$60.00</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$300.00</w:t>
            </w:r>
          </w:p>
        </w:tc>
      </w:tr>
      <w:tr>
        <w:tc>
          <w:tcPr>
            <w:tcW w:type="dxa" w:w="312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Document Intelligence (OCR)</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$15.00</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$150.00</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$750.00</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AI Search (indexación)</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$245</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$700</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$1,500</w:t>
            </w:r>
          </w:p>
        </w:tc>
      </w:tr>
      <w:tr>
        <w:tc>
          <w:tcPr>
            <w:tcW w:type="dxa" w:w="312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Container Apps (Presidio)</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$200</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$300</w:t>
            </w:r>
          </w:p>
        </w:tc>
        <w:tc>
          <w:tcPr>
            <w:tcW w:type="dxa" w:w="208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$500</w:t>
            </w:r>
          </w:p>
        </w:tc>
      </w:tr>
      <w:tr>
        <w:tc>
          <w:tcPr>
            <w:tcW w:type="dxa" w:w="31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Infraestructura base (Storage, CosmosDB, APIM, etc.)</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$700</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$1,200</w:t>
            </w:r>
          </w:p>
        </w:tc>
        <w:tc>
          <w:tcPr>
            <w:tcW w:type="dxa" w:w="208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$2,500</w:t>
            </w:r>
          </w:p>
        </w:tc>
      </w:tr>
      <w:tr>
        <w:tc>
          <w:tcPr>
            <w:tcW w:type="dxa" w:w="312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MENSUAL ESTIMADO</w:t>
            </w:r>
          </w:p>
        </w:tc>
        <w:tc>
          <w:tcPr>
            <w:tcW w:type="dxa" w:w="208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~$1,182</w:t>
            </w:r>
          </w:p>
        </w:tc>
        <w:tc>
          <w:tcPr>
            <w:tcW w:type="dxa" w:w="208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~$2,565</w:t>
            </w:r>
          </w:p>
        </w:tc>
        <w:tc>
          <w:tcPr>
            <w:tcW w:type="dxa" w:w="208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~$6,323</w:t>
            </w:r>
          </w:p>
        </w:tc>
      </w:tr>
      <w:tr>
        <w:tc>
          <w:tcPr>
            <w:tcW w:type="dxa" w:w="3120"/>
            <w:gridSpan w:val="1"/>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left"/>
            </w:pPr>
            <w:r>
              <w:rPr>
                <w:rFonts w:ascii="Arial" w:cs="Arial" w:eastAsia="Arial" w:hAnsi="Arial"/>
                <w:b/>
                <w:bCs/>
                <w:color w:val="107C10"/>
                <w:sz w:val="20"/>
                <w:szCs w:val="20"/>
              </w:rPr>
              <w:t xml:space="preserve">Con PTU anual (ahorro ~65%) — solo aplica en escenarios Medio y Alto</w:t>
            </w:r>
          </w:p>
        </w:tc>
        <w:tc>
          <w:tcPr>
            <w:tcW w:type="dxa" w:w="2080"/>
            <w:gridSpan w:val="1"/>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N/A</w:t>
            </w:r>
          </w:p>
        </w:tc>
        <w:tc>
          <w:tcPr>
            <w:tcW w:type="dxa" w:w="2080"/>
            <w:gridSpan w:val="1"/>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~$1,397</w:t>
            </w:r>
          </w:p>
        </w:tc>
        <w:tc>
          <w:tcPr>
            <w:tcW w:type="dxa" w:w="2080"/>
            <w:gridSpan w:val="1"/>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~$3,576</w:t>
            </w:r>
          </w:p>
        </w:tc>
      </w:tr>
    </w:tbl>
    <w:p>
      <w:pPr>
        <w:spacing w:after="100" w:before="0"/>
      </w:pPr>
      <w:r>
        <w:t xml:space="preserve"/>
      </w:r>
    </w:p>
    <w:p>
      <w:pPr>
        <w:spacing w:after="60" w:before="60"/>
      </w:pPr>
      <w:r>
        <w:rPr>
          <w:rFonts w:ascii="Arial" w:cs="Arial" w:eastAsia="Arial" w:hAnsi="Arial"/>
          <w:i/>
          <w:iCs/>
          <w:color w:val="666666"/>
          <w:sz w:val="18"/>
          <w:szCs w:val="18"/>
        </w:rPr>
        <w:t xml:space="preserve">* Los costos de modelos de IA son variables por consumo de tokens. Los costos de infraestructura son relativamente fijos. Para escenarios de alto volumen, se recomienda negociar un Microsoft Azure Commitment (MACC) con el representante de cuenta Microsoft para obtener descuentos adicionales del 15-35%.</w:t>
      </w:r>
    </w:p>
    <w:p>
      <w:pPr>
        <w:spacing w:after="100" w:before="0"/>
      </w:pPr>
      <w:r>
        <w:t xml:space="preserve"/>
      </w:r>
    </w:p>
    <w:p>
      <w:pPr>
        <w:pStyle w:val="Heading2"/>
        <w:spacing w:after="120" w:before="260"/>
      </w:pPr>
      <w:r>
        <w:rPr>
          <w:rFonts w:ascii="Arial" w:cs="Arial" w:eastAsia="Arial" w:hAnsi="Arial"/>
          <w:b/>
          <w:bCs/>
          <w:color w:val="0078D4"/>
          <w:sz w:val="24"/>
          <w:szCs w:val="24"/>
        </w:rPr>
        <w:t xml:space="preserve">8.3 Costo de Implementación (Único)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Concepto de Implementación</w:t>
            </w:r>
          </w:p>
        </w:tc>
        <w:tc>
          <w:tcPr>
            <w:tcW w:type="dxa" w:w="20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Horas Estimadas</w:t>
            </w:r>
          </w:p>
        </w:tc>
        <w:tc>
          <w:tcPr>
            <w:tcW w:type="dxa" w:w="2000"/>
            <w:gridSpan w:val="1"/>
            <w:tcBorders>
              <w:top w:val="single" w:color="CCCCCC" w:sz="1"/>
              <w:left w:val="single" w:color="CCCCCC" w:sz="1"/>
              <w:bottom w:val="single" w:color="CCCCCC" w:sz="1"/>
              <w:right w:val="single" w:color="CCCCCC" w:sz="1"/>
            </w:tcBorders>
            <w:shd w:fill="0078D4"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Costo Referencial USD</w:t>
            </w:r>
          </w:p>
        </w:tc>
      </w:tr>
      <w:tr>
        <w:tc>
          <w:tcPr>
            <w:tcW w:type="dxa" w:w="5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Fase 1: Diagnóstico, diseño de arquitectura y plan de seguridad</w:t>
            </w:r>
          </w:p>
        </w:tc>
        <w:tc>
          <w:tcPr>
            <w:tcW w:type="dxa" w:w="20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72 hrs (equipo)</w:t>
            </w:r>
          </w:p>
        </w:tc>
        <w:tc>
          <w:tcPr>
            <w:tcW w:type="dxa" w:w="20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$18,000–$24,000</w:t>
            </w:r>
          </w:p>
        </w:tc>
      </w:tr>
      <w:tr>
        <w:tc>
          <w:tcPr>
            <w:tcW w:type="dxa" w:w="5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Fase 2: Desarrollo del PoC (Presidio + Foundry + Pipeline core)</w:t>
            </w:r>
          </w:p>
        </w:tc>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123 hrs (equipo)</w:t>
            </w:r>
          </w:p>
        </w:tc>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$30,750–$41,000</w:t>
            </w:r>
          </w:p>
        </w:tc>
      </w:tr>
      <w:tr>
        <w:tc>
          <w:tcPr>
            <w:tcW w:type="dxa" w:w="536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Fase 3: Implementación en producción, integraciones y pruebas</w:t>
            </w:r>
          </w:p>
        </w:tc>
        <w:tc>
          <w:tcPr>
            <w:tcW w:type="dxa" w:w="20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212 hrs (equipo)</w:t>
            </w:r>
          </w:p>
        </w:tc>
        <w:tc>
          <w:tcPr>
            <w:tcW w:type="dxa" w:w="20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$53,000–$70,667</w:t>
            </w:r>
          </w:p>
        </w:tc>
      </w:tr>
      <w:tr>
        <w:tc>
          <w:tcPr>
            <w:tcW w:type="dxa" w:w="536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Fase 4: Capacitación, documentación y cierre</w:t>
            </w:r>
          </w:p>
        </w:tc>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 hrs (equipo)</w:t>
            </w:r>
          </w:p>
        </w:tc>
        <w:tc>
          <w:tcPr>
            <w:tcW w:type="dxa" w:w="20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Arial" w:cs="Arial" w:eastAsia="Arial" w:hAnsi="Arial"/>
                <w:b/>
                <w:bCs/>
                <w:color w:val="107C10"/>
                <w:sz w:val="20"/>
                <w:szCs w:val="20"/>
              </w:rPr>
              <w:t xml:space="preserve">$15,750–$21,000</w:t>
            </w:r>
          </w:p>
        </w:tc>
      </w:tr>
      <w:tr>
        <w:tc>
          <w:tcPr>
            <w:tcW w:type="dxa" w:w="536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INVERSIÓN TOTAL DE IMPLEMENTACIÓN (referencial)</w:t>
            </w:r>
          </w:p>
        </w:tc>
        <w:tc>
          <w:tcPr>
            <w:tcW w:type="dxa" w:w="20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val="false"/>
                <w:bCs w:val="false"/>
                <w:color w:val="50E6FF"/>
                <w:sz w:val="20"/>
                <w:szCs w:val="20"/>
              </w:rPr>
              <w:t xml:space="preserve">470 hrs-persona</w:t>
            </w:r>
          </w:p>
        </w:tc>
        <w:tc>
          <w:tcPr>
            <w:tcW w:type="dxa" w:w="2000"/>
            <w:gridSpan w:val="1"/>
            <w:tcBorders>
              <w:top w:val="single" w:color="CCCCCC" w:sz="1"/>
              <w:left w:val="single" w:color="CCCCCC" w:sz="1"/>
              <w:bottom w:val="single" w:color="CCCCCC" w:sz="1"/>
              <w:right w:val="single" w:color="CCCCCC" w:sz="1"/>
            </w:tcBorders>
            <w:shd w:fill="003A6C" w:val="clear"/>
            <w:tcMar>
              <w:top w:type="dxa" w:w="80"/>
              <w:left w:type="dxa" w:w="120"/>
              <w:bottom w:type="dxa" w:w="80"/>
              <w:right w:type="dxa" w:w="120"/>
            </w:tcMar>
            <w:vAlign w:val="center"/>
          </w:tcPr>
          <w:p>
            <w:pPr>
              <w:jc w:val="center"/>
            </w:pPr>
            <w:r>
              <w:rPr>
                <w:rFonts w:ascii="Arial" w:cs="Arial" w:eastAsia="Arial" w:hAnsi="Arial"/>
                <w:b/>
                <w:bCs/>
                <w:color w:val="50E6FF"/>
                <w:sz w:val="20"/>
                <w:szCs w:val="20"/>
              </w:rPr>
              <w:t xml:space="preserve">$117,500–$156,667 USD</w:t>
            </w:r>
          </w:p>
        </w:tc>
      </w:tr>
    </w:tbl>
    <w:p>
      <w:pPr>
        <w:spacing w:after="100" w:before="0"/>
      </w:pPr>
      <w:r>
        <w:t xml:space="preserve"/>
      </w:r>
    </w:p>
    <w:p>
      <w:pPr>
        <w:spacing w:after="60" w:before="60"/>
      </w:pPr>
      <w:r>
        <w:rPr>
          <w:rFonts w:ascii="Arial" w:cs="Arial" w:eastAsia="Arial" w:hAnsi="Arial"/>
          <w:i/>
          <w:iCs/>
          <w:color w:val="666666"/>
          <w:sz w:val="18"/>
          <w:szCs w:val="18"/>
        </w:rPr>
        <w:t xml:space="preserve">** Los costos de implementación son referenciales a $250 USD/hora promedio del equipo multidisciplinario. El costo final se determina en la negociación contractual según modalidad (precio fijo o tiempo y materiales) y condiciones específicas del cliente.</w:t>
      </w:r>
    </w:p>
    <w:p>
      <w:pPr>
        <w:spacing w:after="200" w:before="0"/>
      </w:pPr>
      <w:r>
        <w:t xml:space="preserve"/>
      </w:r>
    </w:p>
    <w:p>
      <w:r>
        <w:br w:type="page"/>
      </w:r>
    </w:p>
    <w:p>
      <w:pPr>
        <w:pStyle w:val="Heading1"/>
        <w:spacing w:after="160" w:before="360"/>
      </w:pPr>
      <w:r>
        <w:rPr>
          <w:rFonts w:ascii="Arial" w:cs="Arial" w:eastAsia="Arial" w:hAnsi="Arial"/>
          <w:b/>
          <w:bCs/>
          <w:color w:val="003A6C"/>
          <w:sz w:val="30"/>
          <w:szCs w:val="30"/>
        </w:rPr>
        <w:t xml:space="preserve">9. Seguridad, Privacidad y Cumplimiento</w:t>
      </w:r>
    </w:p>
    <w:p>
      <w:pPr>
        <w:pBdr>
          <w:bottom w:val="single" w:color="0078D4" w:sz="6" w:space="1"/>
        </w:pBdr>
        <w:spacing w:after="120" w:before="120"/>
      </w:pPr>
      <w:r>
        <w:t xml:space="preserve"/>
      </w:r>
    </w:p>
    <w:p>
      <w:pPr>
        <w:spacing w:after="60" w:before="60"/>
      </w:pPr>
      <w:r>
        <w:rPr>
          <w:rFonts w:ascii="Arial" w:cs="Arial" w:eastAsia="Arial" w:hAnsi="Arial"/>
          <w:color w:val="333333"/>
          <w:sz w:val="20"/>
          <w:szCs w:val="20"/>
        </w:rPr>
        <w:t xml:space="preserve">La seguridad y privacidad son principios de diseño fundamentales de esta solución, no características adicionales. Cada componente implementa controles específicos para garantizar que los datos sensibles estén protegidos en todo momento del ciclo de vida del documento.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D" w:val="clear"/>
            <w:tcMar>
              <w:top w:type="dxa" w:w="120"/>
              <w:left w:type="dxa" w:w="140"/>
              <w:bottom w:type="dxa" w:w="120"/>
              <w:right w:type="dxa" w:w="140"/>
            </w:tcMar>
          </w:tcPr>
          <w:p>
            <w:r>
              <w:rPr>
                <w:rFonts w:ascii="Arial" w:cs="Arial" w:eastAsia="Arial" w:hAnsi="Arial"/>
                <w:b/>
                <w:bCs/>
                <w:color w:val="003A6C"/>
                <w:sz w:val="21"/>
                <w:szCs w:val="21"/>
              </w:rPr>
              <w:t xml:space="preserve">Principio Privacy by Design</w:t>
            </w:r>
          </w:p>
          <w:p>
            <w:pPr>
              <w:spacing w:after="100" w:before="0"/>
            </w:pPr>
            <w:r>
              <w:t xml:space="preserve"/>
            </w:r>
          </w:p>
          <w:p>
            <w:pPr>
              <w:spacing w:after="60" w:before="60"/>
            </w:pPr>
            <w:r>
              <w:rPr>
                <w:rFonts w:ascii="Arial" w:cs="Arial" w:eastAsia="Arial" w:hAnsi="Arial"/>
                <w:color w:val="333333"/>
                <w:sz w:val="20"/>
                <w:szCs w:val="20"/>
              </w:rPr>
              <w:t xml:space="preserve">Los datos personales son enmascarados por Microsoft Presidio ANTES de ser enviados a cualquier modelo de IA. Los LLMs (GPT-4o y Claude) nunca ven datos reales — solo trabajan con textos anonimizados.</w:t>
            </w:r>
          </w:p>
          <w:p>
            <w:pPr>
              <w:spacing w:after="100" w:before="0"/>
            </w:pPr>
            <w:r>
              <w:t xml:space="preserve"/>
            </w:r>
          </w:p>
          <w:p>
            <w:pPr>
              <w:spacing w:after="60" w:before="60"/>
            </w:pPr>
            <w:r>
              <w:rPr>
                <w:rFonts w:ascii="Arial" w:cs="Arial" w:eastAsia="Arial" w:hAnsi="Arial"/>
                <w:color w:val="333333"/>
                <w:sz w:val="20"/>
                <w:szCs w:val="20"/>
              </w:rPr>
              <w:t xml:space="preserve">Esto garantiza que incluso si un modelo de IA tuviera una fuga de datos, la información expuesta sería únicamente texto con placeholders, sin valor para un tercero malicioso.</w:t>
            </w:r>
          </w:p>
        </w:tc>
        <w:tc>
          <w:tcPr>
            <w:tcW w:type="dxa" w:w="4680"/>
            <w:tcBorders>
              <w:top w:val="single" w:color="CCCCCC" w:sz="1"/>
              <w:left w:val="single" w:color="CCCCCC" w:sz="1"/>
              <w:bottom w:val="single" w:color="CCCCCC" w:sz="1"/>
              <w:right w:val="single" w:color="CCCCCC" w:sz="1"/>
            </w:tcBorders>
            <w:shd w:fill="E8F4FD" w:val="clear"/>
            <w:tcMar>
              <w:top w:type="dxa" w:w="120"/>
              <w:left w:type="dxa" w:w="140"/>
              <w:bottom w:type="dxa" w:w="120"/>
              <w:right w:type="dxa" w:w="140"/>
            </w:tcMar>
          </w:tcPr>
          <w:p>
            <w:r>
              <w:rPr>
                <w:rFonts w:ascii="Arial" w:cs="Arial" w:eastAsia="Arial" w:hAnsi="Arial"/>
                <w:b/>
                <w:bCs/>
                <w:color w:val="003A6C"/>
                <w:sz w:val="21"/>
                <w:szCs w:val="21"/>
              </w:rPr>
              <w:t xml:space="preserve">Controles Técnicos de Seguridad</w:t>
            </w:r>
          </w:p>
          <w:p>
            <w:pPr>
              <w:spacing w:after="100" w:before="0"/>
            </w:pPr>
            <w:r>
              <w:t xml:space="preserve"/>
            </w:r>
          </w:p>
          <w:p>
            <w:pPr>
              <w:pStyle w:val="ListParagraph"/>
              <w:numPr>
                <w:ilvl w:val="0"/>
                <w:numId w:val="3"/>
              </w:numPr>
              <w:spacing w:after="50" w:before="50"/>
            </w:pPr>
            <w:r>
              <w:rPr>
                <w:rFonts w:ascii="Arial" w:cs="Arial" w:eastAsia="Arial" w:hAnsi="Arial"/>
                <w:b w:val="false"/>
                <w:bCs w:val="false"/>
                <w:color w:val="333333"/>
                <w:sz w:val="20"/>
                <w:szCs w:val="20"/>
              </w:rPr>
              <w:t xml:space="preserve">Cifrado AES-256 en reposo y TLS 1.3 en tránsito en todos los componentes.</w:t>
            </w:r>
          </w:p>
          <w:p>
            <w:pPr>
              <w:pStyle w:val="ListParagraph"/>
              <w:numPr>
                <w:ilvl w:val="0"/>
                <w:numId w:val="3"/>
              </w:numPr>
              <w:spacing w:after="50" w:before="50"/>
            </w:pPr>
            <w:r>
              <w:rPr>
                <w:rFonts w:ascii="Arial" w:cs="Arial" w:eastAsia="Arial" w:hAnsi="Arial"/>
                <w:b w:val="false"/>
                <w:bCs w:val="false"/>
                <w:color w:val="333333"/>
                <w:sz w:val="20"/>
                <w:szCs w:val="20"/>
              </w:rPr>
              <w:t xml:space="preserve">Redes 100% privadas: Private Endpoints para todos los servicios Azure; sin exposición a internet.</w:t>
            </w:r>
          </w:p>
          <w:p>
            <w:pPr>
              <w:pStyle w:val="ListParagraph"/>
              <w:numPr>
                <w:ilvl w:val="0"/>
                <w:numId w:val="3"/>
              </w:numPr>
              <w:spacing w:after="50" w:before="50"/>
            </w:pPr>
            <w:r>
              <w:rPr>
                <w:rFonts w:ascii="Arial" w:cs="Arial" w:eastAsia="Arial" w:hAnsi="Arial"/>
                <w:b w:val="false"/>
                <w:bCs w:val="false"/>
                <w:color w:val="333333"/>
                <w:sz w:val="20"/>
                <w:szCs w:val="20"/>
              </w:rPr>
              <w:t xml:space="preserve">Azure Key Vault para gestión de todas las claves criptográficas.</w:t>
            </w:r>
          </w:p>
          <w:p>
            <w:pPr>
              <w:pStyle w:val="ListParagraph"/>
              <w:numPr>
                <w:ilvl w:val="0"/>
                <w:numId w:val="3"/>
              </w:numPr>
              <w:spacing w:after="50" w:before="50"/>
            </w:pPr>
            <w:r>
              <w:rPr>
                <w:rFonts w:ascii="Arial" w:cs="Arial" w:eastAsia="Arial" w:hAnsi="Arial"/>
                <w:b w:val="false"/>
                <w:bCs w:val="false"/>
                <w:color w:val="333333"/>
                <w:sz w:val="20"/>
                <w:szCs w:val="20"/>
              </w:rPr>
              <w:t xml:space="preserve">RBAC granular con Azure AD y acceso de mínimo privilegio.</w:t>
            </w:r>
          </w:p>
          <w:p>
            <w:pPr>
              <w:pStyle w:val="ListParagraph"/>
              <w:numPr>
                <w:ilvl w:val="0"/>
                <w:numId w:val="3"/>
              </w:numPr>
              <w:spacing w:after="50" w:before="50"/>
            </w:pPr>
            <w:r>
              <w:rPr>
                <w:rFonts w:ascii="Arial" w:cs="Arial" w:eastAsia="Arial" w:hAnsi="Arial"/>
                <w:b w:val="false"/>
                <w:bCs w:val="false"/>
                <w:color w:val="333333"/>
                <w:sz w:val="20"/>
                <w:szCs w:val="20"/>
              </w:rPr>
              <w:t xml:space="preserve">Audit log completo en Azure Cosmos DB: cada transacción PII registrada.</w:t>
            </w:r>
          </w:p>
        </w:tc>
      </w:tr>
    </w:tbl>
    <w:p>
      <w:pPr>
        <w:spacing w:after="100" w:before="0"/>
      </w:pPr>
      <w:r>
        <w:t xml:space="preserve"/>
      </w:r>
    </w:p>
    <w:p>
      <w:pPr>
        <w:pStyle w:val="Heading2"/>
        <w:spacing w:after="120" w:before="260"/>
      </w:pPr>
      <w:r>
        <w:rPr>
          <w:rFonts w:ascii="Arial" w:cs="Arial" w:eastAsia="Arial" w:hAnsi="Arial"/>
          <w:b/>
          <w:bCs/>
          <w:color w:val="0078D4"/>
          <w:sz w:val="24"/>
          <w:szCs w:val="24"/>
        </w:rPr>
        <w:t xml:space="preserve">9.1 Cumplimiento Normativo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LFPDPPP (México)</w:t>
            </w:r>
          </w:p>
        </w:tc>
        <w:tc>
          <w:tcPr>
            <w:tcW w:type="dxa" w:w="69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Los datos personales se enmascaran antes del procesamiento. La de-anonimización requiere consentimiento implícito en el proceso de negocio. Registro de tratamiento de datos disponible en el audit log.</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GDPR (Europa)</w:t>
            </w:r>
          </w:p>
        </w:tc>
        <w:tc>
          <w:tcPr>
            <w:tcW w:type="dxa" w:w="692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Lawful basis para el procesamiento. Minimización de datos implementada técnicamente con Presidio. Derecho al olvido: los documentos originales pueden eliminarse manteniendo solo los resultados anonimizados.</w:t>
            </w:r>
          </w:p>
        </w:tc>
      </w:tr>
      <w:tr>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ISO 27001</w:t>
            </w:r>
          </w:p>
        </w:tc>
        <w:tc>
          <w:tcPr>
            <w:tcW w:type="dxa" w:w="69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está certificado ISO 27001. Los controles de la solución (cifrado, acceso, auditoría, gestión de incidentes) se alinean con los requerimientos del estándar.</w:t>
            </w:r>
          </w:p>
        </w:tc>
      </w:tr>
      <w:tr>
        <w:tc>
          <w:tcPr>
            <w:tcW w:type="dxa" w:w="240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SOC 2 Type II</w:t>
            </w:r>
          </w:p>
        </w:tc>
        <w:tc>
          <w:tcPr>
            <w:tcW w:type="dxa" w:w="6920"/>
            <w:gridSpan w:val="1"/>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OpenAI Service y Claude en Azure operan bajo los controles SOC 2, garantizando confidencialidad, disponibilidad e integridad del procesamiento.</w:t>
            </w:r>
          </w:p>
        </w:tc>
      </w:tr>
      <w:tr>
        <w:tc>
          <w:tcPr>
            <w:tcW w:type="dxa" w:w="240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bCs/>
                <w:color w:val="003A6C"/>
                <w:sz w:val="20"/>
                <w:szCs w:val="20"/>
              </w:rPr>
              <w:t xml:space="preserve">Responsible AI (Microsoft)</w:t>
            </w:r>
          </w:p>
        </w:tc>
        <w:tc>
          <w:tcPr>
            <w:tcW w:type="dxa" w:w="6920"/>
            <w:gridSpan w:val="1"/>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AI Content Safety aplica en todas las llamadas a modelos. Los modelos operan en entorno privado del cliente sin que los datos se usen para entrenar modelos de Microsoft o Anthropic.</w:t>
            </w:r>
          </w:p>
        </w:tc>
      </w:tr>
    </w:tbl>
    <w:p>
      <w:pPr>
        <w:spacing w:after="200" w:before="0"/>
      </w:pPr>
      <w:r>
        <w:t xml:space="preserve"/>
      </w:r>
    </w:p>
    <w:p>
      <w:pPr>
        <w:pStyle w:val="Heading1"/>
        <w:spacing w:after="160" w:before="360"/>
      </w:pPr>
      <w:r>
        <w:rPr>
          <w:rFonts w:ascii="Arial" w:cs="Arial" w:eastAsia="Arial" w:hAnsi="Arial"/>
          <w:b/>
          <w:bCs/>
          <w:color w:val="003A6C"/>
          <w:sz w:val="30"/>
          <w:szCs w:val="30"/>
        </w:rPr>
        <w:t xml:space="preserve">10. Próximos Pasos</w:t>
      </w:r>
    </w:p>
    <w:p>
      <w:pPr>
        <w:pBdr>
          <w:bottom w:val="single" w:color="0078D4" w:sz="6" w:space="1"/>
        </w:pBdr>
        <w:spacing w:after="120" w:before="120"/>
      </w:pPr>
      <w:r>
        <w:t xml:space="preserve"/>
      </w:r>
    </w:p>
    <w:p>
      <w:pPr>
        <w:spacing w:after="60" w:before="60"/>
      </w:pPr>
      <w:r>
        <w:rPr>
          <w:rFonts w:ascii="Arial" w:cs="Arial" w:eastAsia="Arial" w:hAnsi="Arial"/>
          <w:color w:val="333333"/>
          <w:sz w:val="20"/>
          <w:szCs w:val="20"/>
        </w:rPr>
        <w:t xml:space="preserve">Para avanzar con esta propuesta, sugerimos el siguiente proceso de validación y aprobación:</w:t>
      </w:r>
    </w:p>
    <w:p>
      <w:pPr>
        <w:spacing w:after="100" w:before="0"/>
      </w:pPr>
      <w:r>
        <w:t xml:space="preserve"/>
      </w:r>
    </w:p>
    <w:p>
      <w:pPr>
        <w:pStyle w:val="ListParagraph"/>
        <w:numPr>
          <w:ilvl w:val="0"/>
          <w:numId w:val="2"/>
        </w:numPr>
        <w:spacing w:after="50" w:before="50"/>
      </w:pPr>
      <w:r>
        <w:rPr>
          <w:rFonts w:ascii="Arial" w:cs="Arial" w:eastAsia="Arial" w:hAnsi="Arial"/>
          <w:color w:val="333333"/>
          <w:sz w:val="20"/>
          <w:szCs w:val="20"/>
        </w:rPr>
        <w:t xml:space="preserve">Sesión de alineación técnica con el equipo de TI, Privacidad y Arquitectura para validar la propuesta y resolver dudas técnicas.</w:t>
      </w:r>
    </w:p>
    <w:p>
      <w:pPr>
        <w:pStyle w:val="ListParagraph"/>
        <w:numPr>
          <w:ilvl w:val="0"/>
          <w:numId w:val="2"/>
        </w:numPr>
        <w:spacing w:after="50" w:before="50"/>
      </w:pPr>
      <w:r>
        <w:rPr>
          <w:rFonts w:ascii="Arial" w:cs="Arial" w:eastAsia="Arial" w:hAnsi="Arial"/>
          <w:color w:val="333333"/>
          <w:sz w:val="20"/>
          <w:szCs w:val="20"/>
        </w:rPr>
        <w:t xml:space="preserve">Workshop de definición de casos de uso y tipos de documentos prioritarios para el Proof of Concept.</w:t>
      </w:r>
    </w:p>
    <w:p>
      <w:pPr>
        <w:pStyle w:val="ListParagraph"/>
        <w:numPr>
          <w:ilvl w:val="0"/>
          <w:numId w:val="2"/>
        </w:numPr>
        <w:spacing w:after="50" w:before="50"/>
      </w:pPr>
      <w:r>
        <w:rPr>
          <w:rFonts w:ascii="Arial" w:cs="Arial" w:eastAsia="Arial" w:hAnsi="Arial"/>
          <w:color w:val="333333"/>
          <w:sz w:val="20"/>
          <w:szCs w:val="20"/>
        </w:rPr>
        <w:t xml:space="preserve">Revisión y validación del inventario de datos PII con el DPO o Responsable de Privacidad del cliente.</w:t>
      </w:r>
    </w:p>
    <w:p>
      <w:pPr>
        <w:pStyle w:val="ListParagraph"/>
        <w:numPr>
          <w:ilvl w:val="0"/>
          <w:numId w:val="2"/>
        </w:numPr>
        <w:spacing w:after="50" w:before="50"/>
      </w:pPr>
      <w:r>
        <w:rPr>
          <w:rFonts w:ascii="Arial" w:cs="Arial" w:eastAsia="Arial" w:hAnsi="Arial"/>
          <w:color w:val="333333"/>
          <w:sz w:val="20"/>
          <w:szCs w:val="20"/>
        </w:rPr>
        <w:t xml:space="preserve">Presentación ejecutiva al Comité de Tecnología para aprobación del presupuesto de implementación.</w:t>
      </w:r>
    </w:p>
    <w:p>
      <w:pPr>
        <w:pStyle w:val="ListParagraph"/>
        <w:numPr>
          <w:ilvl w:val="0"/>
          <w:numId w:val="2"/>
        </w:numPr>
        <w:spacing w:after="50" w:before="50"/>
      </w:pPr>
      <w:r>
        <w:rPr>
          <w:rFonts w:ascii="Arial" w:cs="Arial" w:eastAsia="Arial" w:hAnsi="Arial"/>
          <w:color w:val="333333"/>
          <w:sz w:val="20"/>
          <w:szCs w:val="20"/>
        </w:rPr>
        <w:t xml:space="preserve">Firma de NDA (si aplica) y carta de intención para iniciar formalmente la Fase 1.</w:t>
      </w:r>
    </w:p>
    <w:p>
      <w:pPr>
        <w:pStyle w:val="ListParagraph"/>
        <w:numPr>
          <w:ilvl w:val="0"/>
          <w:numId w:val="2"/>
        </w:numPr>
        <w:spacing w:after="50" w:before="50"/>
      </w:pPr>
      <w:r>
        <w:rPr>
          <w:rFonts w:ascii="Arial" w:cs="Arial" w:eastAsia="Arial" w:hAnsi="Arial"/>
          <w:color w:val="333333"/>
          <w:sz w:val="20"/>
          <w:szCs w:val="20"/>
        </w:rPr>
        <w:t xml:space="preserve">Definición de fechas de inicio y calendario de trabajo conjunto.</w:t>
      </w:r>
    </w:p>
    <w:p>
      <w:pPr>
        <w:spacing w:after="200" w:before="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03A6C"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¿Listo para transformar el análisis documental de su organización?</w:t>
            </w:r>
          </w:p>
          <w:p>
            <w:pPr>
              <w:spacing w:before="80"/>
              <w:jc w:val="center"/>
            </w:pPr>
            <w:r>
              <w:rPr>
                <w:rFonts w:ascii="Arial" w:cs="Arial" w:eastAsia="Arial" w:hAnsi="Arial"/>
                <w:color w:val="50E6FF"/>
                <w:sz w:val="20"/>
                <w:szCs w:val="20"/>
              </w:rPr>
              <w:t xml:space="preserve">Privacidad garantizada. Inteligencia sin compromisos.</w:t>
            </w:r>
          </w:p>
          <w:p>
            <w:pPr>
              <w:spacing w:before="80"/>
              <w:jc w:val="center"/>
            </w:pPr>
            <w:r>
              <w:rPr>
                <w:rFonts w:ascii="Arial" w:cs="Arial" w:eastAsia="Arial" w:hAnsi="Arial"/>
                <w:color w:val="FFFFFF"/>
                <w:sz w:val="18"/>
                <w:szCs w:val="18"/>
              </w:rPr>
              <w:t xml:space="preserve">[Nombre del Ejecutivo]  |  [email@empresa.com]  |  [Teléfono]</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0E6FF" w:sz="4" w:space="1"/>
      </w:pBdr>
      <w:tabs>
        <w:tab w:val="right" w:pos="9840"/>
      </w:tabs>
    </w:pPr>
    <w:r>
      <w:rPr>
        <w:rFonts w:ascii="Arial" w:cs="Arial" w:eastAsia="Arial" w:hAnsi="Arial"/>
        <w:color w:val="666666"/>
        <w:sz w:val="16"/>
        <w:szCs w:val="16"/>
      </w:rPr>
      <w:t xml:space="preserve">Azure AI Foundry + Microsoft Presidio</w:t>
    </w:r>
    <w:r>
      <w:rPr>
        <w:rFonts w:ascii="Arial" w:cs="Arial" w:eastAsia="Arial" w:hAnsi="Arial"/>
        <w:color w:val="666666"/>
        <w:sz w:val="16"/>
        <w:szCs w:val="16"/>
      </w:rPr>
      <w:t xml:space="preserve">	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1"/>
      </w:pBdr>
      <w:tabs>
        <w:tab w:val="right" w:pos="9840"/>
      </w:tabs>
    </w:pPr>
    <w:r>
      <w:rPr>
        <w:rFonts w:ascii="Arial" w:cs="Arial" w:eastAsia="Arial" w:hAnsi="Arial"/>
        <w:b/>
        <w:bCs/>
        <w:color w:val="0078D4"/>
        <w:sz w:val="17"/>
        <w:szCs w:val="17"/>
      </w:rPr>
      <w:t xml:space="preserve">Propuesta Técnica — Análisis de Documentos con IA y Microsoft Presidio</w:t>
    </w:r>
    <w:r>
      <w:rPr>
        <w:rFonts w:ascii="Arial" w:cs="Arial" w:eastAsia="Arial" w:hAnsi="Arial"/>
        <w:color w:val="666666"/>
        <w:sz w:val="17"/>
        <w:szCs w:val="17"/>
      </w:rPr>
      <w:t xml:space="preserve">	Confidencial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A6C"/>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0078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2026-06-16T05:25:07.745Z</dcterms:created>
  <dcterms:modified xsi:type="dcterms:W3CDTF">2026-06-16T05:25:07.760Z</dcterms:modified>
</cp:coreProperties>
</file>

<file path=docProps/custom.xml><?xml version="1.0" encoding="utf-8"?>
<Properties xmlns="http://schemas.openxmlformats.org/officeDocument/2006/custom-properties" xmlns:vt="http://schemas.openxmlformats.org/officeDocument/2006/docPropsVTypes"/>
</file>