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Buenas noches. Excelente pregunta, es muy importante entender </w:t>
      </w:r>
      <w:r w:rsidDel="00000000" w:rsidR="00000000" w:rsidRPr="00000000">
        <w:rPr>
          <w:b w:val="1"/>
          <w:bCs w:val="1"/>
          <w:rtl w:val="0"/>
        </w:rPr>
        <w:t xml:space="preserve">por qué</w:t>
      </w:r>
      <w:r w:rsidDel="00000000" w:rsidR="00000000" w:rsidRPr="00000000">
        <w:rPr>
          <w:rtl w:val="0"/>
        </w:rPr>
        <w:t xml:space="preserve"> se necesitan los tres componentes y cómo se relacionan entre sí. Te lo explico con respaldo directo de la documentación oficial de Microsoft.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u0vltujqwrfv" w:id="0"/>
      <w:bookmarkEnd w:id="0"/>
      <w:r w:rsidDel="00000000" w:rsidR="00000000" w:rsidRPr="00000000">
        <w:rPr>
          <w:b w:val="1"/>
          <w:bCs w:val="1"/>
          <w:sz w:val="34"/>
          <w:szCs w:val="34"/>
          <w:rtl w:val="0"/>
        </w:rPr>
        <w:t xml:space="preserve">Los tres componentes son distintos por diseño — no son redundantes</w:t>
      </w:r>
    </w:p>
    <w:p w:rsidR="00000000" w:rsidDel="00000000" w:rsidP="00000000" w:rsidRDefault="00000000" w:rsidRPr="00000000" w14:paraId="00000004">
      <w:pPr>
        <w:spacing w:after="240" w:before="240" w:lineRule="auto"/>
        <w:rPr/>
      </w:pPr>
      <w:r w:rsidDel="00000000" w:rsidR="00000000" w:rsidRPr="00000000">
        <w:rPr>
          <w:rtl w:val="0"/>
        </w:rPr>
        <w:t xml:space="preserve">La razón de tener los tres es que cada uno cumple un rol diferente dentro de la arquitectura. Son </w:t>
      </w:r>
      <w:r w:rsidDel="00000000" w:rsidR="00000000" w:rsidRPr="00000000">
        <w:rPr>
          <w:b w:val="1"/>
          <w:bCs w:val="1"/>
          <w:rtl w:val="0"/>
        </w:rPr>
        <w:t xml:space="preserve">capas complementarias</w:t>
      </w:r>
      <w:r w:rsidDel="00000000" w:rsidR="00000000" w:rsidRPr="00000000">
        <w:rPr>
          <w:rtl w:val="0"/>
        </w:rPr>
        <w:t xml:space="preserve">, no alternativas.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vt0kdc3pkpfe" w:id="1"/>
      <w:bookmarkEnd w:id="1"/>
      <w:r w:rsidDel="00000000" w:rsidR="00000000" w:rsidRPr="00000000">
        <w:rPr>
          <w:b w:val="1"/>
          <w:bCs w:val="1"/>
          <w:color w:val="000000"/>
          <w:sz w:val="26"/>
          <w:szCs w:val="26"/>
          <w:rtl w:val="0"/>
        </w:rPr>
        <w:t xml:space="preserve">1. Event Hubs Namespace — el "contenedor administrativo"</w:t>
      </w:r>
    </w:p>
    <w:p w:rsidR="00000000" w:rsidDel="00000000" w:rsidP="00000000" w:rsidRDefault="00000000" w:rsidRPr="00000000" w14:paraId="00000007">
      <w:pPr>
        <w:spacing w:after="240" w:before="240" w:lineRule="auto"/>
        <w:rPr>
          <w:color w:val="1155cc"/>
          <w:u w:val="single"/>
        </w:rPr>
      </w:pPr>
      <w:r w:rsidDel="00000000" w:rsidR="00000000" w:rsidRPr="00000000">
        <w:rPr>
          <w:rtl w:val="0"/>
        </w:rPr>
        <w:t xml:space="preserve">Un Event Hubs Namespace es un contenedor de administración para los event hubs. Provee los endpoints de red y controla el acceso mediante características como filtrado de IP, endpoints de servicio de red virtual y Private Link.</w:t>
      </w:r>
      <w:hyperlink r:id="rId6">
        <w:r w:rsidDel="00000000" w:rsidR="00000000" w:rsidRPr="00000000">
          <w:rPr>
            <w:rtl w:val="0"/>
          </w:rPr>
          <w:t xml:space="preserve"> </w:t>
        </w:r>
      </w:hyperlink>
      <w:hyperlink r:id="rId7">
        <w:r w:rsidDel="00000000" w:rsidR="00000000" w:rsidRPr="00000000">
          <w:rPr>
            <w:color w:val="1155cc"/>
            <w:u w:val="single"/>
            <w:rtl w:val="0"/>
          </w:rPr>
          <w:t xml:space="preserve">Microsoft Learn</w:t>
        </w:r>
      </w:hyperlink>
      <w:r w:rsidDel="00000000" w:rsidR="00000000" w:rsidRPr="00000000">
        <w:rPr>
          <w:rtl w:val="0"/>
        </w:rPr>
      </w:r>
    </w:p>
    <w:p w:rsidR="00000000" w:rsidDel="00000000" w:rsidP="00000000" w:rsidRDefault="00000000" w:rsidRPr="00000000" w14:paraId="00000008">
      <w:pPr>
        <w:spacing w:after="240" w:before="240" w:lineRule="auto"/>
        <w:rPr>
          <w:color w:val="1155cc"/>
          <w:u w:val="single"/>
        </w:rPr>
      </w:pPr>
      <w:r w:rsidDel="00000000" w:rsidR="00000000" w:rsidRPr="00000000">
        <w:rPr>
          <w:rtl w:val="0"/>
        </w:rPr>
        <w:t xml:space="preserve">Puedes imaginarlo como una carpeta que organiza y gestiona todos tus event hubs en un solo lugar, permitiéndote agrupar recursos relacionados bajo una administración centralizada. Cada Event Hub dentro de un namespace comparte el mismo contexto de seguridad y configuración, lo que simplifica la gestión de políticas de seguridad como claves de acceso y reglas de autorización.</w:t>
      </w:r>
      <w:hyperlink r:id="rId8">
        <w:r w:rsidDel="00000000" w:rsidR="00000000" w:rsidRPr="00000000">
          <w:rPr>
            <w:rtl w:val="0"/>
          </w:rPr>
          <w:t xml:space="preserve"> </w:t>
        </w:r>
      </w:hyperlink>
      <w:hyperlink r:id="rId9">
        <w:r w:rsidDel="00000000" w:rsidR="00000000" w:rsidRPr="00000000">
          <w:rPr>
            <w:color w:val="1155cc"/>
            <w:u w:val="single"/>
            <w:rtl w:val="0"/>
          </w:rPr>
          <w:t xml:space="preserve">Dev4Side</w:t>
        </w:r>
      </w:hyperlink>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En términos simples: </w:t>
      </w:r>
      <w:r w:rsidDel="00000000" w:rsidR="00000000" w:rsidRPr="00000000">
        <w:rPr>
          <w:b w:val="1"/>
          <w:bCs w:val="1"/>
          <w:rtl w:val="0"/>
        </w:rPr>
        <w:t xml:space="preserve">el Namespace es la infraestructura base</w:t>
      </w:r>
      <w:r w:rsidDel="00000000" w:rsidR="00000000" w:rsidRPr="00000000">
        <w:rPr>
          <w:rtl w:val="0"/>
        </w:rPr>
        <w:t xml:space="preserve"> — sin él no puedes crear nada. Es donde se definen los Throughput Units, el tier (Standard/Premium), la red y el RBAC.</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525logqp7rgk" w:id="2"/>
      <w:bookmarkEnd w:id="2"/>
      <w:r w:rsidDel="00000000" w:rsidR="00000000" w:rsidRPr="00000000">
        <w:rPr>
          <w:b w:val="1"/>
          <w:bCs w:val="1"/>
          <w:color w:val="000000"/>
          <w:sz w:val="26"/>
          <w:szCs w:val="26"/>
          <w:rtl w:val="0"/>
        </w:rPr>
        <w:t xml:space="preserve">2. Event Hub (instancia) — el "canal de streaming"</w:t>
      </w:r>
    </w:p>
    <w:p w:rsidR="00000000" w:rsidDel="00000000" w:rsidP="00000000" w:rsidRDefault="00000000" w:rsidRPr="00000000" w14:paraId="0000000C">
      <w:pPr>
        <w:spacing w:after="240" w:before="240" w:lineRule="auto"/>
        <w:rPr>
          <w:color w:val="1155cc"/>
          <w:u w:val="single"/>
        </w:rPr>
      </w:pPr>
      <w:r w:rsidDel="00000000" w:rsidR="00000000" w:rsidRPr="00000000">
        <w:rPr>
          <w:rtl w:val="0"/>
        </w:rPr>
        <w:t xml:space="preserve">Un Event Hubs Namespace provee un contenedor de alcance único, dentro del cual creas uno o más event hubs.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Microsoft Learn</w:t>
        </w:r>
      </w:hyperlink>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Event Hubs es un motor de streaming en tiempo real, no una base de datos.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Microsoft Learn</w:t>
        </w:r>
      </w:hyperlink>
      <w:r w:rsidDel="00000000" w:rsidR="00000000" w:rsidRPr="00000000">
        <w:rPr>
          <w:rtl w:val="0"/>
        </w:rPr>
        <w:t xml:space="preserve"> Su función es recibir millones de eventos por segundo y mantenerlos disponibles para que los consumidores (Sentinel, Functions, Stream Analytics) los lean.</w:t>
      </w:r>
    </w:p>
    <w:p w:rsidR="00000000" w:rsidDel="00000000" w:rsidP="00000000" w:rsidRDefault="00000000" w:rsidRPr="00000000" w14:paraId="0000000E">
      <w:pPr>
        <w:spacing w:after="240" w:before="240" w:lineRule="auto"/>
        <w:rPr/>
      </w:pPr>
      <w:r w:rsidDel="00000000" w:rsidR="00000000" w:rsidRPr="00000000">
        <w:rPr>
          <w:rtl w:val="0"/>
        </w:rPr>
        <w:t xml:space="preserve">La retención dentro del Event Hub es </w:t>
      </w:r>
      <w:r w:rsidDel="00000000" w:rsidR="00000000" w:rsidRPr="00000000">
        <w:rPr>
          <w:b w:val="1"/>
          <w:bCs w:val="1"/>
          <w:rtl w:val="0"/>
        </w:rPr>
        <w:t xml:space="preserve">temporal por diseño</w:t>
      </w:r>
      <w:r w:rsidDel="00000000" w:rsidR="00000000" w:rsidRPr="00000000">
        <w:rPr>
          <w:rtl w:val="0"/>
        </w:rPr>
        <w:t xml:space="preserve">:</w:t>
      </w:r>
    </w:p>
    <w:p w:rsidR="00000000" w:rsidDel="00000000" w:rsidP="00000000" w:rsidRDefault="00000000" w:rsidRPr="00000000" w14:paraId="0000000F">
      <w:pPr>
        <w:spacing w:after="240" w:before="240" w:lineRule="auto"/>
        <w:rPr>
          <w:color w:val="1155cc"/>
          <w:u w:val="single"/>
        </w:rPr>
      </w:pPr>
      <w:r w:rsidDel="00000000" w:rsidR="00000000" w:rsidRPr="00000000">
        <w:rPr>
          <w:rtl w:val="0"/>
        </w:rPr>
        <w:t xml:space="preserve">El tier Standard actualmente soporta un período máximo de retención de 7 días, mientras que para los tiers Premium y Dedicated el límite es 90 días. Los event hubs no están diseñados como almacenamiento permanente de datos.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Microsoft Learn</w:t>
        </w:r>
      </w:hyperlink>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Aquí está el punto clave: </w:t>
      </w:r>
      <w:r w:rsidDel="00000000" w:rsidR="00000000" w:rsidRPr="00000000">
        <w:rPr>
          <w:b w:val="1"/>
          <w:bCs w:val="1"/>
          <w:rtl w:val="0"/>
        </w:rPr>
        <w:t xml:space="preserve">el Event Hub solo retiene datos por días, no indefinidamente</w:t>
      </w:r>
      <w:r w:rsidDel="00000000" w:rsidR="00000000" w:rsidRPr="00000000">
        <w:rPr>
          <w:rtl w:val="0"/>
        </w:rPr>
        <w:t xml:space="preserve">. Por eso es necesario el tercer componente.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5wg67vxex244" w:id="3"/>
      <w:bookmarkEnd w:id="3"/>
      <w:r w:rsidDel="00000000" w:rsidR="00000000" w:rsidRPr="00000000">
        <w:rPr>
          <w:b w:val="1"/>
          <w:bCs w:val="1"/>
          <w:color w:val="000000"/>
          <w:sz w:val="26"/>
          <w:szCs w:val="26"/>
          <w:rtl w:val="0"/>
        </w:rPr>
        <w:t xml:space="preserve">3. Event Hubs Capture — el "archivo permanente"</w:t>
      </w:r>
    </w:p>
    <w:p w:rsidR="00000000" w:rsidDel="00000000" w:rsidP="00000000" w:rsidRDefault="00000000" w:rsidRPr="00000000" w14:paraId="00000013">
      <w:pPr>
        <w:spacing w:after="240" w:before="240" w:lineRule="auto"/>
        <w:rPr>
          <w:color w:val="1155cc"/>
          <w:u w:val="single"/>
        </w:rPr>
      </w:pPr>
      <w:r w:rsidDel="00000000" w:rsidR="00000000" w:rsidRPr="00000000">
        <w:rPr>
          <w:rtl w:val="0"/>
        </w:rPr>
        <w:t xml:space="preserve">La característica Azure Event Hubs Capture captura automáticamente los datos en streaming que fluyen a través de Event Hubs hacia una cuenta de Azure Blob Storage o Azure Data Lake Storage. Para controlar cuándo Event Hubs almacena los datos, puedes especificar un intervalo de tiempo o de tamaño. Event Hubs Capture simplifica el proceso de cargar datos de streaming en Azure y te permite enfocarte en el procesamiento de datos en lugar de en su captura.</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Microsoft Learn</w:t>
        </w:r>
      </w:hyperlink>
      <w:r w:rsidDel="00000000" w:rsidR="00000000" w:rsidRPr="00000000">
        <w:rPr>
          <w:rtl w:val="0"/>
        </w:rPr>
      </w:r>
    </w:p>
    <w:p w:rsidR="00000000" w:rsidDel="00000000" w:rsidP="00000000" w:rsidRDefault="00000000" w:rsidRPr="00000000" w14:paraId="00000014">
      <w:pPr>
        <w:spacing w:after="240" w:before="240" w:lineRule="auto"/>
        <w:rPr>
          <w:color w:val="1155cc"/>
          <w:u w:val="single"/>
        </w:rPr>
      </w:pPr>
      <w:r w:rsidDel="00000000" w:rsidR="00000000" w:rsidRPr="00000000">
        <w:rPr>
          <w:rtl w:val="0"/>
        </w:rPr>
        <w:t xml:space="preserve">Si necesitas retención de mensajes más allá de siete días, habilitar Event Hubs Capture en tu event hub extrae los datos de tu event hub hacia la cuenta de Storage o Azure Data Lake Service de tu elección.</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Microsoft Learn</w:t>
        </w:r>
      </w:hyperlink>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Para el contexto de </w:t>
      </w:r>
      <w:r w:rsidDel="00000000" w:rsidR="00000000" w:rsidRPr="00000000">
        <w:rPr>
          <w:b w:val="1"/>
          <w:bCs w:val="1"/>
          <w:rtl w:val="0"/>
        </w:rPr>
        <w:t xml:space="preserve">auditoría de identidades (Entra ID)</w:t>
      </w:r>
      <w:r w:rsidDel="00000000" w:rsidR="00000000" w:rsidRPr="00000000">
        <w:rPr>
          <w:rtl w:val="0"/>
        </w:rPr>
        <w:t xml:space="preserve">, esto es crítico por las regulaciones como ISO 27001, SOC 2 y GDPR, que exigen retención de logs por </w:t>
      </w:r>
      <w:r w:rsidDel="00000000" w:rsidR="00000000" w:rsidRPr="00000000">
        <w:rPr>
          <w:b w:val="1"/>
          <w:bCs w:val="1"/>
          <w:rtl w:val="0"/>
        </w:rPr>
        <w:t xml:space="preserve">meses o años</w:t>
      </w:r>
      <w:r w:rsidDel="00000000" w:rsidR="00000000" w:rsidRPr="00000000">
        <w:rPr>
          <w:rtl w:val="0"/>
        </w:rPr>
        <w:t xml:space="preserve">, no días.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73fo8mf9xstq" w:id="4"/>
      <w:bookmarkEnd w:id="4"/>
      <w:r w:rsidDel="00000000" w:rsidR="00000000" w:rsidRPr="00000000">
        <w:rPr>
          <w:b w:val="1"/>
          <w:bCs w:val="1"/>
          <w:sz w:val="34"/>
          <w:szCs w:val="34"/>
          <w:rtl w:val="0"/>
        </w:rPr>
        <w:t xml:space="preserve">El flujo de los tres componentes juntos</w:t>
      </w:r>
    </w:p>
    <w:p w:rsidR="00000000" w:rsidDel="00000000" w:rsidP="00000000" w:rsidRDefault="00000000" w:rsidRPr="00000000" w14:paraId="00000018">
      <w:pPr>
        <w:rPr>
          <w:color w:val="14181f"/>
        </w:rPr>
      </w:pPr>
      <w:r w:rsidDel="00000000" w:rsidR="00000000" w:rsidRPr="00000000">
        <w:rPr>
          <w:color w:val="14181f"/>
          <w:rtl w:val="0"/>
        </w:rPr>
        <w:t xml:space="preserve">Entra ID (fuente)</w:t>
      </w:r>
    </w:p>
    <w:p w:rsidR="00000000" w:rsidDel="00000000" w:rsidP="00000000" w:rsidRDefault="00000000" w:rsidRPr="00000000" w14:paraId="00000019">
      <w:pPr>
        <w:rPr>
          <w:color w:val="14181f"/>
        </w:rPr>
      </w:pPr>
      <w:r w:rsidDel="00000000" w:rsidR="00000000" w:rsidRPr="00000000">
        <w:rPr>
          <w:rFonts w:ascii="Arial Unicode MS" w:cs="Arial Unicode MS" w:eastAsia="Arial Unicode MS" w:hAnsi="Arial Unicode MS"/>
          <w:color w:val="14181f"/>
          <w:rtl w:val="0"/>
        </w:rPr>
        <w:t xml:space="preserve">       ↓  Diagnostic Settings</w:t>
      </w:r>
    </w:p>
    <w:p w:rsidR="00000000" w:rsidDel="00000000" w:rsidP="00000000" w:rsidRDefault="00000000" w:rsidRPr="00000000" w14:paraId="0000001A">
      <w:pPr>
        <w:rPr>
          <w:color w:val="14181f"/>
        </w:rPr>
      </w:pPr>
      <w:r w:rsidDel="00000000" w:rsidR="00000000" w:rsidRPr="00000000">
        <w:rPr>
          <w:rFonts w:ascii="Arial Unicode MS" w:cs="Arial Unicode MS" w:eastAsia="Arial Unicode MS" w:hAnsi="Arial Unicode MS"/>
          <w:color w:val="14181f"/>
          <w:rtl w:val="0"/>
        </w:rPr>
        <w:t xml:space="preserve">[EVENT HUB NAMESPACE]  ← Infraestructura, red, seguridad, TUs</w:t>
      </w:r>
    </w:p>
    <w:p w:rsidR="00000000" w:rsidDel="00000000" w:rsidP="00000000" w:rsidRDefault="00000000" w:rsidRPr="00000000" w14:paraId="0000001B">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01C">
      <w:pPr>
        <w:rPr>
          <w:color w:val="14181f"/>
        </w:rPr>
      </w:pPr>
      <w:r w:rsidDel="00000000" w:rsidR="00000000" w:rsidRPr="00000000">
        <w:rPr>
          <w:rFonts w:ascii="Arial Unicode MS" w:cs="Arial Unicode MS" w:eastAsia="Arial Unicode MS" w:hAnsi="Arial Unicode MS"/>
          <w:color w:val="14181f"/>
          <w:rtl w:val="0"/>
        </w:rPr>
        <w:t xml:space="preserve">[EVENT HUB INSTANCIA]  ← Streaming en tiempo real (retención 7 días máx.)</w:t>
      </w:r>
    </w:p>
    <w:p w:rsidR="00000000" w:rsidDel="00000000" w:rsidP="00000000" w:rsidRDefault="00000000" w:rsidRPr="00000000" w14:paraId="0000001D">
      <w:pPr>
        <w:rPr>
          <w:color w:val="14181f"/>
        </w:rPr>
      </w:pPr>
      <w:r w:rsidDel="00000000" w:rsidR="00000000" w:rsidRPr="00000000">
        <w:rPr>
          <w:rFonts w:ascii="Arial Unicode MS" w:cs="Arial Unicode MS" w:eastAsia="Arial Unicode MS" w:hAnsi="Arial Unicode MS"/>
          <w:color w:val="14181f"/>
          <w:rtl w:val="0"/>
        </w:rPr>
        <w:t xml:space="preserve">       ↙            ↘</w:t>
      </w:r>
    </w:p>
    <w:p w:rsidR="00000000" w:rsidDel="00000000" w:rsidP="00000000" w:rsidRDefault="00000000" w:rsidRPr="00000000" w14:paraId="0000001E">
      <w:pPr>
        <w:rPr>
          <w:color w:val="14181f"/>
        </w:rPr>
      </w:pPr>
      <w:r w:rsidDel="00000000" w:rsidR="00000000" w:rsidRPr="00000000">
        <w:rPr>
          <w:rFonts w:ascii="Arial Unicode MS" w:cs="Arial Unicode MS" w:eastAsia="Arial Unicode MS" w:hAnsi="Arial Unicode MS"/>
          <w:color w:val="14181f"/>
          <w:rtl w:val="0"/>
        </w:rPr>
        <w:t xml:space="preserve">[Sentinel/Functions]  [CAPTURE → Blob Storage]</w:t>
      </w:r>
    </w:p>
    <w:p w:rsidR="00000000" w:rsidDel="00000000" w:rsidP="00000000" w:rsidRDefault="00000000" w:rsidRPr="00000000" w14:paraId="0000001F">
      <w:pPr>
        <w:rPr>
          <w:color w:val="14181f"/>
        </w:rPr>
      </w:pPr>
      <w:r w:rsidDel="00000000" w:rsidR="00000000" w:rsidRPr="00000000">
        <w:rPr>
          <w:color w:val="14181f"/>
          <w:rtl w:val="0"/>
        </w:rPr>
        <w:t xml:space="preserve">  (consumo en         (archivo permanente:</w:t>
      </w:r>
    </w:p>
    <w:p w:rsidR="00000000" w:rsidDel="00000000" w:rsidP="00000000" w:rsidRDefault="00000000" w:rsidRPr="00000000" w14:paraId="00000020">
      <w:pPr>
        <w:rPr>
          <w:color w:val="14181f"/>
        </w:rPr>
      </w:pPr>
      <w:r w:rsidDel="00000000" w:rsidR="00000000" w:rsidRPr="00000000">
        <w:rPr>
          <w:color w:val="14181f"/>
          <w:rtl w:val="0"/>
        </w:rPr>
        <w:t xml:space="preserve">   tiempo real)        meses / años)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paqmx9q0vlol" w:id="5"/>
      <w:bookmarkEnd w:id="5"/>
      <w:r w:rsidDel="00000000" w:rsidR="00000000" w:rsidRPr="00000000">
        <w:rPr>
          <w:b w:val="1"/>
          <w:bCs w:val="1"/>
          <w:sz w:val="34"/>
          <w:szCs w:val="34"/>
          <w:rtl w:val="0"/>
        </w:rPr>
        <w:t xml:space="preserve">Respaldo en el Well-Architected Framework de Microsoft</w:t>
      </w:r>
    </w:p>
    <w:p w:rsidR="00000000" w:rsidDel="00000000" w:rsidP="00000000" w:rsidRDefault="00000000" w:rsidRPr="00000000" w14:paraId="00000023">
      <w:pPr>
        <w:spacing w:after="240" w:before="240" w:lineRule="auto"/>
        <w:rPr/>
      </w:pPr>
      <w:r w:rsidDel="00000000" w:rsidR="00000000" w:rsidRPr="00000000">
        <w:rPr>
          <w:rtl w:val="0"/>
        </w:rPr>
        <w:t xml:space="preserve">Consolida los destinos de Capture para optimizar los costos de almacenamiento y la sobrecarga de administración.</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Microsoft Learn</w:t>
        </w:r>
      </w:hyperlink>
      <w:r w:rsidDel="00000000" w:rsidR="00000000" w:rsidRPr="00000000">
        <w:rPr>
          <w:rtl w:val="0"/>
        </w:rPr>
        <w:t xml:space="preserve"> Esto confirma que Microsoft considera Capture como parte integral de la arquitectura, no un componente opcional.</w:t>
      </w:r>
    </w:p>
    <w:p w:rsidR="00000000" w:rsidDel="00000000" w:rsidP="00000000" w:rsidRDefault="00000000" w:rsidRPr="00000000" w14:paraId="00000024">
      <w:pPr>
        <w:spacing w:after="240" w:before="240" w:lineRule="auto"/>
        <w:rPr>
          <w:color w:val="1155cc"/>
          <w:u w:val="single"/>
        </w:rPr>
      </w:pPr>
      <w:r w:rsidDel="00000000" w:rsidR="00000000" w:rsidRPr="00000000">
        <w:rPr>
          <w:rtl w:val="0"/>
        </w:rPr>
        <w:t xml:space="preserve">Configura los throughput units iniciales basándote en estimaciones de planificación de capacidad para namespaces Standard y Premium, y habilita la inflación automática.</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9alx75zazhk9" w:id="6"/>
      <w:bookmarkEnd w:id="6"/>
      <w:r w:rsidDel="00000000" w:rsidR="00000000" w:rsidRPr="00000000">
        <w:rPr>
          <w:b w:val="1"/>
          <w:bCs w:val="1"/>
          <w:sz w:val="34"/>
          <w:szCs w:val="34"/>
          <w:rtl w:val="0"/>
        </w:rPr>
        <w:t xml:space="preserve">Resumen de por qué los tres son necesarios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1.2745356591195"/>
        <w:gridCol w:w="3056.486455939419"/>
        <w:gridCol w:w="3977.750819425084"/>
        <w:tblGridChange w:id="0">
          <w:tblGrid>
            <w:gridCol w:w="1991.2745356591195"/>
            <w:gridCol w:w="3056.486455939419"/>
            <w:gridCol w:w="3977.7508194250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Función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Sin él...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Namespace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Infraestructura, red, seguridad y capacidad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No puedes crear nada; es el requisito base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Event Hub (instancia)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Recibir y distribuir eventos en tiempo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No hay bus de mensajes; Sentinel y Functions no reciben nada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Capture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Retención permanente en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Los logs se pierden después de 7 días; incumples regulaciones</w:t>
            </w:r>
          </w:p>
        </w:tc>
      </w:tr>
    </w:tbl>
    <w:p w:rsidR="00000000" w:rsidDel="00000000" w:rsidP="00000000" w:rsidRDefault="00000000" w:rsidRPr="00000000" w14:paraId="00000033">
      <w:pPr>
        <w:spacing w:after="240" w:before="240" w:lineRule="auto"/>
        <w:rPr/>
      </w:pPr>
      <w:r w:rsidDel="00000000" w:rsidR="00000000" w:rsidRPr="00000000">
        <w:rPr>
          <w:rtl w:val="0"/>
        </w:rPr>
        <w:t xml:space="preserve">Espero que esto te aclare perfectamente la razón de los tres servicios. Si tienes más dudas, con mucho gusto te ayudo. 🙂</w:t>
      </w:r>
    </w:p>
    <w:p w:rsidR="00000000" w:rsidDel="00000000" w:rsidP="00000000" w:rsidRDefault="00000000" w:rsidRPr="00000000" w14:paraId="00000034">
      <w:pPr>
        <w:spacing w:after="240" w:before="240" w:lineRule="auto"/>
        <w:rPr/>
      </w:pPr>
      <w:r w:rsidDel="00000000" w:rsidR="00000000" w:rsidRPr="00000000">
        <w:rPr>
          <w:rtl w:val="0"/>
        </w:rPr>
        <w:t xml:space="preserve">Perferto ya entendi mejor, Realmente mill gracias. Adicional me puedes apoyar con 10 preguntas y respuesta acerca del Event hubs mas comunes, por favor.</w:t>
      </w:r>
    </w:p>
    <w:p w:rsidR="00000000" w:rsidDel="00000000" w:rsidP="00000000" w:rsidRDefault="00000000" w:rsidRPr="00000000" w14:paraId="00000035">
      <w:pPr>
        <w:rPr/>
      </w:pPr>
      <w:r w:rsidDel="00000000" w:rsidR="00000000" w:rsidRPr="00000000">
        <w:rPr>
          <w:rtl w:val="0"/>
        </w:rPr>
        <w:t xml:space="preserve">9:39 p.m.</w:t>
      </w:r>
    </w:p>
    <w:p w:rsidR="00000000" w:rsidDel="00000000" w:rsidP="00000000" w:rsidRDefault="00000000" w:rsidRPr="00000000" w14:paraId="00000036">
      <w:pPr>
        <w:spacing w:after="240" w:before="240" w:lineRule="auto"/>
        <w:rPr/>
      </w:pPr>
      <w:r w:rsidDel="00000000" w:rsidR="00000000" w:rsidRPr="00000000">
        <w:rPr>
          <w:rtl w:val="0"/>
        </w:rPr>
        <w:t xml:space="preserve">¡Con gusto! Aquí tienes las 10 preguntas y respuestas más comunes sobre Azure Event Hubs:</w:t>
      </w:r>
    </w:p>
    <w:p w:rsidR="00000000" w:rsidDel="00000000" w:rsidP="00000000" w:rsidRDefault="00000000" w:rsidRPr="00000000" w14:paraId="00000037">
      <w:pPr>
        <w:rPr/>
      </w:pPr>
      <w:r w:rsidDel="00000000" w:rsidR="00000000" w:rsidRPr="00000000">
        <w:rPr>
          <w:rtl w:val="0"/>
        </w:rPr>
        <w:t xml:space="preserve">Searched the web</w:t>
      </w:r>
    </w:p>
    <w:p w:rsidR="00000000" w:rsidDel="00000000" w:rsidP="00000000" w:rsidRDefault="00000000" w:rsidRPr="00000000" w14:paraId="00000038">
      <w:pPr>
        <w:rPr/>
      </w:pPr>
      <w:r w:rsidDel="00000000" w:rsidR="00000000" w:rsidRPr="00000000">
        <w:rPr>
          <w:rtl w:val="0"/>
        </w:rPr>
        <w:t xml:space="preserve">Searched the web</w:t>
      </w:r>
    </w:p>
    <w:p w:rsidR="00000000" w:rsidDel="00000000" w:rsidP="00000000" w:rsidRDefault="00000000" w:rsidRPr="00000000" w14:paraId="00000039">
      <w:pPr>
        <w:spacing w:after="240" w:before="240" w:lineRule="auto"/>
        <w:rPr/>
      </w:pPr>
      <w:r w:rsidDel="00000000" w:rsidR="00000000" w:rsidRPr="00000000">
        <w:rPr>
          <w:rtl w:val="0"/>
        </w:rPr>
        <w:t xml:space="preserve">¡Con mucho gusto! Aquí tienes las </w:t>
      </w:r>
      <w:r w:rsidDel="00000000" w:rsidR="00000000" w:rsidRPr="00000000">
        <w:rPr>
          <w:b w:val="1"/>
          <w:bCs w:val="1"/>
          <w:rtl w:val="0"/>
        </w:rPr>
        <w:t xml:space="preserve">10 preguntas y respuestas más comunes</w:t>
      </w:r>
      <w:r w:rsidDel="00000000" w:rsidR="00000000" w:rsidRPr="00000000">
        <w:rPr>
          <w:rtl w:val="0"/>
        </w:rPr>
        <w:t xml:space="preserve"> sobre Azure Event Hubs, con respaldo directo de la documentación oficial de Microsoft:</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dyry2tuuenml" w:id="7"/>
      <w:bookmarkEnd w:id="7"/>
      <w:r w:rsidDel="00000000" w:rsidR="00000000" w:rsidRPr="00000000">
        <w:rPr>
          <w:rFonts w:ascii="Arial Unicode MS" w:cs="Arial Unicode MS" w:eastAsia="Arial Unicode MS" w:hAnsi="Arial Unicode MS"/>
          <w:b w:val="1"/>
          <w:bCs w:val="1"/>
          <w:sz w:val="34"/>
          <w:szCs w:val="34"/>
          <w:rtl w:val="0"/>
        </w:rPr>
        <w:t xml:space="preserve">❓ P1 — ¿Qué diferencia hay entre un Event Hubs Namespace y un Event Hub?</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R:</w:t>
      </w:r>
      <w:r w:rsidDel="00000000" w:rsidR="00000000" w:rsidRPr="00000000">
        <w:rPr>
          <w:rtl w:val="0"/>
        </w:rPr>
        <w:t xml:space="preserve"> Son dos niveles distintos de la arquitectura. El Namespace es el </w:t>
      </w:r>
      <w:r w:rsidDel="00000000" w:rsidR="00000000" w:rsidRPr="00000000">
        <w:rPr>
          <w:b w:val="1"/>
          <w:bCs w:val="1"/>
          <w:rtl w:val="0"/>
        </w:rPr>
        <w:t xml:space="preserve">contenedor administrativo</w:t>
      </w:r>
      <w:r w:rsidDel="00000000" w:rsidR="00000000" w:rsidRPr="00000000">
        <w:rPr>
          <w:rtl w:val="0"/>
        </w:rPr>
        <w:t xml:space="preserve"> que agrupa todos tus event hubs bajo una misma configuración de red, seguridad y capacidad. El Event Hub (instancia) es el </w:t>
      </w:r>
      <w:r w:rsidDel="00000000" w:rsidR="00000000" w:rsidRPr="00000000">
        <w:rPr>
          <w:b w:val="1"/>
          <w:bCs w:val="1"/>
          <w:rtl w:val="0"/>
        </w:rPr>
        <w:t xml:space="preserve">canal real de streaming</w:t>
      </w:r>
      <w:r w:rsidDel="00000000" w:rsidR="00000000" w:rsidRPr="00000000">
        <w:rPr>
          <w:rtl w:val="0"/>
        </w:rPr>
        <w:t xml:space="preserve"> donde los eventos fluyen. Event Hubs es un motor de streaming en tiempo real, no una base de datos.</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Microsoft Learn</w:t>
        </w:r>
      </w:hyperlink>
      <w:r w:rsidDel="00000000" w:rsidR="00000000" w:rsidRPr="00000000">
        <w:rPr>
          <w:rtl w:val="0"/>
        </w:rPr>
        <w:t xml:space="preserve"> Piénsalo así: el Namespace es el edificio, y cada Event Hub es una sala de conferencias dentro de ese edificio.</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f06kurthxy0" w:id="8"/>
      <w:bookmarkEnd w:id="8"/>
      <w:r w:rsidDel="00000000" w:rsidR="00000000" w:rsidRPr="00000000">
        <w:rPr>
          <w:rFonts w:ascii="Arial Unicode MS" w:cs="Arial Unicode MS" w:eastAsia="Arial Unicode MS" w:hAnsi="Arial Unicode MS"/>
          <w:b w:val="1"/>
          <w:bCs w:val="1"/>
          <w:sz w:val="34"/>
          <w:szCs w:val="34"/>
          <w:rtl w:val="0"/>
        </w:rPr>
        <w:t xml:space="preserve">❓ P2 — ¿Qué son las particiones y por qué son tan importantes?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R:</w:t>
      </w:r>
      <w:r w:rsidDel="00000000" w:rsidR="00000000" w:rsidRPr="00000000">
        <w:rPr>
          <w:rtl w:val="0"/>
        </w:rPr>
        <w:t xml:space="preserve"> Una partición es un mecanismo de organización de datos que habilita la publicación y el consumo en paralelo. Mientras que soporta procesamiento paralelo y escalado, la capacidad total sigue estando limitada por la asignación de escalado del namespace.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Microsoft Learn</w:t>
        </w:r>
      </w:hyperlink>
      <w:r w:rsidDel="00000000" w:rsidR="00000000" w:rsidRPr="00000000">
        <w:rPr>
          <w:rtl w:val="0"/>
        </w:rPr>
        <w:t xml:space="preserve"> El punto crítico es que el número de particiones determina el máximo número de consumidores paralelos que puedes tener. Si tienes 8 particiones, puedes tener como máximo 8 instancias de consumidor procesando eventos en paralelo; instancias adicionales más allá del número de particiones quedarán inactivas.</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Microsoft Learn</w:t>
        </w:r>
      </w:hyperlink>
      <w:r w:rsidDel="00000000" w:rsidR="00000000" w:rsidRPr="00000000">
        <w:rPr>
          <w:rtl w:val="0"/>
        </w:rPr>
        <w:t xml:space="preserve"> Además, </w:t>
      </w:r>
      <w:r w:rsidDel="00000000" w:rsidR="00000000" w:rsidRPr="00000000">
        <w:rPr>
          <w:b w:val="1"/>
          <w:bCs w:val="1"/>
          <w:rtl w:val="0"/>
        </w:rPr>
        <w:t xml:space="preserve">en el tier Standard las particiones son inmutables</w:t>
      </w:r>
      <w:r w:rsidDel="00000000" w:rsidR="00000000" w:rsidRPr="00000000">
        <w:rPr>
          <w:rtl w:val="0"/>
        </w:rPr>
        <w:t xml:space="preserve"> — no puedes cambiarlas después de crear el hub, por lo que planificar bien desde el inicio es esencial.</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nudszkc21sxr" w:id="9"/>
      <w:bookmarkEnd w:id="9"/>
      <w:r w:rsidDel="00000000" w:rsidR="00000000" w:rsidRPr="00000000">
        <w:rPr>
          <w:rFonts w:ascii="Arial Unicode MS" w:cs="Arial Unicode MS" w:eastAsia="Arial Unicode MS" w:hAnsi="Arial Unicode MS"/>
          <w:b w:val="1"/>
          <w:bCs w:val="1"/>
          <w:sz w:val="34"/>
          <w:szCs w:val="34"/>
          <w:rtl w:val="0"/>
        </w:rPr>
        <w:t xml:space="preserve">❓ P3 — ¿Cómo se calculan los Throughput Units (TU) necesarios?</w:t>
      </w:r>
    </w:p>
    <w:p w:rsidR="00000000" w:rsidDel="00000000" w:rsidP="00000000" w:rsidRDefault="00000000" w:rsidRPr="00000000" w14:paraId="00000042">
      <w:pPr>
        <w:spacing w:after="240" w:before="240" w:lineRule="auto"/>
        <w:rPr>
          <w:color w:val="1155cc"/>
          <w:u w:val="single"/>
        </w:rPr>
      </w:pPr>
      <w:r w:rsidDel="00000000" w:rsidR="00000000" w:rsidRPr="00000000">
        <w:rPr>
          <w:b w:val="1"/>
          <w:bCs w:val="1"/>
          <w:rtl w:val="0"/>
        </w:rPr>
        <w:t xml:space="preserve">R:</w:t>
      </w:r>
      <w:r w:rsidDel="00000000" w:rsidR="00000000" w:rsidRPr="00000000">
        <w:rPr>
          <w:rtl w:val="0"/>
        </w:rPr>
        <w:t xml:space="preserve"> El tier Standard soporta aproximadamente 1 MB/s de ingreso y 2 MB/s de egreso por partición. Para estimar las particiones, divide tu ingreso y egreso esperados entre las tasas aplicables por partición y toma el resultado mayor.</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Microsoft Learn</w:t>
        </w:r>
      </w:hyperlink>
      <w:r w:rsidDel="00000000" w:rsidR="00000000" w:rsidRPr="00000000">
        <w:rPr>
          <w:rFonts w:ascii="Arial Unicode MS" w:cs="Arial Unicode MS" w:eastAsia="Arial Unicode MS" w:hAnsi="Arial Unicode MS"/>
          <w:rtl w:val="0"/>
        </w:rPr>
        <w:t xml:space="preserve"> Una fórmula práctica: si tienes 3 grupos de consumidores con 2.5 MB/s cada uno, el egreso total es 7.5 MB/s → necesitas al menos 4 TU para egreso. Se recomienda agregar un buffer del 20-30% para picos, por lo que deberías aprovisionar 6-7 TU en ese ejemplo. Auto-Inflate escala los TU automáticamente hacia arriba, pero nunca hacia abajo — si el tráfico baja, sigues pagando el pico hasta que lo reduces manualmente.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Microsoft Learn</w:t>
        </w:r>
      </w:hyperlink>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hkdjtv2yy8db" w:id="10"/>
      <w:bookmarkEnd w:id="10"/>
      <w:r w:rsidDel="00000000" w:rsidR="00000000" w:rsidRPr="00000000">
        <w:rPr>
          <w:rFonts w:ascii="Arial Unicode MS" w:cs="Arial Unicode MS" w:eastAsia="Arial Unicode MS" w:hAnsi="Arial Unicode MS"/>
          <w:b w:val="1"/>
          <w:bCs w:val="1"/>
          <w:sz w:val="34"/>
          <w:szCs w:val="34"/>
          <w:rtl w:val="0"/>
        </w:rPr>
        <w:t xml:space="preserve">❓ P4 — ¿Qué son los Consumer Groups y para qué sirven?</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R:</w:t>
      </w:r>
      <w:r w:rsidDel="00000000" w:rsidR="00000000" w:rsidRPr="00000000">
        <w:rPr>
          <w:rtl w:val="0"/>
        </w:rPr>
        <w:t xml:space="preserve"> Un Consumer Group es una </w:t>
      </w:r>
      <w:r w:rsidDel="00000000" w:rsidR="00000000" w:rsidRPr="00000000">
        <w:rPr>
          <w:b w:val="1"/>
          <w:bCs w:val="1"/>
          <w:rtl w:val="0"/>
        </w:rPr>
        <w:t xml:space="preserve">vista independiente del stream completo</w:t>
      </w:r>
      <w:r w:rsidDel="00000000" w:rsidR="00000000" w:rsidRPr="00000000">
        <w:rPr>
          <w:rtl w:val="0"/>
        </w:rPr>
        <w:t xml:space="preserve"> del Event Hub. Cada consumidor (Sentinel, Azure Functions, Power BI) debe usar su propio Consumer Group para que pueda leer los eventos de forma independiente sin interferir con los otros. Isolate consumers by creating separate consumer groups with only one active receiver for each group.</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Microsoft Learn</w:t>
        </w:r>
      </w:hyperlink>
      <w:r w:rsidDel="00000000" w:rsidR="00000000" w:rsidRPr="00000000">
        <w:rPr>
          <w:rtl w:val="0"/>
        </w:rPr>
        <w:t xml:space="preserve"> En términos simples: si tienes 3 consumidores leyendo el mismo hub sin Consumer Groups separados, se "pelearían" por los mensajes. Con Consumer Groups separados, los 3 reciben todos los eventos completos de forma independiente.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6tg9cp4q3431" w:id="11"/>
      <w:bookmarkEnd w:id="11"/>
      <w:r w:rsidDel="00000000" w:rsidR="00000000" w:rsidRPr="00000000">
        <w:rPr>
          <w:rFonts w:ascii="Arial Unicode MS" w:cs="Arial Unicode MS" w:eastAsia="Arial Unicode MS" w:hAnsi="Arial Unicode MS"/>
          <w:b w:val="1"/>
          <w:bCs w:val="1"/>
          <w:sz w:val="34"/>
          <w:szCs w:val="34"/>
          <w:rtl w:val="0"/>
        </w:rPr>
        <w:t xml:space="preserve">❓ P5 — ¿Por cuánto tiempo se retienen los eventos en Event Hubs?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R:</w:t>
      </w:r>
      <w:r w:rsidDel="00000000" w:rsidR="00000000" w:rsidRPr="00000000">
        <w:rPr>
          <w:rtl w:val="0"/>
        </w:rPr>
        <w:t xml:space="preserve"> La retención es temporal y depende del tier. El tier Standard permite períodos de retención de mensajes de más de 24 horas, con un máximo de siete días. Los tiers Premium y Dedicated soportan hasta 90 días de retención.</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Microsoft Learn</w:t>
        </w:r>
      </w:hyperlink>
      <w:r w:rsidDel="00000000" w:rsidR="00000000" w:rsidRPr="00000000">
        <w:rPr>
          <w:rtl w:val="0"/>
        </w:rPr>
        <w:t xml:space="preserve"> Por eso, para cumplimiento regulatorio (ISO 27001, GDPR, SOC 2) que exige meses o años de retención de logs, es obligatorio habilitar </w:t>
      </w:r>
      <w:r w:rsidDel="00000000" w:rsidR="00000000" w:rsidRPr="00000000">
        <w:rPr>
          <w:b w:val="1"/>
          <w:bCs w:val="1"/>
          <w:rtl w:val="0"/>
        </w:rPr>
        <w:t xml:space="preserve">Event Hubs Capture</w:t>
      </w:r>
      <w:r w:rsidDel="00000000" w:rsidR="00000000" w:rsidRPr="00000000">
        <w:rPr>
          <w:rtl w:val="0"/>
        </w:rPr>
        <w:t xml:space="preserve"> para archivar los eventos en Blob Storage o ADLS Gen2 de forma permanente.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pyykzom2ojmy" w:id="12"/>
      <w:bookmarkEnd w:id="12"/>
      <w:r w:rsidDel="00000000" w:rsidR="00000000" w:rsidRPr="00000000">
        <w:rPr>
          <w:rFonts w:ascii="Arial Unicode MS" w:cs="Arial Unicode MS" w:eastAsia="Arial Unicode MS" w:hAnsi="Arial Unicode MS"/>
          <w:b w:val="1"/>
          <w:bCs w:val="1"/>
          <w:sz w:val="34"/>
          <w:szCs w:val="34"/>
          <w:rtl w:val="0"/>
        </w:rPr>
        <w:t xml:space="preserve">❓ P6 — ¿Cómo se autentica el acceso a Event Hubs: SAS o Managed Identity?</w:t>
      </w:r>
    </w:p>
    <w:p w:rsidR="00000000" w:rsidDel="00000000" w:rsidP="00000000" w:rsidRDefault="00000000" w:rsidRPr="00000000" w14:paraId="0000004B">
      <w:pPr>
        <w:spacing w:after="240" w:before="240" w:lineRule="auto"/>
        <w:rPr>
          <w:color w:val="1155cc"/>
          <w:u w:val="single"/>
        </w:rPr>
      </w:pPr>
      <w:r w:rsidDel="00000000" w:rsidR="00000000" w:rsidRPr="00000000">
        <w:rPr>
          <w:b w:val="1"/>
          <w:bCs w:val="1"/>
          <w:rtl w:val="0"/>
        </w:rPr>
        <w:t xml:space="preserve">R:</w:t>
      </w:r>
      <w:r w:rsidDel="00000000" w:rsidR="00000000" w:rsidRPr="00000000">
        <w:rPr>
          <w:rtl w:val="0"/>
        </w:rPr>
        <w:t xml:space="preserve"> Microsoft recomienda claramente Managed Identity sobre SAS. Se recomienda usar credenciales de Microsoft Entra ID cuando sea posible como mejor práctica de seguridad, en lugar de usar firmas de acceso compartido (SAS), que pueden ser comprometidas con mayor facilidad.</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Microsoft Learn</w:t>
        </w:r>
      </w:hyperlink>
      <w:r w:rsidDel="00000000" w:rsidR="00000000" w:rsidRPr="00000000">
        <w:rPr>
          <w:rtl w:val="0"/>
        </w:rPr>
        <w:t xml:space="preserve"> Desde el Well-Architected Framework: usa Managed Identities como el método de autenticación preferido para evitar almacenar credenciales. Cuando debes usar connection strings o tokens SAS, guárdalos de forma segura y rótalos regularmente. Almacena los connection strings de Event Hubs en Azure Key Vault y configura claves separadas para productores y consumidores para aplicar el principio de menor privilegio.</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Microsoft Learn</w:t>
        </w:r>
      </w:hyperlink>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idmm9g8y1dfd" w:id="13"/>
      <w:bookmarkEnd w:id="13"/>
      <w:r w:rsidDel="00000000" w:rsidR="00000000" w:rsidRPr="00000000">
        <w:rPr>
          <w:rFonts w:ascii="Arial Unicode MS" w:cs="Arial Unicode MS" w:eastAsia="Arial Unicode MS" w:hAnsi="Arial Unicode MS"/>
          <w:b w:val="1"/>
          <w:bCs w:val="1"/>
          <w:sz w:val="34"/>
          <w:szCs w:val="34"/>
          <w:rtl w:val="0"/>
        </w:rPr>
        <w:t xml:space="preserve">❓ P7 — ¿Qué pasa si se exceden los Throughput Units configurados?</w:t>
      </w:r>
    </w:p>
    <w:p w:rsidR="00000000" w:rsidDel="00000000" w:rsidP="00000000" w:rsidRDefault="00000000" w:rsidRPr="00000000" w14:paraId="0000004E">
      <w:pPr>
        <w:spacing w:after="240" w:before="240" w:lineRule="auto"/>
        <w:rPr>
          <w:color w:val="1155cc"/>
          <w:u w:val="single"/>
        </w:rPr>
      </w:pPr>
      <w:r w:rsidDel="00000000" w:rsidR="00000000" w:rsidRPr="00000000">
        <w:rPr>
          <w:b w:val="1"/>
          <w:bCs w:val="1"/>
          <w:rtl w:val="0"/>
        </w:rPr>
        <w:t xml:space="preserve">R:</w:t>
      </w:r>
      <w:r w:rsidDel="00000000" w:rsidR="00000000" w:rsidRPr="00000000">
        <w:rPr>
          <w:rtl w:val="0"/>
        </w:rPr>
        <w:t xml:space="preserve"> Si el throughput total de egreso o la tasa de eventos de egreso a través de todos los event hubs en un namespace excede la capacidad total de throughput units, los receptores son throttleados pero no se generan errores de throttling.</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Microsoft Learn</w:t>
        </w:r>
      </w:hyperlink>
      <w:r w:rsidDel="00000000" w:rsidR="00000000" w:rsidRPr="00000000">
        <w:rPr>
          <w:rtl w:val="0"/>
        </w:rPr>
        <w:t xml:space="preserve"> Esto significa que los consumidores se ralentizan silenciosamente. Para evitarlo: la función de Auto-Inflate de Event Hubs escala automáticamente incrementando el número de throughput units para satisfacer las necesidades de uso, previniendo escenarios de throttling sin que ninguna solicitud falle con errores de tipo ServerBusy.</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Azure Docs</w:t>
        </w:r>
      </w:hyperlink>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jg8z4ch8w6en" w:id="14"/>
      <w:bookmarkEnd w:id="14"/>
      <w:r w:rsidDel="00000000" w:rsidR="00000000" w:rsidRPr="00000000">
        <w:rPr>
          <w:rFonts w:ascii="Arial Unicode MS" w:cs="Arial Unicode MS" w:eastAsia="Arial Unicode MS" w:hAnsi="Arial Unicode MS"/>
          <w:b w:val="1"/>
          <w:bCs w:val="1"/>
          <w:sz w:val="34"/>
          <w:szCs w:val="34"/>
          <w:rtl w:val="0"/>
        </w:rPr>
        <w:t xml:space="preserve">❓ P8 — ¿Event Hubs tiene soporte nativo para Dead-Letter Queue?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R:</w:t>
      </w:r>
      <w:r w:rsidDel="00000000" w:rsidR="00000000" w:rsidRPr="00000000">
        <w:rPr>
          <w:rtl w:val="0"/>
        </w:rPr>
        <w:t xml:space="preserve"> No, y es una de las diferencias más importantes respecto a Service Bus. Un canal de dead-letter no es una característica nativa en Event Hubs ni en Kafka. Esta funcionalidad no es un elemento innato en Event Hubs y solo se agrega del lado del consumidor para fabricar un comportamiento similar.</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Microsoft Learn</w:t>
        </w:r>
      </w:hyperlink>
      <w:r w:rsidDel="00000000" w:rsidR="00000000" w:rsidRPr="00000000">
        <w:rPr>
          <w:rtl w:val="0"/>
        </w:rPr>
        <w:t xml:space="preserve"> La solución recomendada es: publicar el evento fallido a un Event Hub diferente para que el flujo existente no se interrumpa — se mueve fuera del flujo principal y puede procesarse después o por un proceso diferente.</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Microsoft Learn</w:t>
        </w:r>
      </w:hyperlink>
      <w:r w:rsidDel="00000000" w:rsidR="00000000" w:rsidRPr="00000000">
        <w:rPr>
          <w:rtl w:val="0"/>
        </w:rPr>
        <w:t xml:space="preserve"> Por esta razón, si tu caso de uso requiere procesamiento transaccional mensaje a mensaje, Service Bus puede ser una mejor opción.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i6q4kfto4r0k" w:id="15"/>
      <w:bookmarkEnd w:id="15"/>
      <w:r w:rsidDel="00000000" w:rsidR="00000000" w:rsidRPr="00000000">
        <w:rPr>
          <w:rFonts w:ascii="Arial Unicode MS" w:cs="Arial Unicode MS" w:eastAsia="Arial Unicode MS" w:hAnsi="Arial Unicode MS"/>
          <w:b w:val="1"/>
          <w:bCs w:val="1"/>
          <w:sz w:val="34"/>
          <w:szCs w:val="34"/>
          <w:rtl w:val="0"/>
        </w:rPr>
        <w:t xml:space="preserve">❓ P9 — ¿Puedo usar Event Hubs con Apache Kafka?</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R:</w:t>
      </w:r>
      <w:r w:rsidDel="00000000" w:rsidR="00000000" w:rsidRPr="00000000">
        <w:rPr>
          <w:rtl w:val="0"/>
        </w:rPr>
        <w:t xml:space="preserve"> Sí, Event Hubs incluye un endpoint compatible con el protocolo de Kafka de forma nativa. Event Hubs soporta múltiples protocolos para flexibilidad entre distintos tipos de clientes: AMQP requiere un socket bidireccional persistente.</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Microsoft Learn</w:t>
        </w:r>
      </w:hyperlink>
      <w:r w:rsidDel="00000000" w:rsidR="00000000" w:rsidRPr="00000000">
        <w:rPr>
          <w:rtl w:val="0"/>
        </w:rPr>
        <w:t xml:space="preserve"> Los consumidores Kafka funcionan con el mismo modelo de particiones: los consumidores Kafka usan el protocolo de coordinación de grupos (group.id) en lugar de epochs de AMQP, pero el modelo de propiedad de particiones es equivalente: cada partición es asignada a exactamente un miembro consumidor dentro de un consumer group a la vez.</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Microsoft Learn</w:t>
        </w:r>
      </w:hyperlink>
      <w:r w:rsidDel="00000000" w:rsidR="00000000" w:rsidRPr="00000000">
        <w:rPr>
          <w:rtl w:val="0"/>
        </w:rPr>
        <w:t xml:space="preserve"> Esto permite migrar cargas de trabajo Kafka existentes a Event Hubs sin cambiar el código del productor o consumidor.</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hwdpadl9debc" w:id="16"/>
      <w:bookmarkEnd w:id="16"/>
      <w:r w:rsidDel="00000000" w:rsidR="00000000" w:rsidRPr="00000000">
        <w:rPr>
          <w:rFonts w:ascii="Arial Unicode MS" w:cs="Arial Unicode MS" w:eastAsia="Arial Unicode MS" w:hAnsi="Arial Unicode MS"/>
          <w:b w:val="1"/>
          <w:bCs w:val="1"/>
          <w:sz w:val="34"/>
          <w:szCs w:val="34"/>
          <w:rtl w:val="0"/>
        </w:rPr>
        <w:t xml:space="preserve">❓ P10 — ¿Cuáles son las mejores prácticas de seguridad recomendadas por Microsoft?</w:t>
      </w:r>
    </w:p>
    <w:p w:rsidR="00000000" w:rsidDel="00000000" w:rsidP="00000000" w:rsidRDefault="00000000" w:rsidRPr="00000000" w14:paraId="00000057">
      <w:pPr>
        <w:spacing w:after="240" w:before="240" w:lineRule="auto"/>
        <w:rPr>
          <w:color w:val="1155cc"/>
          <w:u w:val="single"/>
        </w:rPr>
      </w:pPr>
      <w:r w:rsidDel="00000000" w:rsidR="00000000" w:rsidRPr="00000000">
        <w:rPr>
          <w:b w:val="1"/>
          <w:bCs w:val="1"/>
          <w:rtl w:val="0"/>
        </w:rPr>
        <w:t xml:space="preserve">R:</w:t>
      </w:r>
      <w:r w:rsidDel="00000000" w:rsidR="00000000" w:rsidRPr="00000000">
        <w:rPr>
          <w:rtl w:val="0"/>
        </w:rPr>
        <w:t xml:space="preserve"> El Azure Well-Architected Framework resume las recomendaciones clave: configura el logging de diagnóstico para capturar eventos de autenticación, patrones de acceso al plano de datos y cambios de configuración. Implementa identidad y gestión de accesos usando Microsoft Entra ID como el proveedor de identidad confiable, y configura autorización basada en roles con políticas SendOnly y ListenOnly, separando los permisos de publicador y consumidor.</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Microsoft Learn</w:t>
        </w:r>
      </w:hyperlink>
      <w:r w:rsidDel="00000000" w:rsidR="00000000" w:rsidRPr="00000000">
        <w:rPr>
          <w:rtl w:val="0"/>
        </w:rPr>
        <w:t xml:space="preserve"> Adicionalmente: cuando se crea un Event Hubs Namespace, se crea automáticamente una regla de política llamada RootManageSharedAccessKey. Se recomienda tratar esta regla como una cuenta root administrativa y no usarla en tus aplicaciones.</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Microsoft Learn</w:t>
        </w:r>
      </w:hyperlink>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Espero que estas preguntas y respuestas te sean de mucha utilidad. ¡Cualquier duda adicional con gusto te apoyo! 😊</w:t>
      </w:r>
    </w:p>
    <w:p w:rsidR="00000000" w:rsidDel="00000000" w:rsidP="00000000" w:rsidRDefault="00000000" w:rsidRPr="00000000" w14:paraId="0000005A">
      <w:pPr>
        <w:spacing w:after="240" w:before="240" w:lineRule="auto"/>
        <w:rPr/>
      </w:pPr>
      <w:r w:rsidDel="00000000" w:rsidR="00000000" w:rsidRPr="00000000">
        <w:rPr>
          <w:rtl w:val="0"/>
        </w:rPr>
        <w:t xml:space="preserve">Con un solo servico de Event Hub puedo confirgurar eventos de EntraID de forma muy basica?</w:t>
      </w:r>
    </w:p>
    <w:p w:rsidR="00000000" w:rsidDel="00000000" w:rsidP="00000000" w:rsidRDefault="00000000" w:rsidRPr="00000000" w14:paraId="0000005B">
      <w:pPr>
        <w:rPr/>
      </w:pPr>
      <w:r w:rsidDel="00000000" w:rsidR="00000000" w:rsidRPr="00000000">
        <w:rPr>
          <w:rtl w:val="0"/>
        </w:rPr>
        <w:t xml:space="preserve">9:56 p.m.</w:t>
      </w:r>
    </w:p>
    <w:p w:rsidR="00000000" w:rsidDel="00000000" w:rsidP="00000000" w:rsidRDefault="00000000" w:rsidRPr="00000000" w14:paraId="0000005C">
      <w:pPr>
        <w:spacing w:after="240" w:before="240" w:lineRule="auto"/>
        <w:rPr/>
      </w:pPr>
      <w:r w:rsidDel="00000000" w:rsidR="00000000" w:rsidRPr="00000000">
        <w:rPr>
          <w:rtl w:val="0"/>
        </w:rPr>
        <w:t xml:space="preserve">¡Sí, absolutamente! Con un solo Event Hub puedes tener una configuración básica y funcional. Te explico cómo quedaría:</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4bj505isfxju" w:id="17"/>
      <w:bookmarkEnd w:id="17"/>
      <w:r w:rsidDel="00000000" w:rsidR="00000000" w:rsidRPr="00000000">
        <w:rPr>
          <w:b w:val="1"/>
          <w:bCs w:val="1"/>
          <w:sz w:val="34"/>
          <w:szCs w:val="34"/>
          <w:rtl w:val="0"/>
        </w:rPr>
        <w:t xml:space="preserve">Arquitectura Simplificada (1 solo Event Hub)</w:t>
      </w:r>
    </w:p>
    <w:p w:rsidR="00000000" w:rsidDel="00000000" w:rsidP="00000000" w:rsidRDefault="00000000" w:rsidRPr="00000000" w14:paraId="0000005F">
      <w:pPr>
        <w:spacing w:after="240" w:before="240" w:lineRule="auto"/>
        <w:rPr/>
      </w:pPr>
      <w:r w:rsidDel="00000000" w:rsidR="00000000" w:rsidRPr="00000000">
        <w:rPr>
          <w:rtl w:val="0"/>
        </w:rPr>
        <w:t xml:space="preserve">En lugar de crear 5 hubs separados (uno por categoría de log), todo va a </w:t>
      </w:r>
      <w:r w:rsidDel="00000000" w:rsidR="00000000" w:rsidRPr="00000000">
        <w:rPr>
          <w:b w:val="1"/>
          <w:bCs w:val="1"/>
          <w:rtl w:val="0"/>
        </w:rPr>
        <w:t xml:space="preserve">un único hub</w:t>
      </w:r>
      <w:r w:rsidDel="00000000" w:rsidR="00000000" w:rsidRPr="00000000">
        <w:rPr>
          <w:rtl w:val="0"/>
        </w:rPr>
        <w:t xml:space="preserve">:</w:t>
      </w:r>
    </w:p>
    <w:p w:rsidR="00000000" w:rsidDel="00000000" w:rsidP="00000000" w:rsidRDefault="00000000" w:rsidRPr="00000000" w14:paraId="00000060">
      <w:pPr>
        <w:rPr>
          <w:color w:val="14181f"/>
        </w:rPr>
      </w:pPr>
      <w:r w:rsidDel="00000000" w:rsidR="00000000" w:rsidRPr="00000000">
        <w:rPr>
          <w:color w:val="14181f"/>
          <w:rtl w:val="0"/>
        </w:rPr>
        <w:t xml:space="preserve">Entra ID</w:t>
      </w:r>
    </w:p>
    <w:p w:rsidR="00000000" w:rsidDel="00000000" w:rsidP="00000000" w:rsidRDefault="00000000" w:rsidRPr="00000000" w14:paraId="00000061">
      <w:pPr>
        <w:rPr>
          <w:color w:val="14181f"/>
        </w:rPr>
      </w:pPr>
      <w:r w:rsidDel="00000000" w:rsidR="00000000" w:rsidRPr="00000000">
        <w:rPr>
          <w:rFonts w:ascii="Arial Unicode MS" w:cs="Arial Unicode MS" w:eastAsia="Arial Unicode MS" w:hAnsi="Arial Unicode MS"/>
          <w:color w:val="14181f"/>
          <w:rtl w:val="0"/>
        </w:rPr>
        <w:t xml:space="preserve">    ↓  Diagnostic Settings</w:t>
      </w:r>
    </w:p>
    <w:p w:rsidR="00000000" w:rsidDel="00000000" w:rsidP="00000000" w:rsidRDefault="00000000" w:rsidRPr="00000000" w14:paraId="00000062">
      <w:pPr>
        <w:rPr>
          <w:color w:val="14181f"/>
        </w:rPr>
      </w:pPr>
      <w:r w:rsidDel="00000000" w:rsidR="00000000" w:rsidRPr="00000000">
        <w:rPr>
          <w:color w:val="14181f"/>
          <w:rtl w:val="0"/>
        </w:rPr>
        <w:t xml:space="preserve">[Namespace]</w:t>
      </w:r>
    </w:p>
    <w:p w:rsidR="00000000" w:rsidDel="00000000" w:rsidP="00000000" w:rsidRDefault="00000000" w:rsidRPr="00000000" w14:paraId="00000063">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064">
      <w:pPr>
        <w:rPr>
          <w:color w:val="14181f"/>
        </w:rPr>
      </w:pPr>
      <w:r w:rsidDel="00000000" w:rsidR="00000000" w:rsidRPr="00000000">
        <w:rPr>
          <w:rFonts w:ascii="Arial Unicode MS" w:cs="Arial Unicode MS" w:eastAsia="Arial Unicode MS" w:hAnsi="Arial Unicode MS"/>
          <w:color w:val="14181f"/>
          <w:rtl w:val="0"/>
        </w:rPr>
        <w:t xml:space="preserve">[1 solo Event Hub]  ← AuditLogs + SignInLogs + RiskEvents... todo junto</w:t>
      </w:r>
    </w:p>
    <w:p w:rsidR="00000000" w:rsidDel="00000000" w:rsidP="00000000" w:rsidRDefault="00000000" w:rsidRPr="00000000" w14:paraId="00000065">
      <w:pPr>
        <w:rPr>
          <w:color w:val="14181f"/>
        </w:rPr>
      </w:pPr>
      <w:r w:rsidDel="00000000" w:rsidR="00000000" w:rsidRPr="00000000">
        <w:rPr>
          <w:rFonts w:ascii="Arial Unicode MS" w:cs="Arial Unicode MS" w:eastAsia="Arial Unicode MS" w:hAnsi="Arial Unicode MS"/>
          <w:color w:val="14181f"/>
          <w:rtl w:val="0"/>
        </w:rPr>
        <w:t xml:space="preserve">    ↓</w:t>
      </w:r>
    </w:p>
    <w:p w:rsidR="00000000" w:rsidDel="00000000" w:rsidP="00000000" w:rsidRDefault="00000000" w:rsidRPr="00000000" w14:paraId="00000066">
      <w:pPr>
        <w:rPr>
          <w:color w:val="14181f"/>
        </w:rPr>
      </w:pPr>
      <w:r w:rsidDel="00000000" w:rsidR="00000000" w:rsidRPr="00000000">
        <w:rPr>
          <w:color w:val="14181f"/>
          <w:rtl w:val="0"/>
        </w:rPr>
        <w:t xml:space="preserve">[Sentinel / Log Analytics]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sm0u55ew931e" w:id="18"/>
      <w:bookmarkEnd w:id="18"/>
      <w:r w:rsidDel="00000000" w:rsidR="00000000" w:rsidRPr="00000000">
        <w:rPr>
          <w:b w:val="1"/>
          <w:bCs w:val="1"/>
          <w:sz w:val="34"/>
          <w:szCs w:val="34"/>
          <w:rtl w:val="0"/>
        </w:rPr>
        <w:t xml:space="preserve">Lo que necesitas mínimamente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4.0141990447914"/>
        <w:gridCol w:w="3541.1570930682847"/>
        <w:gridCol w:w="2150.340518910546"/>
        <w:tblGridChange w:id="0">
          <w:tblGrid>
            <w:gridCol w:w="3334.0141990447914"/>
            <w:gridCol w:w="3541.1570930682847"/>
            <w:gridCol w:w="2150.3405189105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Configuración Básica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Costo Aproximado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Event Hubs Namespace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Tier Standard, 1 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~$10 USD/mes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1 Event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2 particiones, 1 día retención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Incluido en el TU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Diagnostic Setting en Entra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Todas las categorías → mismo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Gratis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Sentinel / Log Analytics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Data Connector activo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Según GB ingeridos</w:t>
            </w:r>
          </w:p>
        </w:tc>
      </w:tr>
    </w:tbl>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pu9blcjlnlvr" w:id="19"/>
      <w:bookmarkEnd w:id="19"/>
      <w:r w:rsidDel="00000000" w:rsidR="00000000" w:rsidRPr="00000000">
        <w:rPr>
          <w:b w:val="1"/>
          <w:bCs w:val="1"/>
          <w:sz w:val="34"/>
          <w:szCs w:val="34"/>
          <w:rtl w:val="0"/>
        </w:rPr>
        <w:t xml:space="preserve">Configuración paso a paso (versión mínima)</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Paso 1 — Crear el Namespace:</w:t>
      </w:r>
    </w:p>
    <w:p w:rsidR="00000000" w:rsidDel="00000000" w:rsidP="00000000" w:rsidRDefault="00000000" w:rsidRPr="00000000" w14:paraId="0000007B">
      <w:pPr>
        <w:rPr/>
      </w:pPr>
      <w:r w:rsidDel="00000000" w:rsidR="00000000" w:rsidRPr="00000000">
        <w:rPr>
          <w:rtl w:val="0"/>
        </w:rPr>
        <w:t xml:space="preserve">bash</w:t>
      </w:r>
    </w:p>
    <w:p w:rsidR="00000000" w:rsidDel="00000000" w:rsidP="00000000" w:rsidRDefault="00000000" w:rsidRPr="00000000" w14:paraId="0000007C">
      <w:pPr>
        <w:rPr>
          <w:color w:val="14181f"/>
        </w:rPr>
      </w:pPr>
      <w:r w:rsidDel="00000000" w:rsidR="00000000" w:rsidRPr="00000000">
        <w:rPr>
          <w:color w:val="14181f"/>
          <w:rtl w:val="0"/>
        </w:rPr>
        <w:t xml:space="preserve">az eventhubs namespace create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D">
      <w:pPr>
        <w:rPr>
          <w:color w:val="14181f"/>
        </w:rPr>
      </w:pPr>
      <w:r w:rsidDel="00000000" w:rsidR="00000000" w:rsidRPr="00000000">
        <w:rPr>
          <w:color w:val="14181f"/>
          <w:rtl w:val="0"/>
        </w:rPr>
        <w:t xml:space="preserve">  --name </w:t>
      </w:r>
      <w:r w:rsidDel="00000000" w:rsidR="00000000" w:rsidRPr="00000000">
        <w:rPr>
          <w:color w:val="008000"/>
          <w:rtl w:val="0"/>
        </w:rPr>
        <w:t xml:space="preserve">"ehns-entra-basico"</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E">
      <w:pPr>
        <w:rPr>
          <w:color w:val="14181f"/>
        </w:rPr>
      </w:pPr>
      <w:r w:rsidDel="00000000" w:rsidR="00000000" w:rsidRPr="00000000">
        <w:rPr>
          <w:color w:val="14181f"/>
          <w:rtl w:val="0"/>
        </w:rPr>
        <w:t xml:space="preserve">  --resource-group </w:t>
      </w:r>
      <w:r w:rsidDel="00000000" w:rsidR="00000000" w:rsidRPr="00000000">
        <w:rPr>
          <w:color w:val="008000"/>
          <w:rtl w:val="0"/>
        </w:rPr>
        <w:t xml:space="preserve">"rg-entra-demo"</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F">
      <w:pPr>
        <w:rPr>
          <w:color w:val="14181f"/>
        </w:rPr>
      </w:pPr>
      <w:r w:rsidDel="00000000" w:rsidR="00000000" w:rsidRPr="00000000">
        <w:rPr>
          <w:color w:val="14181f"/>
          <w:rtl w:val="0"/>
        </w:rPr>
        <w:t xml:space="preserve">  --location </w:t>
      </w:r>
      <w:r w:rsidDel="00000000" w:rsidR="00000000" w:rsidRPr="00000000">
        <w:rPr>
          <w:color w:val="008000"/>
          <w:rtl w:val="0"/>
        </w:rPr>
        <w:t xml:space="preserve">"eastus2"</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0">
      <w:pPr>
        <w:rPr>
          <w:color w:val="14181f"/>
        </w:rPr>
      </w:pPr>
      <w:r w:rsidDel="00000000" w:rsidR="00000000" w:rsidRPr="00000000">
        <w:rPr>
          <w:color w:val="14181f"/>
          <w:rtl w:val="0"/>
        </w:rPr>
        <w:t xml:space="preserve">  --sku Standard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1">
      <w:pPr>
        <w:rPr>
          <w:color w:val="008080"/>
        </w:rPr>
      </w:pPr>
      <w:r w:rsidDel="00000000" w:rsidR="00000000" w:rsidRPr="00000000">
        <w:rPr>
          <w:color w:val="14181f"/>
          <w:rtl w:val="0"/>
        </w:rPr>
        <w:t xml:space="preserve">  --capacity </w:t>
      </w:r>
      <w:r w:rsidDel="00000000" w:rsidR="00000000" w:rsidRPr="00000000">
        <w:rPr>
          <w:color w:val="008080"/>
          <w:rtl w:val="0"/>
        </w:rPr>
        <w:t xml:space="preserve">1</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Paso 2 — Crear el único Event Hub:</w:t>
      </w:r>
    </w:p>
    <w:p w:rsidR="00000000" w:rsidDel="00000000" w:rsidP="00000000" w:rsidRDefault="00000000" w:rsidRPr="00000000" w14:paraId="00000083">
      <w:pPr>
        <w:rPr/>
      </w:pPr>
      <w:r w:rsidDel="00000000" w:rsidR="00000000" w:rsidRPr="00000000">
        <w:rPr>
          <w:rtl w:val="0"/>
        </w:rPr>
        <w:t xml:space="preserve">bash</w:t>
      </w:r>
    </w:p>
    <w:p w:rsidR="00000000" w:rsidDel="00000000" w:rsidP="00000000" w:rsidRDefault="00000000" w:rsidRPr="00000000" w14:paraId="00000084">
      <w:pPr>
        <w:rPr>
          <w:color w:val="14181f"/>
        </w:rPr>
      </w:pPr>
      <w:r w:rsidDel="00000000" w:rsidR="00000000" w:rsidRPr="00000000">
        <w:rPr>
          <w:color w:val="14181f"/>
          <w:rtl w:val="0"/>
        </w:rPr>
        <w:t xml:space="preserve">az eventhubs eventhub create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5">
      <w:pPr>
        <w:rPr>
          <w:color w:val="14181f"/>
        </w:rPr>
      </w:pPr>
      <w:r w:rsidDel="00000000" w:rsidR="00000000" w:rsidRPr="00000000">
        <w:rPr>
          <w:color w:val="14181f"/>
          <w:rtl w:val="0"/>
        </w:rPr>
        <w:t xml:space="preserve">  --name </w:t>
      </w:r>
      <w:r w:rsidDel="00000000" w:rsidR="00000000" w:rsidRPr="00000000">
        <w:rPr>
          <w:color w:val="008000"/>
          <w:rtl w:val="0"/>
        </w:rPr>
        <w:t xml:space="preserve">"eh-entra-todos"</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6">
      <w:pPr>
        <w:rPr>
          <w:color w:val="14181f"/>
        </w:rPr>
      </w:pPr>
      <w:r w:rsidDel="00000000" w:rsidR="00000000" w:rsidRPr="00000000">
        <w:rPr>
          <w:color w:val="14181f"/>
          <w:rtl w:val="0"/>
        </w:rPr>
        <w:t xml:space="preserve">  --namespace-name </w:t>
      </w:r>
      <w:r w:rsidDel="00000000" w:rsidR="00000000" w:rsidRPr="00000000">
        <w:rPr>
          <w:color w:val="008000"/>
          <w:rtl w:val="0"/>
        </w:rPr>
        <w:t xml:space="preserve">"ehns-entra-basico"</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7">
      <w:pPr>
        <w:rPr>
          <w:color w:val="14181f"/>
        </w:rPr>
      </w:pPr>
      <w:r w:rsidDel="00000000" w:rsidR="00000000" w:rsidRPr="00000000">
        <w:rPr>
          <w:color w:val="14181f"/>
          <w:rtl w:val="0"/>
        </w:rPr>
        <w:t xml:space="preserve">  --resource-group </w:t>
      </w:r>
      <w:r w:rsidDel="00000000" w:rsidR="00000000" w:rsidRPr="00000000">
        <w:rPr>
          <w:color w:val="008000"/>
          <w:rtl w:val="0"/>
        </w:rPr>
        <w:t xml:space="preserve">"rg-entra-demo"</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8">
      <w:pPr>
        <w:rPr>
          <w:color w:val="14181f"/>
        </w:rPr>
      </w:pPr>
      <w:r w:rsidDel="00000000" w:rsidR="00000000" w:rsidRPr="00000000">
        <w:rPr>
          <w:color w:val="14181f"/>
          <w:rtl w:val="0"/>
        </w:rPr>
        <w:t xml:space="preserve">  --partition-count </w:t>
      </w:r>
      <w:r w:rsidDel="00000000" w:rsidR="00000000" w:rsidRPr="00000000">
        <w:rPr>
          <w:color w:val="008080"/>
          <w:rtl w:val="0"/>
        </w:rPr>
        <w:t xml:space="preserve">2</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9">
      <w:pPr>
        <w:rPr>
          <w:color w:val="008080"/>
        </w:rPr>
      </w:pPr>
      <w:r w:rsidDel="00000000" w:rsidR="00000000" w:rsidRPr="00000000">
        <w:rPr>
          <w:color w:val="14181f"/>
          <w:rtl w:val="0"/>
        </w:rPr>
        <w:t xml:space="preserve">  --message-retention </w:t>
      </w:r>
      <w:r w:rsidDel="00000000" w:rsidR="00000000" w:rsidRPr="00000000">
        <w:rPr>
          <w:color w:val="008080"/>
          <w:rtl w:val="0"/>
        </w:rPr>
        <w:t xml:space="preserve">1</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Paso 3 — Diagnostic Settings en Entra ID (Portal):</w:t>
      </w:r>
      <w:r w:rsidDel="00000000" w:rsidR="00000000" w:rsidRPr="00000000">
        <w:rPr>
          <w:rFonts w:ascii="Arial Unicode MS" w:cs="Arial Unicode MS" w:eastAsia="Arial Unicode MS" w:hAnsi="Arial Unicode MS"/>
          <w:rtl w:val="0"/>
        </w:rPr>
        <w:t xml:space="preserve"> En Azure Portal → Entra ID → Diagnostic Settings → Add:</w:t>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Seleccionar: AuditLogs ✅ SignInLogs ✅</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Destino: Stream to Event Hub → seleccionar tu namespace y hub</w:t>
      </w:r>
    </w:p>
    <w:p w:rsidR="00000000" w:rsidDel="00000000" w:rsidP="00000000" w:rsidRDefault="00000000" w:rsidRPr="00000000" w14:paraId="0000008D">
      <w:pPr>
        <w:numPr>
          <w:ilvl w:val="0"/>
          <w:numId w:val="1"/>
        </w:numPr>
        <w:spacing w:after="240" w:before="0" w:beforeAutospacing="0" w:lineRule="auto"/>
        <w:ind w:left="720" w:hanging="360"/>
      </w:pPr>
      <w:r w:rsidDel="00000000" w:rsidR="00000000" w:rsidRPr="00000000">
        <w:rPr>
          <w:rtl w:val="0"/>
        </w:rPr>
        <w:t xml:space="preserve">Guardar</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6e1w9mqz08nr" w:id="20"/>
      <w:bookmarkEnd w:id="20"/>
      <w:r w:rsidDel="00000000" w:rsidR="00000000" w:rsidRPr="00000000">
        <w:rPr>
          <w:b w:val="1"/>
          <w:bCs w:val="1"/>
          <w:sz w:val="34"/>
          <w:szCs w:val="34"/>
          <w:rtl w:val="0"/>
        </w:rPr>
        <w:t xml:space="preserve">¿Qué pierdes con 1 solo hub vs. la arquitectura completa?</w:t>
      </w:r>
    </w:p>
    <w:tbl>
      <w:tblPr>
        <w:tblStyle w:val="Table3"/>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30"/>
        <w:gridCol w:w="1730"/>
        <w:gridCol w:w="2105"/>
        <w:tblGridChange w:id="0">
          <w:tblGrid>
            <w:gridCol w:w="4430"/>
            <w:gridCol w:w="1730"/>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Capacidad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1 Hub (básico)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5 Hubs (completo)</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Separar retención por tipo de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Consumidores independientes por categoría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Control granular de acceso por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Costo mensual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~$10 USD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~$50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Complejidad de configuración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Muy baja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Media</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Funciona para POC / Demo / 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Perfecto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Excesivo</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Recomendado para Producción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 Limitado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Sí</w:t>
            </w:r>
          </w:p>
        </w:tc>
      </w:tr>
    </w:tbl>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pvqhuwvczjxn" w:id="21"/>
      <w:bookmarkEnd w:id="21"/>
      <w:r w:rsidDel="00000000" w:rsidR="00000000" w:rsidRPr="00000000">
        <w:rPr>
          <w:b w:val="1"/>
          <w:bCs w:val="1"/>
          <w:sz w:val="34"/>
          <w:szCs w:val="34"/>
          <w:rtl w:val="0"/>
        </w:rPr>
        <w:t xml:space="preserve">Recomendación según tu caso de uso</w:t>
      </w:r>
    </w:p>
    <w:p w:rsidR="00000000" w:rsidDel="00000000" w:rsidP="00000000" w:rsidRDefault="00000000" w:rsidRPr="00000000" w14:paraId="000000AA">
      <w:pPr>
        <w:numPr>
          <w:ilvl w:val="0"/>
          <w:numId w:val="2"/>
        </w:numPr>
        <w:spacing w:after="0" w:afterAutospacing="0" w:before="240" w:lineRule="auto"/>
        <w:ind w:left="720" w:hanging="360"/>
      </w:pPr>
      <w:r w:rsidDel="00000000" w:rsidR="00000000" w:rsidRPr="00000000">
        <w:rPr>
          <w:b w:val="1"/>
          <w:bCs w:val="1"/>
          <w:rtl w:val="0"/>
        </w:rPr>
        <w:t xml:space="preserve">POC, Demo o ambiente de Desarrollo</w:t>
      </w:r>
      <w:r w:rsidDel="00000000" w:rsidR="00000000" w:rsidRPr="00000000">
        <w:rPr>
          <w:rFonts w:ascii="Arial Unicode MS" w:cs="Arial Unicode MS" w:eastAsia="Arial Unicode MS" w:hAnsi="Arial Unicode MS"/>
          <w:rtl w:val="0"/>
        </w:rPr>
        <w:t xml:space="preserve"> → 1 hub es más que suficiente. Validas el flujo completo sin complejidad.</w:t>
      </w:r>
    </w:p>
    <w:p w:rsidR="00000000" w:rsidDel="00000000" w:rsidP="00000000" w:rsidRDefault="00000000" w:rsidRPr="00000000" w14:paraId="000000AB">
      <w:pPr>
        <w:numPr>
          <w:ilvl w:val="0"/>
          <w:numId w:val="2"/>
        </w:numPr>
        <w:spacing w:after="240" w:before="0" w:beforeAutospacing="0" w:lineRule="auto"/>
        <w:ind w:left="720" w:hanging="360"/>
      </w:pPr>
      <w:r w:rsidDel="00000000" w:rsidR="00000000" w:rsidRPr="00000000">
        <w:rPr>
          <w:b w:val="1"/>
          <w:bCs w:val="1"/>
          <w:rtl w:val="0"/>
        </w:rPr>
        <w:t xml:space="preserve">Producción con cumplimiento regulatorio</w:t>
      </w:r>
      <w:r w:rsidDel="00000000" w:rsidR="00000000" w:rsidRPr="00000000">
        <w:rPr>
          <w:rFonts w:ascii="Arial Unicode MS" w:cs="Arial Unicode MS" w:eastAsia="Arial Unicode MS" w:hAnsi="Arial Unicode MS"/>
          <w:rtl w:val="0"/>
        </w:rPr>
        <w:t xml:space="preserve"> → Lo ideal es separar los hubs por categoría para tener control granular, retenciones independientes y mejor seguridad.</w:t>
      </w:r>
    </w:p>
    <w:p w:rsidR="00000000" w:rsidDel="00000000" w:rsidP="00000000" w:rsidRDefault="00000000" w:rsidRPr="00000000" w14:paraId="000000AC">
      <w:pPr>
        <w:spacing w:after="240" w:before="240" w:lineRule="auto"/>
        <w:rPr/>
      </w:pPr>
      <w:r w:rsidDel="00000000" w:rsidR="00000000" w:rsidRPr="00000000">
        <w:rPr>
          <w:rtl w:val="0"/>
        </w:rPr>
        <w:t xml:space="preserve">La buena noticia es que puedes </w:t>
      </w:r>
      <w:r w:rsidDel="00000000" w:rsidR="00000000" w:rsidRPr="00000000">
        <w:rPr>
          <w:b w:val="1"/>
          <w:bCs w:val="1"/>
          <w:rtl w:val="0"/>
        </w:rPr>
        <w:t xml:space="preserve">empezar con 1 hub básico</w:t>
      </w:r>
      <w:r w:rsidDel="00000000" w:rsidR="00000000" w:rsidRPr="00000000">
        <w:rPr>
          <w:rtl w:val="0"/>
        </w:rPr>
        <w:t xml:space="preserve">, validar que todo funciona, y después escalar a la arquitectura completa sin perder la configuración bas</w:t>
      </w:r>
    </w:p>
    <w:p w:rsidR="00000000" w:rsidDel="00000000" w:rsidP="00000000" w:rsidRDefault="00000000" w:rsidRPr="00000000" w14:paraId="000000A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learn.microsoft.com/en-us/azure/event-hubs/event-hubs-capture-overview" TargetMode="External"/><Relationship Id="rId42" Type="http://schemas.openxmlformats.org/officeDocument/2006/relationships/hyperlink" Target="https://learn.microsoft.com/en-us/azure/event-hubs/event-hubs-faq" TargetMode="External"/><Relationship Id="rId41" Type="http://schemas.openxmlformats.org/officeDocument/2006/relationships/hyperlink" Target="https://learn.microsoft.com/en-us/azure/event-hubs/event-hubs-capture-overview" TargetMode="External"/><Relationship Id="rId44" Type="http://schemas.openxmlformats.org/officeDocument/2006/relationships/hyperlink" Target="https://docs.azure.cn/en-us/event-hubs/event-hubs-faq" TargetMode="External"/><Relationship Id="rId43" Type="http://schemas.openxmlformats.org/officeDocument/2006/relationships/hyperlink" Target="https://learn.microsoft.com/en-us/azure/event-hubs/event-hubs-faq" TargetMode="External"/><Relationship Id="rId46" Type="http://schemas.openxmlformats.org/officeDocument/2006/relationships/hyperlink" Target="https://learn.microsoft.com/en-us/azure/event-hubs/event-hubs-features" TargetMode="External"/><Relationship Id="rId45" Type="http://schemas.openxmlformats.org/officeDocument/2006/relationships/hyperlink" Target="https://docs.azure.cn/en-us/event-hubs/event-hubs-fa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v4side.com/en/blog/azure-event-hub" TargetMode="External"/><Relationship Id="rId48" Type="http://schemas.openxmlformats.org/officeDocument/2006/relationships/hyperlink" Target="https://learn.microsoft.com/en-us/azure/event-hubs/event-hubs-features" TargetMode="External"/><Relationship Id="rId47" Type="http://schemas.openxmlformats.org/officeDocument/2006/relationships/hyperlink" Target="https://learn.microsoft.com/en-us/azure/event-hubs/event-hubs-features" TargetMode="External"/><Relationship Id="rId49" Type="http://schemas.openxmlformats.org/officeDocument/2006/relationships/hyperlink" Target="https://learn.microsoft.com/en-us/azure/event-hubs/event-hubs-features" TargetMode="External"/><Relationship Id="rId5" Type="http://schemas.openxmlformats.org/officeDocument/2006/relationships/styles" Target="styles.xml"/><Relationship Id="rId6" Type="http://schemas.openxmlformats.org/officeDocument/2006/relationships/hyperlink" Target="https://learn.microsoft.com/en-us/azure/event-hubs/event-hubs-features" TargetMode="External"/><Relationship Id="rId7" Type="http://schemas.openxmlformats.org/officeDocument/2006/relationships/hyperlink" Target="https://learn.microsoft.com/en-us/azure/event-hubs/event-hubs-features" TargetMode="External"/><Relationship Id="rId8" Type="http://schemas.openxmlformats.org/officeDocument/2006/relationships/hyperlink" Target="https://www.dev4side.com/en/blog/azure-event-hub" TargetMode="External"/><Relationship Id="rId31" Type="http://schemas.openxmlformats.org/officeDocument/2006/relationships/hyperlink" Target="https://learn.microsoft.com/en-us/azure/event-hubs/event-hubs-faq" TargetMode="External"/><Relationship Id="rId30" Type="http://schemas.openxmlformats.org/officeDocument/2006/relationships/hyperlink" Target="https://learn.microsoft.com/en-us/azure/event-hubs/event-hubs-faq" TargetMode="External"/><Relationship Id="rId33" Type="http://schemas.openxmlformats.org/officeDocument/2006/relationships/hyperlink" Target="https://learn.microsoft.com/en-us/azure/architecture/framework/services/messaging/event-hubs/operational-excellence" TargetMode="External"/><Relationship Id="rId32" Type="http://schemas.openxmlformats.org/officeDocument/2006/relationships/hyperlink" Target="https://learn.microsoft.com/en-us/azure/architecture/framework/services/messaging/event-hubs/operational-excellence" TargetMode="External"/><Relationship Id="rId35" Type="http://schemas.openxmlformats.org/officeDocument/2006/relationships/hyperlink" Target="https://learn.microsoft.com/en-us/azure/event-hubs/event-hubs-create" TargetMode="External"/><Relationship Id="rId34" Type="http://schemas.openxmlformats.org/officeDocument/2006/relationships/hyperlink" Target="https://learn.microsoft.com/en-us/azure/event-hubs/event-hubs-create" TargetMode="External"/><Relationship Id="rId37" Type="http://schemas.openxmlformats.org/officeDocument/2006/relationships/hyperlink" Target="https://learn.microsoft.com/en-us/azure/event-hubs/event-hubs-faq" TargetMode="External"/><Relationship Id="rId36" Type="http://schemas.openxmlformats.org/officeDocument/2006/relationships/hyperlink" Target="https://learn.microsoft.com/en-us/azure/event-hubs/event-hubs-faq" TargetMode="External"/><Relationship Id="rId39" Type="http://schemas.openxmlformats.org/officeDocument/2006/relationships/hyperlink" Target="https://learn.microsoft.com/en-us/samples/azure/azure-quickstart-templates/eventhubs-create-namespace-and-enable-capture/" TargetMode="External"/><Relationship Id="rId38" Type="http://schemas.openxmlformats.org/officeDocument/2006/relationships/hyperlink" Target="https://learn.microsoft.com/en-us/samples/azure/azure-quickstart-templates/eventhubs-create-namespace-and-enable-capture/" TargetMode="External"/><Relationship Id="rId20" Type="http://schemas.openxmlformats.org/officeDocument/2006/relationships/hyperlink" Target="https://learn.microsoft.com/en-us/azure/well-architected/service-guides/azure-event-hubs" TargetMode="External"/><Relationship Id="rId22" Type="http://schemas.openxmlformats.org/officeDocument/2006/relationships/hyperlink" Target="https://github.com/MicrosoftDocs/well-architected/blob/main/well-architected/service-guides/azure-event-hubs.md" TargetMode="External"/><Relationship Id="rId21" Type="http://schemas.openxmlformats.org/officeDocument/2006/relationships/hyperlink" Target="https://learn.microsoft.com/en-us/azure/well-architected/service-guides/azure-event-hubs" TargetMode="External"/><Relationship Id="rId24" Type="http://schemas.openxmlformats.org/officeDocument/2006/relationships/hyperlink" Target="https://learn.microsoft.com/en-us/answers/questions/982685/difference-between-azure-event-hub-and-azure-stora" TargetMode="External"/><Relationship Id="rId23" Type="http://schemas.openxmlformats.org/officeDocument/2006/relationships/hyperlink" Target="https://github.com/MicrosoftDocs/well-architected/blob/main/well-architected/service-guides/azure-event-hubs.md" TargetMode="External"/><Relationship Id="rId26" Type="http://schemas.openxmlformats.org/officeDocument/2006/relationships/hyperlink" Target="https://learn.microsoft.com/en-us/azure/well-architected/service-guides/azure-event-hubs" TargetMode="External"/><Relationship Id="rId25" Type="http://schemas.openxmlformats.org/officeDocument/2006/relationships/hyperlink" Target="https://learn.microsoft.com/en-us/answers/questions/982685/difference-between-azure-event-hub-and-azure-stora" TargetMode="External"/><Relationship Id="rId28" Type="http://schemas.openxmlformats.org/officeDocument/2006/relationships/hyperlink" Target="https://learn.microsoft.com/en-us/azure/architecture/framework/services/messaging/event-hubs/operational-excellence" TargetMode="External"/><Relationship Id="rId27" Type="http://schemas.openxmlformats.org/officeDocument/2006/relationships/hyperlink" Target="https://learn.microsoft.com/en-us/azure/well-architected/service-guides/azure-event-hubs" TargetMode="External"/><Relationship Id="rId29" Type="http://schemas.openxmlformats.org/officeDocument/2006/relationships/hyperlink" Target="https://learn.microsoft.com/en-us/azure/architecture/framework/services/messaging/event-hubs/operational-excellence" TargetMode="External"/><Relationship Id="rId51" Type="http://schemas.openxmlformats.org/officeDocument/2006/relationships/hyperlink" Target="https://learn.microsoft.com/en-us/answers/questions/982685/difference-between-azure-event-hub-and-azure-stora" TargetMode="External"/><Relationship Id="rId50" Type="http://schemas.openxmlformats.org/officeDocument/2006/relationships/hyperlink" Target="https://learn.microsoft.com/en-us/answers/questions/982685/difference-between-azure-event-hub-and-azure-stora" TargetMode="External"/><Relationship Id="rId53" Type="http://schemas.openxmlformats.org/officeDocument/2006/relationships/hyperlink" Target="https://learn.microsoft.com/en-us/azure/well-architected/service-guides/azure-event-hubs" TargetMode="External"/><Relationship Id="rId52" Type="http://schemas.openxmlformats.org/officeDocument/2006/relationships/hyperlink" Target="https://learn.microsoft.com/en-us/azure/well-architected/service-guides/azure-event-hubs" TargetMode="External"/><Relationship Id="rId11" Type="http://schemas.openxmlformats.org/officeDocument/2006/relationships/hyperlink" Target="https://learn.microsoft.com/en-us/azure/event-hubs/event-hubs-create" TargetMode="External"/><Relationship Id="rId55" Type="http://schemas.openxmlformats.org/officeDocument/2006/relationships/hyperlink" Target="https://learn.microsoft.com/en-us/azure/event-hubs/event-hubs-capture-overview" TargetMode="External"/><Relationship Id="rId10" Type="http://schemas.openxmlformats.org/officeDocument/2006/relationships/hyperlink" Target="https://learn.microsoft.com/en-us/azure/event-hubs/event-hubs-create" TargetMode="External"/><Relationship Id="rId54" Type="http://schemas.openxmlformats.org/officeDocument/2006/relationships/hyperlink" Target="https://learn.microsoft.com/en-us/azure/event-hubs/event-hubs-capture-overview" TargetMode="External"/><Relationship Id="rId13" Type="http://schemas.openxmlformats.org/officeDocument/2006/relationships/hyperlink" Target="https://learn.microsoft.com/en-us/azure/event-hubs/event-hubs-features" TargetMode="External"/><Relationship Id="rId57" Type="http://schemas.openxmlformats.org/officeDocument/2006/relationships/hyperlink" Target="https://learn.microsoft.com/en-us/azure/event-hubs/event-hubs-resource-manager-namespace-event-hub-enable-capture" TargetMode="External"/><Relationship Id="rId12" Type="http://schemas.openxmlformats.org/officeDocument/2006/relationships/hyperlink" Target="https://learn.microsoft.com/en-us/azure/event-hubs/event-hubs-features" TargetMode="External"/><Relationship Id="rId56" Type="http://schemas.openxmlformats.org/officeDocument/2006/relationships/hyperlink" Target="https://learn.microsoft.com/en-us/azure/event-hubs/event-hubs-resource-manager-namespace-event-hub-enable-capture" TargetMode="External"/><Relationship Id="rId15" Type="http://schemas.openxmlformats.org/officeDocument/2006/relationships/hyperlink" Target="https://learn.microsoft.com/en-us/azure/event-hubs/event-hubs-faq" TargetMode="External"/><Relationship Id="rId14" Type="http://schemas.openxmlformats.org/officeDocument/2006/relationships/hyperlink" Target="https://learn.microsoft.com/en-us/azure/event-hubs/event-hubs-faq" TargetMode="External"/><Relationship Id="rId17" Type="http://schemas.openxmlformats.org/officeDocument/2006/relationships/hyperlink" Target="https://learn.microsoft.com/en-us/azure/event-hubs/event-hubs-capture-overview" TargetMode="External"/><Relationship Id="rId16" Type="http://schemas.openxmlformats.org/officeDocument/2006/relationships/hyperlink" Target="https://learn.microsoft.com/en-us/azure/event-hubs/event-hubs-capture-overview" TargetMode="External"/><Relationship Id="rId19" Type="http://schemas.openxmlformats.org/officeDocument/2006/relationships/hyperlink" Target="https://learn.microsoft.com/en-us/azure/event-hubs/event-hubs-faq" TargetMode="External"/><Relationship Id="rId18" Type="http://schemas.openxmlformats.org/officeDocument/2006/relationships/hyperlink" Target="https://learn.microsoft.com/en-us/azure/event-hubs/event-hubs-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