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1F4E79"/>
          <w:sz w:val="36"/>
          <w:szCs w:val="36"/>
        </w:rPr>
        <w:t xml:space="preserve">PROPUESTA TÉCNICA DE SERVICIOS</w:t>
      </w:r>
    </w:p>
    <w:p>
      <w:pPr>
        <w:pBdr>
          <w:bottom w:val="single" w:color="2E75B6" w:sz="8" w:space="4"/>
        </w:pBdr>
        <w:spacing w:after="240" w:before="0"/>
        <w:jc w:val="center"/>
      </w:pPr>
      <w:r>
        <w:rPr>
          <w:rFonts w:ascii="Arial" w:cs="Arial" w:eastAsia="Arial" w:hAnsi="Arial"/>
          <w:color w:val="2E75B6"/>
          <w:sz w:val="30"/>
          <w:szCs w:val="30"/>
        </w:rPr>
        <w:t xml:space="preserve">Respaldo de NAS 70 TB en Microsoft Azure</w:t>
      </w:r>
    </w:p>
    <w:p>
      <w:pPr>
        <w:spacing w:before="720"/>
      </w:pPr>
    </w:p>
    <w:p>
      <w:pPr>
        <w:spacing w:after="60" w:before="0"/>
        <w:jc w:val="center"/>
      </w:pPr>
      <w:r>
        <w:rPr>
          <w:rFonts w:ascii="Arial" w:cs="Arial" w:eastAsia="Arial" w:hAnsi="Arial"/>
          <w:color w:val="595959"/>
          <w:sz w:val="22"/>
          <w:szCs w:val="22"/>
        </w:rPr>
        <w:t xml:space="preserve">Versión 1.0</w:t>
      </w:r>
    </w:p>
    <w:p>
      <w:pPr>
        <w:spacing w:after="60" w:before="0"/>
        <w:jc w:val="center"/>
      </w:pPr>
      <w:r>
        <w:rPr>
          <w:rFonts w:ascii="Arial" w:cs="Arial" w:eastAsia="Arial" w:hAnsi="Arial"/>
          <w:color w:val="595959"/>
          <w:sz w:val="22"/>
          <w:szCs w:val="22"/>
        </w:rPr>
        <w:t xml:space="preserve">Mayo 2025</w:t>
      </w:r>
    </w:p>
    <w:p>
      <w:pPr>
        <w:spacing w:after="60" w:before="0"/>
        <w:jc w:val="center"/>
      </w:pPr>
      <w:r>
        <w:rPr>
          <w:rFonts w:ascii="Arial" w:cs="Arial" w:eastAsia="Arial" w:hAnsi="Arial"/>
          <w:i/>
          <w:iCs/>
          <w:color w:val="595959"/>
          <w:sz w:val="20"/>
          <w:szCs w:val="20"/>
        </w:rPr>
        <w:t xml:space="preserve">Confidencial — Uso Interno</w:t>
      </w:r>
    </w:p>
    <w:p>
      <w:r>
        <w:br w:type="page"/>
      </w:r>
    </w:p>
    <w:p>
      <w:pPr>
        <w:pStyle w:val="Heading1"/>
        <w:spacing w:after="120" w:before="360"/>
      </w:pPr>
      <w:r>
        <w:rPr>
          <w:rFonts w:ascii="Arial" w:hAnsi="Arial"/>
          <w:b/>
          <w:bCs/>
          <w:color w:val="1F4E79"/>
          <w:sz w:val="32"/>
        </w:rPr>
        <w:t xml:space="preserve">1. Objetivos del Proyecto</w:t>
      </w:r>
    </w:p>
    <w:p>
      <w:pPr>
        <w:pBdr>
          <w:bottom w:val="single" w:color="2E75B6" w:sz="6" w:space="1"/>
        </w:pBdr>
        <w:spacing w:after="0"/>
      </w:pPr>
    </w:p>
    <w:p>
      <w:r>
        <w:t xml:space="preserve"/>
      </w:r>
    </w:p>
    <w:p>
      <w:pPr>
        <w:spacing w:before="60" w:after="120"/>
      </w:pPr>
      <w:r>
        <w:rPr>
          <w:rFonts w:ascii="Arial" w:hAnsi="Arial"/>
          <w:color w:val="404040"/>
          <w:sz w:val="22"/>
        </w:rPr>
        <w:t xml:space="preserve">Este proyecto tiene como propósito establecer una estrategia formal, segura y escalable de respaldo de información para el área propietaria de la NAS de 70 TB, garantizando la continuidad operativa, el cumplimiento de políticas internas de TI y el acceso remoto controlado para los 20 usuarios identificados.</w:t>
      </w:r>
    </w:p>
    <w:p>
      <w:pPr>
        <w:pStyle w:val="Heading2"/>
        <w:spacing w:after="100" w:before="280"/>
      </w:pPr>
      <w:r>
        <w:rPr>
          <w:rFonts w:ascii="Arial" w:hAnsi="Arial"/>
          <w:b/>
          <w:bCs/>
          <w:color w:val="2E75B6"/>
          <w:sz w:val="26"/>
        </w:rPr>
        <w:t xml:space="preserve">1.1 Objetivo General</w:t>
      </w:r>
    </w:p>
    <w:p>
      <w:pPr>
        <w:spacing w:before="60" w:after="120"/>
      </w:pPr>
      <w:r>
        <w:rPr>
          <w:rFonts w:ascii="Arial" w:hAnsi="Arial"/>
          <w:color w:val="404040"/>
          <w:sz w:val="22"/>
        </w:rPr>
        <w:t xml:space="preserve">Implementar una solución de respaldo en Microsoft Azure para la NAS de 70 TB, que proteja la información crítica, habilite el acceso remoto seguro para 20 usuarios con perfiles diferenciados y reduzca el riesgo de pérdida de datos ante cualquier evento adverso.</w:t>
      </w:r>
    </w:p>
    <w:p>
      <w:pPr>
        <w:pStyle w:val="Heading2"/>
        <w:spacing w:after="100" w:before="280"/>
      </w:pPr>
      <w:r>
        <w:rPr>
          <w:rFonts w:ascii="Arial" w:hAnsi="Arial"/>
          <w:b/>
          <w:bCs/>
          <w:color w:val="2E75B6"/>
          <w:sz w:val="26"/>
        </w:rPr>
        <w:t xml:space="preserve">1.2 Objetivos Específicos</w:t>
      </w:r>
    </w:p>
    <w:p>
      <w:pPr>
        <w:numPr>
          <w:ilvl w:val="0"/>
          <w:numId w:val="1"/>
        </w:numPr>
        <w:spacing w:before="40" w:after="60"/>
      </w:pPr>
      <w:r>
        <w:rPr>
          <w:rFonts w:ascii="Arial" w:hAnsi="Arial"/>
          <w:color w:val="404040"/>
          <w:sz w:val="22"/>
        </w:rPr>
        <w:t xml:space="preserve">Proteger la continuidad del negocio: Establecer un RPO máximo de 24 horas y un RTO definido para los datos críticos, con respaldo automatizado y verificable en Azure.</w:t>
      </w:r>
    </w:p>
    <w:p>
      <w:pPr>
        <w:numPr>
          <w:ilvl w:val="0"/>
          <w:numId w:val="1"/>
        </w:numPr>
        <w:spacing w:before="40" w:after="60"/>
      </w:pPr>
      <w:r>
        <w:rPr>
          <w:rFonts w:ascii="Arial" w:hAnsi="Arial"/>
          <w:color w:val="404040"/>
          <w:sz w:val="22"/>
        </w:rPr>
        <w:t xml:space="preserve">Cumplir con políticas internas de TI: Formalizar una política de respaldo documentada, con retención configurable (30 / 90 / 365 días) y auditoría de accesos alineada a buenas prácticas.</w:t>
      </w:r>
    </w:p>
    <w:p>
      <w:pPr>
        <w:numPr>
          <w:ilvl w:val="0"/>
          <w:numId w:val="1"/>
        </w:numPr>
        <w:spacing w:before="40" w:after="60"/>
      </w:pPr>
      <w:r>
        <w:rPr>
          <w:rFonts w:ascii="Arial" w:hAnsi="Arial"/>
          <w:color w:val="404040"/>
          <w:sz w:val="22"/>
        </w:rPr>
        <w:t xml:space="preserve">Habilitar acceso remoto seguro: Proporcionar a los 10 usuarios remotos conectividad VPN P2S con MFA y perfiles RBAC diferenciados (Administrador, Lectura, Lectura/Escritura).</w:t>
      </w:r>
    </w:p>
    <w:p>
      <w:pPr>
        <w:numPr>
          <w:ilvl w:val="0"/>
          <w:numId w:val="1"/>
        </w:numPr>
        <w:spacing w:before="40" w:after="60"/>
      </w:pPr>
      <w:r>
        <w:rPr>
          <w:rFonts w:ascii="Arial" w:hAnsi="Arial"/>
          <w:color w:val="404040"/>
          <w:sz w:val="22"/>
        </w:rPr>
        <w:t xml:space="preserve">Garantizar integridad y disponibilidad: Asegurar que los respaldos sean verificables, cifrados en tránsito y en reposo, y recuperables en los tiempos acordados.</w:t>
      </w:r>
    </w:p>
    <w:p>
      <w:pPr>
        <w:numPr>
          <w:ilvl w:val="0"/>
          <w:numId w:val="1"/>
        </w:numPr>
        <w:spacing w:before="40" w:after="60"/>
      </w:pPr>
      <w:r>
        <w:rPr>
          <w:rFonts w:ascii="Arial" w:hAnsi="Arial"/>
          <w:color w:val="404040"/>
          <w:sz w:val="22"/>
        </w:rPr>
        <w:t xml:space="preserve">Optimizar costos de almacenamiento: Implementar tiering automático (Hot → Cool → Archive) que reduzca el costo mensual hasta un 89% sin sacrificar la accesibilidad de datos recientes.</w:t>
      </w:r>
    </w:p>
    <w:p>
      <w:pPr>
        <w:numPr>
          <w:ilvl w:val="0"/>
          <w:numId w:val="1"/>
        </w:numPr>
        <w:spacing w:before="40" w:after="60"/>
      </w:pPr>
      <w:r>
        <w:rPr>
          <w:rFonts w:ascii="Arial" w:hAnsi="Arial"/>
          <w:color w:val="404040"/>
          <w:sz w:val="22"/>
        </w:rPr>
        <w:t xml:space="preserve">Preservar el historial de datos: Realizar una copia inicial de los últimos 5 años hacia Azure, garantizando trazabilidad y acceso a información histórica.</w:t>
      </w:r>
    </w:p>
    <w:p>
      <w:pPr>
        <w:pStyle w:val="Heading2"/>
        <w:spacing w:after="100" w:before="280"/>
      </w:pPr>
      <w:r>
        <w:rPr>
          <w:rFonts w:ascii="Arial" w:hAnsi="Arial"/>
          <w:b/>
          <w:bCs/>
          <w:color w:val="2E75B6"/>
          <w:sz w:val="26"/>
        </w:rPr>
        <w:t xml:space="preserve">1.3 Indicadores de Éxito (KPIs)</w:t>
      </w:r>
    </w:p>
    <w:tbl>
      <w:tblPr>
        <w:tblW w:w="9360" w:type="dxa"/>
        <w:tblBorders>
          <w:top w:val="single" w:color="CCCCCC" w:sz="4"/>
          <w:bottom w:val="single" w:color="CCCCCC" w:sz="4"/>
          <w:insideH w:val="single" w:color="CCCCCC" w:sz="4"/>
          <w:insideV w:val="single" w:color="CCCCCC" w:sz="4"/>
        </w:tblBorders>
      </w:tblPr>
      <w:tblGrid>
        <w:gridCol w:w="3000"/>
        <w:gridCol w:w="3000"/>
        <w:gridCol w:w="3360"/>
      </w:tblGrid>
      <w:tr>
        <w:tc>
          <w:tcPr>
            <w:tcW w:w="3000" w:type="dxa"/>
            <w:shd w:fill="1F4E79" w:val="clear"/>
            <w:tcMar>
              <w:top w:w="80" w:type="dxa"/>
              <w:start w:w="120" w:type="dxa"/>
              <w:bottom w:w="80" w:type="dxa"/>
              <w:end w:w="120" w:type="dxa"/>
            </w:tcMar>
          </w:tcPr>
          <w:p>
            <w:r>
              <w:rPr>
                <w:rFonts w:ascii="Arial" w:hAnsi="Arial"/>
                <w:b/>
                <w:color w:val="FFFFFF"/>
                <w:sz w:val="20"/>
              </w:rPr>
              <w:t>Indicador</w:t>
            </w:r>
          </w:p>
        </w:tc>
        <w:tc>
          <w:tcPr>
            <w:tcW w:w="3000" w:type="dxa"/>
            <w:shd w:fill="1F4E79" w:val="clear"/>
            <w:tcMar>
              <w:top w:w="80" w:type="dxa"/>
              <w:start w:w="120" w:type="dxa"/>
              <w:bottom w:w="80" w:type="dxa"/>
              <w:end w:w="120" w:type="dxa"/>
            </w:tcMar>
          </w:tcPr>
          <w:p>
            <w:r>
              <w:rPr>
                <w:rFonts w:ascii="Arial" w:hAnsi="Arial"/>
                <w:b/>
                <w:color w:val="FFFFFF"/>
                <w:sz w:val="20"/>
              </w:rPr>
              <w:t>Meta</w:t>
            </w:r>
          </w:p>
        </w:tc>
        <w:tc>
          <w:tcPr>
            <w:tcW w:w="3360" w:type="dxa"/>
            <w:shd w:fill="1F4E79" w:val="clear"/>
            <w:tcMar>
              <w:top w:w="80" w:type="dxa"/>
              <w:start w:w="120" w:type="dxa"/>
              <w:bottom w:w="80" w:type="dxa"/>
              <w:end w:w="120" w:type="dxa"/>
            </w:tcMar>
          </w:tcPr>
          <w:p>
            <w:r>
              <w:rPr>
                <w:rFonts w:ascii="Arial" w:hAnsi="Arial"/>
                <w:b/>
                <w:color w:val="FFFFFF"/>
                <w:sz w:val="20"/>
              </w:rPr>
              <w:t>Cómo se mide</w:t>
            </w:r>
          </w:p>
        </w:tc>
      </w:tr>
      <w:tr>
        <w:tc>
          <w:tcPr>
            <w:tcW w:w="3000" w:type="dxa"/>
            <w:shd w:fill="FFFFFF" w:val="clear"/>
            <w:tcMar>
              <w:top w:w="80" w:type="dxa"/>
              <w:start w:w="120" w:type="dxa"/>
              <w:bottom w:w="80" w:type="dxa"/>
              <w:end w:w="120" w:type="dxa"/>
            </w:tcMar>
          </w:tcPr>
          <w:p>
            <w:r>
              <w:rPr>
                <w:rFonts w:ascii="Arial" w:hAnsi="Arial"/>
                <w:color w:val="404040"/>
                <w:sz w:val="20"/>
              </w:rPr>
              <w:t>RPO (pérdida máx. de datos)</w:t>
            </w:r>
          </w:p>
        </w:tc>
        <w:tc>
          <w:tcPr>
            <w:tcW w:w="3000" w:type="dxa"/>
            <w:shd w:fill="FFFFFF" w:val="clear"/>
            <w:tcMar>
              <w:top w:w="80" w:type="dxa"/>
              <w:start w:w="120" w:type="dxa"/>
              <w:bottom w:w="80" w:type="dxa"/>
              <w:end w:w="120" w:type="dxa"/>
            </w:tcMar>
          </w:tcPr>
          <w:p>
            <w:r>
              <w:rPr>
                <w:rFonts w:ascii="Arial" w:hAnsi="Arial"/>
                <w:color w:val="404040"/>
                <w:sz w:val="20"/>
              </w:rPr>
              <w:t>≤ 24 horas</w:t>
            </w:r>
          </w:p>
        </w:tc>
        <w:tc>
          <w:tcPr>
            <w:tcW w:w="3360" w:type="dxa"/>
            <w:shd w:fill="FFFFFF" w:val="clear"/>
            <w:tcMar>
              <w:top w:w="80" w:type="dxa"/>
              <w:start w:w="120" w:type="dxa"/>
              <w:bottom w:w="80" w:type="dxa"/>
              <w:end w:w="120" w:type="dxa"/>
            </w:tcMar>
          </w:tcPr>
          <w:p>
            <w:r>
              <w:rPr>
                <w:rFonts w:ascii="Arial" w:hAnsi="Arial"/>
                <w:color w:val="404040"/>
                <w:sz w:val="20"/>
              </w:rPr>
              <w:t>Fecha del último backup exitoso registrado en Azure</w:t>
            </w:r>
          </w:p>
        </w:tc>
      </w:tr>
      <w:tr>
        <w:tc>
          <w:tcPr>
            <w:tcW w:w="3000" w:type="dxa"/>
            <w:shd w:fill="F2F2F2" w:val="clear"/>
            <w:tcMar>
              <w:top w:w="80" w:type="dxa"/>
              <w:start w:w="120" w:type="dxa"/>
              <w:bottom w:w="80" w:type="dxa"/>
              <w:end w:w="120" w:type="dxa"/>
            </w:tcMar>
          </w:tcPr>
          <w:p>
            <w:r>
              <w:rPr>
                <w:rFonts w:ascii="Arial" w:hAnsi="Arial"/>
                <w:color w:val="404040"/>
                <w:sz w:val="20"/>
              </w:rPr>
              <w:t>RTO (tiempo de recuperación)</w:t>
            </w:r>
          </w:p>
        </w:tc>
        <w:tc>
          <w:tcPr>
            <w:tcW w:w="3000" w:type="dxa"/>
            <w:shd w:fill="F2F2F2" w:val="clear"/>
            <w:tcMar>
              <w:top w:w="80" w:type="dxa"/>
              <w:start w:w="120" w:type="dxa"/>
              <w:bottom w:w="80" w:type="dxa"/>
              <w:end w:w="120" w:type="dxa"/>
            </w:tcMar>
          </w:tcPr>
          <w:p>
            <w:r>
              <w:rPr>
                <w:rFonts w:ascii="Arial" w:hAnsi="Arial"/>
                <w:color w:val="404040"/>
                <w:sz w:val="20"/>
              </w:rPr>
              <w:t>≤ 4 horas (archivos recientes)</w:t>
            </w:r>
          </w:p>
        </w:tc>
        <w:tc>
          <w:tcPr>
            <w:tcW w:w="3360" w:type="dxa"/>
            <w:shd w:fill="F2F2F2" w:val="clear"/>
            <w:tcMar>
              <w:top w:w="80" w:type="dxa"/>
              <w:start w:w="120" w:type="dxa"/>
              <w:bottom w:w="80" w:type="dxa"/>
              <w:end w:w="120" w:type="dxa"/>
            </w:tcMar>
          </w:tcPr>
          <w:p>
            <w:r>
              <w:rPr>
                <w:rFonts w:ascii="Arial" w:hAnsi="Arial"/>
                <w:color w:val="404040"/>
                <w:sz w:val="20"/>
              </w:rPr>
              <w:t>Prueba de restore documentada en semana 7</w:t>
            </w:r>
          </w:p>
        </w:tc>
      </w:tr>
      <w:tr>
        <w:tc>
          <w:tcPr>
            <w:tcW w:w="3000" w:type="dxa"/>
            <w:shd w:fill="FFFFFF" w:val="clear"/>
            <w:tcMar>
              <w:top w:w="80" w:type="dxa"/>
              <w:start w:w="120" w:type="dxa"/>
              <w:bottom w:w="80" w:type="dxa"/>
              <w:end w:w="120" w:type="dxa"/>
            </w:tcMar>
          </w:tcPr>
          <w:p>
            <w:r>
              <w:rPr>
                <w:rFonts w:ascii="Arial" w:hAnsi="Arial"/>
                <w:color w:val="404040"/>
                <w:sz w:val="20"/>
              </w:rPr>
              <w:t>Disponibilidad del backup</w:t>
            </w:r>
          </w:p>
        </w:tc>
        <w:tc>
          <w:tcPr>
            <w:tcW w:w="3000" w:type="dxa"/>
            <w:shd w:fill="FFFFFF" w:val="clear"/>
            <w:tcMar>
              <w:top w:w="80" w:type="dxa"/>
              <w:start w:w="120" w:type="dxa"/>
              <w:bottom w:w="80" w:type="dxa"/>
              <w:end w:w="120" w:type="dxa"/>
            </w:tcMar>
          </w:tcPr>
          <w:p>
            <w:r>
              <w:rPr>
                <w:rFonts w:ascii="Arial" w:hAnsi="Arial"/>
                <w:color w:val="404040"/>
                <w:sz w:val="20"/>
              </w:rPr>
              <w:t>≥ 99.9% (SLA Azure)</w:t>
            </w:r>
          </w:p>
        </w:tc>
        <w:tc>
          <w:tcPr>
            <w:tcW w:w="3360" w:type="dxa"/>
            <w:shd w:fill="FFFFFF" w:val="clear"/>
            <w:tcMar>
              <w:top w:w="80" w:type="dxa"/>
              <w:start w:w="120" w:type="dxa"/>
              <w:bottom w:w="80" w:type="dxa"/>
              <w:end w:w="120" w:type="dxa"/>
            </w:tcMar>
          </w:tcPr>
          <w:p>
            <w:r>
              <w:rPr>
                <w:rFonts w:ascii="Arial" w:hAnsi="Arial"/>
                <w:color w:val="404040"/>
                <w:sz w:val="20"/>
              </w:rPr>
              <w:t>Azure Monitor / Backup Center</w:t>
            </w:r>
          </w:p>
        </w:tc>
      </w:tr>
      <w:tr>
        <w:tc>
          <w:tcPr>
            <w:tcW w:w="3000" w:type="dxa"/>
            <w:shd w:fill="F2F2F2" w:val="clear"/>
            <w:tcMar>
              <w:top w:w="80" w:type="dxa"/>
              <w:start w:w="120" w:type="dxa"/>
              <w:bottom w:w="80" w:type="dxa"/>
              <w:end w:w="120" w:type="dxa"/>
            </w:tcMar>
          </w:tcPr>
          <w:p>
            <w:r>
              <w:rPr>
                <w:rFonts w:ascii="Arial" w:hAnsi="Arial"/>
                <w:color w:val="404040"/>
                <w:sz w:val="20"/>
              </w:rPr>
              <w:t>Éxito de backups diarios</w:t>
            </w:r>
          </w:p>
        </w:tc>
        <w:tc>
          <w:tcPr>
            <w:tcW w:w="3000" w:type="dxa"/>
            <w:shd w:fill="F2F2F2" w:val="clear"/>
            <w:tcMar>
              <w:top w:w="80" w:type="dxa"/>
              <w:start w:w="120" w:type="dxa"/>
              <w:bottom w:w="80" w:type="dxa"/>
              <w:end w:w="120" w:type="dxa"/>
            </w:tcMar>
          </w:tcPr>
          <w:p>
            <w:r>
              <w:rPr>
                <w:rFonts w:ascii="Arial" w:hAnsi="Arial"/>
                <w:color w:val="404040"/>
                <w:sz w:val="20"/>
              </w:rPr>
              <w:t>≥ 98% sin errores / mes</w:t>
            </w:r>
          </w:p>
        </w:tc>
        <w:tc>
          <w:tcPr>
            <w:tcW w:w="3360" w:type="dxa"/>
            <w:shd w:fill="F2F2F2" w:val="clear"/>
            <w:tcMar>
              <w:top w:w="80" w:type="dxa"/>
              <w:start w:w="120" w:type="dxa"/>
              <w:bottom w:w="80" w:type="dxa"/>
              <w:end w:w="120" w:type="dxa"/>
            </w:tcMar>
          </w:tcPr>
          <w:p>
            <w:r>
              <w:rPr>
                <w:rFonts w:ascii="Arial" w:hAnsi="Arial"/>
                <w:color w:val="404040"/>
                <w:sz w:val="20"/>
              </w:rPr>
              <w:t>Log de ejecución del script diario</w:t>
            </w:r>
          </w:p>
        </w:tc>
      </w:tr>
      <w:tr>
        <w:tc>
          <w:tcPr>
            <w:tcW w:w="3000" w:type="dxa"/>
            <w:shd w:fill="FFFFFF" w:val="clear"/>
            <w:tcMar>
              <w:top w:w="80" w:type="dxa"/>
              <w:start w:w="120" w:type="dxa"/>
              <w:bottom w:w="80" w:type="dxa"/>
              <w:end w:w="120" w:type="dxa"/>
            </w:tcMar>
          </w:tcPr>
          <w:p>
            <w:r>
              <w:rPr>
                <w:rFonts w:ascii="Arial" w:hAnsi="Arial"/>
                <w:color w:val="404040"/>
                <w:sz w:val="20"/>
              </w:rPr>
              <w:t>Usuarios remotos con VPN P2S</w:t>
            </w:r>
          </w:p>
        </w:tc>
        <w:tc>
          <w:tcPr>
            <w:tcW w:w="3000" w:type="dxa"/>
            <w:shd w:fill="FFFFFF" w:val="clear"/>
            <w:tcMar>
              <w:top w:w="80" w:type="dxa"/>
              <w:start w:w="120" w:type="dxa"/>
              <w:bottom w:w="80" w:type="dxa"/>
              <w:end w:w="120" w:type="dxa"/>
            </w:tcMar>
          </w:tcPr>
          <w:p>
            <w:r>
              <w:rPr>
                <w:rFonts w:ascii="Arial" w:hAnsi="Arial"/>
                <w:color w:val="404040"/>
                <w:sz w:val="20"/>
              </w:rPr>
              <w:t>10 de 10 configurados y validados</w:t>
            </w:r>
          </w:p>
        </w:tc>
        <w:tc>
          <w:tcPr>
            <w:tcW w:w="3360" w:type="dxa"/>
            <w:shd w:fill="FFFFFF" w:val="clear"/>
            <w:tcMar>
              <w:top w:w="80" w:type="dxa"/>
              <w:start w:w="120" w:type="dxa"/>
              <w:bottom w:w="80" w:type="dxa"/>
              <w:end w:w="120" w:type="dxa"/>
            </w:tcMar>
          </w:tcPr>
          <w:p>
            <w:r>
              <w:rPr>
                <w:rFonts w:ascii="Arial" w:hAnsi="Arial"/>
                <w:color w:val="404040"/>
                <w:sz w:val="20"/>
              </w:rPr>
              <w:t>Prueba de conexión validada en semana 7</w:t>
            </w:r>
          </w:p>
        </w:tc>
      </w:tr>
    </w:tbl>
    <w:p>
      <w:r>
        <w:t xml:space="preserve"/>
      </w:r>
    </w:p>
    <w:p>
      <w:r>
        <w:br w:type="page"/>
      </w:r>
    </w:p>
    <w:p>
      <w:pPr>
        <w:pStyle w:val="Heading1"/>
        <w:spacing w:after="120" w:before="360"/>
      </w:pPr>
      <w:r>
        <w:rPr>
          <w:rFonts w:ascii="Arial" w:hAnsi="Arial"/>
          <w:b/>
          <w:bCs/>
          <w:color w:val="1F4E79"/>
          <w:sz w:val="32"/>
        </w:rPr>
        <w:t xml:space="preserve">2. Solución Propuesta</w:t>
      </w:r>
    </w:p>
    <w:p>
      <w:pPr>
        <w:pBdr>
          <w:bottom w:val="single" w:color="2E75B6" w:sz="6" w:space="1"/>
        </w:pBdr>
        <w:spacing w:after="0"/>
      </w:pPr>
    </w:p>
    <w:p>
      <w:r>
        <w:t xml:space="preserve"/>
      </w:r>
    </w:p>
    <w:p>
      <w:pPr>
        <w:spacing w:before="60" w:after="120"/>
      </w:pPr>
      <w:r>
        <w:rPr>
          <w:rFonts w:ascii="Arial" w:hAnsi="Arial"/>
          <w:color w:val="404040"/>
          <w:sz w:val="22"/>
        </w:rPr>
        <w:t xml:space="preserve">La solución combina la infraestructura local existente (NAS de 70 TB) con los servicios administrados de Microsoft Azure, estableciendo una arquitectura híbrida que cubre respaldo automatizado, acceso remoto seguro y gestión centralizada de identidades. Se presentan dos escenarios que pueden implementarse de forma independiente o conjunta según las prioridades de la organización.</w:t>
      </w:r>
    </w:p>
    <w:p>
      <w:pPr>
        <w:pStyle w:val="Heading2"/>
        <w:spacing w:after="100" w:before="280"/>
      </w:pPr>
      <w:r>
        <w:rPr>
          <w:rFonts w:ascii="Arial" w:hAnsi="Arial"/>
          <w:b/>
          <w:bCs/>
          <w:color w:val="2E75B6"/>
          <w:sz w:val="26"/>
        </w:rPr>
        <w:t xml:space="preserve">2.1 Descripción General</w:t>
      </w:r>
    </w:p>
    <w:tbl>
      <w:tblPr>
        <w:tblW w:w="9360" w:type="dxa"/>
        <w:tblBorders>
          <w:top w:val="single" w:color="CCCCCC" w:sz="4"/>
          <w:bottom w:val="single" w:color="CCCCCC" w:sz="4"/>
          <w:insideH w:val="single" w:color="CCCCCC" w:sz="4"/>
          <w:insideV w:val="single" w:color="CCCCCC" w:sz="4"/>
        </w:tblBorders>
      </w:tblPr>
      <w:tblGrid>
        <w:gridCol w:w="1800"/>
        <w:gridCol w:w="3780"/>
        <w:gridCol w:w="3780"/>
      </w:tblGrid>
      <w:tr>
        <w:tc>
          <w:tcPr>
            <w:tcW w:w="1800" w:type="dxa"/>
            <w:shd w:fill="1F4E79" w:val="clear"/>
            <w:tcMar>
              <w:top w:w="80" w:type="dxa"/>
              <w:start w:w="120" w:type="dxa"/>
              <w:bottom w:w="80" w:type="dxa"/>
              <w:end w:w="120" w:type="dxa"/>
            </w:tcMar>
          </w:tcPr>
          <w:p>
            <w:r>
              <w:rPr>
                <w:rFonts w:ascii="Arial" w:hAnsi="Arial"/>
                <w:b/>
                <w:color w:val="FFFFFF"/>
                <w:sz w:val="20"/>
              </w:rPr>
              <w:t>Componente</w:t>
            </w:r>
          </w:p>
        </w:tc>
        <w:tc>
          <w:tcPr>
            <w:tcW w:w="3780" w:type="dxa"/>
            <w:shd w:fill="1F4E79" w:val="clear"/>
            <w:tcMar>
              <w:top w:w="80" w:type="dxa"/>
              <w:start w:w="120" w:type="dxa"/>
              <w:bottom w:w="80" w:type="dxa"/>
              <w:end w:w="120" w:type="dxa"/>
            </w:tcMar>
          </w:tcPr>
          <w:p>
            <w:r>
              <w:rPr>
                <w:rFonts w:ascii="Arial" w:hAnsi="Arial"/>
                <w:b/>
                <w:color w:val="FFFFFF"/>
                <w:sz w:val="20"/>
              </w:rPr>
              <w:t>Escenario 1 — Azure Backup (MARS)</w:t>
            </w:r>
          </w:p>
        </w:tc>
        <w:tc>
          <w:tcPr>
            <w:tcW w:w="3780" w:type="dxa"/>
            <w:shd w:fill="1F4E79" w:val="clear"/>
            <w:tcMar>
              <w:top w:w="80" w:type="dxa"/>
              <w:start w:w="120" w:type="dxa"/>
              <w:bottom w:w="80" w:type="dxa"/>
              <w:end w:w="120" w:type="dxa"/>
            </w:tcMar>
          </w:tcPr>
          <w:p>
            <w:r>
              <w:rPr>
                <w:rFonts w:ascii="Arial" w:hAnsi="Arial"/>
                <w:b/>
                <w:color w:val="FFFFFF"/>
                <w:sz w:val="20"/>
              </w:rPr>
              <w:t>Escenario 2 — NAS + Script AzCopy</w:t>
            </w:r>
          </w:p>
        </w:tc>
      </w:tr>
      <w:tr>
        <w:tc>
          <w:tcPr>
            <w:tcW w:w="1800" w:type="dxa"/>
            <w:shd w:fill="F2F2F2" w:val="clear"/>
            <w:tcMar>
              <w:top w:w="80" w:type="dxa"/>
              <w:start w:w="120" w:type="dxa"/>
              <w:bottom w:w="80" w:type="dxa"/>
              <w:end w:w="120" w:type="dxa"/>
            </w:tcMar>
          </w:tcPr>
          <w:p>
            <w:r>
              <w:rPr>
                <w:rFonts w:ascii="Arial" w:hAnsi="Arial"/>
                <w:color w:val="404040"/>
                <w:sz w:val="20"/>
              </w:rPr>
              <w:t>Storage activo</w:t>
            </w:r>
          </w:p>
        </w:tc>
        <w:tc>
          <w:tcPr>
            <w:tcW w:w="3780" w:type="dxa"/>
            <w:shd w:fill="F2F2F2" w:val="clear"/>
            <w:tcMar>
              <w:top w:w="80" w:type="dxa"/>
              <w:start w:w="120" w:type="dxa"/>
              <w:bottom w:w="80" w:type="dxa"/>
              <w:end w:w="120" w:type="dxa"/>
            </w:tcMar>
          </w:tcPr>
          <w:p>
            <w:r>
              <w:rPr>
                <w:rFonts w:ascii="Arial" w:hAnsi="Arial"/>
                <w:color w:val="404040"/>
                <w:sz w:val="20"/>
              </w:rPr>
              <w:t>NAS local + Azure Files (destino activo opcional)</w:t>
            </w:r>
          </w:p>
        </w:tc>
        <w:tc>
          <w:tcPr>
            <w:tcW w:w="3780" w:type="dxa"/>
            <w:shd w:fill="F2F2F2" w:val="clear"/>
            <w:tcMar>
              <w:top w:w="80" w:type="dxa"/>
              <w:start w:w="120" w:type="dxa"/>
              <w:bottom w:w="80" w:type="dxa"/>
              <w:end w:w="120" w:type="dxa"/>
            </w:tcMar>
          </w:tcPr>
          <w:p>
            <w:r>
              <w:rPr>
                <w:rFonts w:ascii="Arial" w:hAnsi="Arial"/>
                <w:color w:val="404040"/>
                <w:sz w:val="20"/>
              </w:rPr>
              <w:t>NAS local (sin cambios en el flujo de trabajo)</w:t>
            </w:r>
          </w:p>
        </w:tc>
      </w:tr>
      <w:tr>
        <w:tc>
          <w:tcPr>
            <w:tcW w:w="1800" w:type="dxa"/>
            <w:shd w:fill="FFFFFF" w:val="clear"/>
            <w:tcMar>
              <w:top w:w="80" w:type="dxa"/>
              <w:start w:w="120" w:type="dxa"/>
              <w:bottom w:w="80" w:type="dxa"/>
              <w:end w:w="120" w:type="dxa"/>
            </w:tcMar>
          </w:tcPr>
          <w:p>
            <w:r>
              <w:rPr>
                <w:rFonts w:ascii="Arial" w:hAnsi="Arial"/>
                <w:color w:val="404040"/>
                <w:sz w:val="20"/>
              </w:rPr>
              <w:t>Repositorio de backup</w:t>
            </w:r>
          </w:p>
        </w:tc>
        <w:tc>
          <w:tcPr>
            <w:tcW w:w="3780" w:type="dxa"/>
            <w:shd w:fill="FFFFFF" w:val="clear"/>
            <w:tcMar>
              <w:top w:w="80" w:type="dxa"/>
              <w:start w:w="120" w:type="dxa"/>
              <w:bottom w:w="80" w:type="dxa"/>
              <w:end w:w="120" w:type="dxa"/>
            </w:tcMar>
          </w:tcPr>
          <w:p>
            <w:r>
              <w:rPr>
                <w:rFonts w:ascii="Arial" w:hAnsi="Arial"/>
                <w:color w:val="404040"/>
                <w:sz w:val="20"/>
              </w:rPr>
              <w:t>Recovery Services Vault (Geo-Redundante GRS)</w:t>
            </w:r>
          </w:p>
        </w:tc>
        <w:tc>
          <w:tcPr>
            <w:tcW w:w="3780" w:type="dxa"/>
            <w:shd w:fill="FFFFFF" w:val="clear"/>
            <w:tcMar>
              <w:top w:w="80" w:type="dxa"/>
              <w:start w:w="120" w:type="dxa"/>
              <w:bottom w:w="80" w:type="dxa"/>
              <w:end w:w="120" w:type="dxa"/>
            </w:tcMar>
          </w:tcPr>
          <w:p>
            <w:r>
              <w:rPr>
                <w:rFonts w:ascii="Arial" w:hAnsi="Arial"/>
                <w:color w:val="404040"/>
                <w:sz w:val="20"/>
              </w:rPr>
              <w:t>Azure Blob Storage (Hot / Cool / Archive)</w:t>
            </w:r>
          </w:p>
        </w:tc>
      </w:tr>
      <w:tr>
        <w:tc>
          <w:tcPr>
            <w:tcW w:w="1800" w:type="dxa"/>
            <w:shd w:fill="F2F2F2" w:val="clear"/>
            <w:tcMar>
              <w:top w:w="80" w:type="dxa"/>
              <w:start w:w="120" w:type="dxa"/>
              <w:bottom w:w="80" w:type="dxa"/>
              <w:end w:w="120" w:type="dxa"/>
            </w:tcMar>
          </w:tcPr>
          <w:p>
            <w:r>
              <w:rPr>
                <w:rFonts w:ascii="Arial" w:hAnsi="Arial"/>
                <w:color w:val="404040"/>
                <w:sz w:val="20"/>
              </w:rPr>
              <w:t>Agente / herramienta</w:t>
            </w:r>
          </w:p>
        </w:tc>
        <w:tc>
          <w:tcPr>
            <w:tcW w:w="3780" w:type="dxa"/>
            <w:shd w:fill="F2F2F2" w:val="clear"/>
            <w:tcMar>
              <w:top w:w="80" w:type="dxa"/>
              <w:start w:w="120" w:type="dxa"/>
              <w:bottom w:w="80" w:type="dxa"/>
              <w:end w:w="120" w:type="dxa"/>
            </w:tcMar>
          </w:tcPr>
          <w:p>
            <w:r>
              <w:rPr>
                <w:rFonts w:ascii="Arial" w:hAnsi="Arial"/>
                <w:color w:val="404040"/>
                <w:sz w:val="20"/>
              </w:rPr>
              <w:t>Microsoft Azure MARS Agent</w:t>
            </w:r>
          </w:p>
        </w:tc>
        <w:tc>
          <w:tcPr>
            <w:tcW w:w="3780" w:type="dxa"/>
            <w:shd w:fill="F2F2F2" w:val="clear"/>
            <w:tcMar>
              <w:top w:w="80" w:type="dxa"/>
              <w:start w:w="120" w:type="dxa"/>
              <w:bottom w:w="80" w:type="dxa"/>
              <w:end w:w="120" w:type="dxa"/>
            </w:tcMar>
          </w:tcPr>
          <w:p>
            <w:r>
              <w:rPr>
                <w:rFonts w:ascii="Arial" w:hAnsi="Arial"/>
                <w:color w:val="404040"/>
                <w:sz w:val="20"/>
              </w:rPr>
              <w:t>AzCopy + Script PowerShell / Bash automatizado</w:t>
            </w:r>
          </w:p>
        </w:tc>
      </w:tr>
      <w:tr>
        <w:tc>
          <w:tcPr>
            <w:tcW w:w="1800" w:type="dxa"/>
            <w:shd w:fill="FFFFFF" w:val="clear"/>
            <w:tcMar>
              <w:top w:w="80" w:type="dxa"/>
              <w:start w:w="120" w:type="dxa"/>
              <w:bottom w:w="80" w:type="dxa"/>
              <w:end w:w="120" w:type="dxa"/>
            </w:tcMar>
          </w:tcPr>
          <w:p>
            <w:r>
              <w:rPr>
                <w:rFonts w:ascii="Arial" w:hAnsi="Arial"/>
                <w:color w:val="404040"/>
                <w:sz w:val="20"/>
              </w:rPr>
              <w:t>Acceso de usuarios</w:t>
            </w:r>
          </w:p>
        </w:tc>
        <w:tc>
          <w:tcPr>
            <w:tcW w:w="3780" w:type="dxa"/>
            <w:shd w:fill="FFFFFF" w:val="clear"/>
            <w:tcMar>
              <w:top w:w="80" w:type="dxa"/>
              <w:start w:w="120" w:type="dxa"/>
              <w:bottom w:w="80" w:type="dxa"/>
              <w:end w:w="120" w:type="dxa"/>
            </w:tcMar>
          </w:tcPr>
          <w:p>
            <w:r>
              <w:rPr>
                <w:rFonts w:ascii="Arial" w:hAnsi="Arial"/>
                <w:color w:val="404040"/>
                <w:sz w:val="20"/>
              </w:rPr>
              <w:t>20 usuarios: S2S (locales) + P2S (remotos) + RBAC + MFA</w:t>
            </w:r>
          </w:p>
        </w:tc>
        <w:tc>
          <w:tcPr>
            <w:tcW w:w="3780" w:type="dxa"/>
            <w:shd w:fill="FFFFFF" w:val="clear"/>
            <w:tcMar>
              <w:top w:w="80" w:type="dxa"/>
              <w:start w:w="120" w:type="dxa"/>
              <w:bottom w:w="80" w:type="dxa"/>
              <w:end w:w="120" w:type="dxa"/>
            </w:tcMar>
          </w:tcPr>
          <w:p>
            <w:r>
              <w:rPr>
                <w:rFonts w:ascii="Arial" w:hAnsi="Arial"/>
                <w:color w:val="404040"/>
                <w:sz w:val="20"/>
              </w:rPr>
              <w:t>20 usuarios: S2S (locales) + P2S (remotos) + RBAC + MFA</w:t>
            </w:r>
          </w:p>
        </w:tc>
      </w:tr>
      <w:tr>
        <w:tc>
          <w:tcPr>
            <w:tcW w:w="1800" w:type="dxa"/>
            <w:shd w:fill="F2F2F2" w:val="clear"/>
            <w:tcMar>
              <w:top w:w="80" w:type="dxa"/>
              <w:start w:w="120" w:type="dxa"/>
              <w:bottom w:w="80" w:type="dxa"/>
              <w:end w:w="120" w:type="dxa"/>
            </w:tcMar>
          </w:tcPr>
          <w:p>
            <w:r>
              <w:rPr>
                <w:rFonts w:ascii="Arial" w:hAnsi="Arial"/>
                <w:color w:val="404040"/>
                <w:sz w:val="20"/>
              </w:rPr>
              <w:t>Costo estimado / mes</w:t>
            </w:r>
          </w:p>
        </w:tc>
        <w:tc>
          <w:tcPr>
            <w:tcW w:w="3780" w:type="dxa"/>
            <w:shd w:fill="F2F2F2" w:val="clear"/>
            <w:tcMar>
              <w:top w:w="80" w:type="dxa"/>
              <w:start w:w="120" w:type="dxa"/>
              <w:bottom w:w="80" w:type="dxa"/>
              <w:end w:w="120" w:type="dxa"/>
            </w:tcMar>
          </w:tcPr>
          <w:p>
            <w:r>
              <w:rPr>
                <w:rFonts w:ascii="Arial" w:hAnsi="Arial"/>
                <w:color w:val="404040"/>
                <w:sz w:val="20"/>
              </w:rPr>
              <w:t>~$514 – $596 USD / mes</w:t>
            </w:r>
          </w:p>
        </w:tc>
        <w:tc>
          <w:tcPr>
            <w:tcW w:w="3780" w:type="dxa"/>
            <w:shd w:fill="F2F2F2" w:val="clear"/>
            <w:tcMar>
              <w:top w:w="80" w:type="dxa"/>
              <w:start w:w="120" w:type="dxa"/>
              <w:bottom w:w="80" w:type="dxa"/>
              <w:end w:w="120" w:type="dxa"/>
            </w:tcMar>
          </w:tcPr>
          <w:p>
            <w:r>
              <w:rPr>
                <w:rFonts w:ascii="Arial" w:hAnsi="Arial"/>
                <w:color w:val="404040"/>
                <w:sz w:val="20"/>
              </w:rPr>
              <w:t>~$514 – $596 USD / mes (incluye infraestructura VPN)</w:t>
            </w:r>
          </w:p>
        </w:tc>
      </w:tr>
    </w:tbl>
    <w:p>
      <w:r>
        <w:t xml:space="preserve"/>
      </w:r>
    </w:p>
    <w:p>
      <w:pPr>
        <w:pStyle w:val="Heading2"/>
        <w:spacing w:after="100" w:before="280"/>
      </w:pPr>
      <w:r>
        <w:rPr>
          <w:rFonts w:ascii="Arial" w:hAnsi="Arial"/>
          <w:b/>
          <w:bCs/>
          <w:color w:val="2E75B6"/>
          <w:sz w:val="26"/>
        </w:rPr>
        <w:t xml:space="preserve">2.2 Principios de Diseño</w:t>
      </w:r>
    </w:p>
    <w:p>
      <w:pPr>
        <w:numPr>
          <w:ilvl w:val="0"/>
          <w:numId w:val="1"/>
        </w:numPr>
        <w:spacing w:before="40" w:after="60"/>
      </w:pPr>
      <w:r>
        <w:rPr>
          <w:rFonts w:ascii="Arial" w:hAnsi="Arial"/>
          <w:color w:val="404040"/>
          <w:sz w:val="22"/>
        </w:rPr>
        <w:t xml:space="preserve">Seguridad por capas (Defense in Depth): Cifrado AES-256 en tránsito y en reposo, MFA obligatorio, RBAC con mínimo privilegio y Conditional Access desde Azure AD / Entra ID.</w:t>
      </w:r>
    </w:p>
    <w:p>
      <w:pPr>
        <w:numPr>
          <w:ilvl w:val="0"/>
          <w:numId w:val="1"/>
        </w:numPr>
        <w:spacing w:before="40" w:after="60"/>
      </w:pPr>
      <w:r>
        <w:rPr>
          <w:rFonts w:ascii="Arial" w:hAnsi="Arial"/>
          <w:color w:val="404040"/>
          <w:sz w:val="22"/>
        </w:rPr>
        <w:t xml:space="preserve">Mínima disrupción operativa: La NAS continúa como repositorio activo. El backup opera en horario nocturno (22:00–06:00 hrs) sin impactar la jornada laboral.</w:t>
      </w:r>
    </w:p>
    <w:p>
      <w:pPr>
        <w:numPr>
          <w:ilvl w:val="0"/>
          <w:numId w:val="1"/>
        </w:numPr>
        <w:spacing w:before="40" w:after="60"/>
      </w:pPr>
      <w:r>
        <w:rPr>
          <w:rFonts w:ascii="Arial" w:hAnsi="Arial"/>
          <w:color w:val="404040"/>
          <w:sz w:val="22"/>
        </w:rPr>
        <w:t xml:space="preserve">Escalabilidad sin hardware adicional: La arquitectura soporta hasta 200 conexiones P2S (SKU VpnGw1) y almacenamiento ilimitado en Azure Blob Storage.</w:t>
      </w:r>
    </w:p>
    <w:p>
      <w:pPr>
        <w:numPr>
          <w:ilvl w:val="0"/>
          <w:numId w:val="1"/>
        </w:numPr>
        <w:spacing w:before="40" w:after="60"/>
      </w:pPr>
      <w:r>
        <w:rPr>
          <w:rFonts w:ascii="Arial" w:hAnsi="Arial"/>
          <w:color w:val="404040"/>
          <w:sz w:val="22"/>
        </w:rPr>
        <w:t xml:space="preserve">Optimización de costos automática: Las Lifecycle Management Policies de Azure mueven los datos entre tiers sin intervención manual, reduciendo costos hasta un 89%.</w:t>
      </w:r>
    </w:p>
    <w:p>
      <w:pPr>
        <w:numPr>
          <w:ilvl w:val="0"/>
          <w:numId w:val="1"/>
        </w:numPr>
        <w:spacing w:before="40" w:after="60"/>
      </w:pPr>
      <w:r>
        <w:rPr>
          <w:rFonts w:ascii="Arial" w:hAnsi="Arial"/>
          <w:color w:val="404040"/>
          <w:sz w:val="22"/>
        </w:rPr>
        <w:t xml:space="preserve">Observabilidad centralizada: Azure Monitor y Log Analytics unifican alertas de backup, sesiones VPN activas y logs de acceso en un único panel de control.</w:t>
      </w:r>
    </w:p>
    <w:p>
      <w:r>
        <w:t xml:space="preserve"/>
      </w:r>
    </w:p>
    <w:p>
      <w:r>
        <w:br w:type="page"/>
      </w:r>
    </w:p>
    <w:p>
      <w:pPr>
        <w:pStyle w:val="Heading1"/>
        <w:spacing w:after="120" w:before="360"/>
      </w:pPr>
      <w:r>
        <w:rPr>
          <w:rFonts w:ascii="Arial" w:cs="Arial" w:eastAsia="Arial" w:hAnsi="Arial"/>
          <w:b/>
          <w:bCs/>
          <w:color w:val="1F4E79"/>
          <w:sz w:val="32"/>
          <w:szCs w:val="32"/>
        </w:rPr>
        <w:t xml:space="preserve">3. Situación Actual</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Un área de la organización opera una NAS (Network Attached Storage) de 70 TB de capacidad total, con acceso exclusivo a un solo usuario. Actualmente no existe una política formal de respaldo fuera del sitio (offsite backup), lo que expone a la organización a un riesgo de pérdida total de información ante:</w:t>
      </w:r>
    </w:p>
    <w:p>
      <w:pPr>
        <w:pStyle w:val="ListParagraph"/>
        <w:numPr>
          <w:ilvl w:val="0"/>
          <w:numId w:val="2"/>
        </w:numPr>
        <w:spacing w:after="60" w:before="40"/>
      </w:pPr>
      <w:r>
        <w:rPr>
          <w:rFonts w:ascii="Arial" w:cs="Arial" w:eastAsia="Arial" w:hAnsi="Arial"/>
          <w:color w:val="404040"/>
          <w:sz w:val="22"/>
          <w:szCs w:val="22"/>
        </w:rPr>
        <w:t xml:space="preserve">Fallo de hardware del dispositivo NAS</w:t>
      </w:r>
    </w:p>
    <w:p>
      <w:pPr>
        <w:pStyle w:val="ListParagraph"/>
        <w:numPr>
          <w:ilvl w:val="0"/>
          <w:numId w:val="2"/>
        </w:numPr>
        <w:spacing w:after="60" w:before="40"/>
      </w:pPr>
      <w:r>
        <w:rPr>
          <w:rFonts w:ascii="Arial" w:cs="Arial" w:eastAsia="Arial" w:hAnsi="Arial"/>
          <w:color w:val="404040"/>
          <w:sz w:val="22"/>
          <w:szCs w:val="22"/>
        </w:rPr>
        <w:t xml:space="preserve">Desastre natural (incendio, inundación, sismo)</w:t>
      </w:r>
    </w:p>
    <w:p>
      <w:pPr>
        <w:pStyle w:val="ListParagraph"/>
        <w:numPr>
          <w:ilvl w:val="0"/>
          <w:numId w:val="2"/>
        </w:numPr>
        <w:spacing w:after="60" w:before="40"/>
      </w:pPr>
      <w:r>
        <w:rPr>
          <w:rFonts w:ascii="Arial" w:cs="Arial" w:eastAsia="Arial" w:hAnsi="Arial"/>
          <w:color w:val="404040"/>
          <w:sz w:val="22"/>
          <w:szCs w:val="22"/>
        </w:rPr>
        <w:t xml:space="preserve">Ataque de ransomware o incidente de ciberseguridad</w:t>
      </w:r>
    </w:p>
    <w:p>
      <w:pPr>
        <w:pStyle w:val="ListParagraph"/>
        <w:numPr>
          <w:ilvl w:val="0"/>
          <w:numId w:val="2"/>
        </w:numPr>
        <w:spacing w:after="60" w:before="40"/>
      </w:pPr>
      <w:r>
        <w:rPr>
          <w:rFonts w:ascii="Arial" w:cs="Arial" w:eastAsia="Arial" w:hAnsi="Arial"/>
          <w:color w:val="404040"/>
          <w:sz w:val="22"/>
          <w:szCs w:val="22"/>
        </w:rPr>
        <w:t xml:space="preserve">Error humano (eliminación accidental de datos críticos</w:t>
      </w:r>
    </w:p>
    <w:p>
      <w:r>
        <w:t xml:space="preserve"/>
      </w:r>
    </w:p>
    <w:p>
      <w:pPr>
        <w:pStyle w:val="Heading2"/>
        <w:spacing w:after="100" w:before="280"/>
      </w:pPr>
      <w:r>
        <w:rPr>
          <w:rFonts w:ascii="Arial" w:cs="Arial" w:eastAsia="Arial" w:hAnsi="Arial"/>
          <w:b/>
          <w:bCs/>
          <w:color w:val="2E75B6"/>
          <w:sz w:val="26"/>
          <w:szCs w:val="26"/>
        </w:rPr>
        <w:t xml:space="preserve">1.1 Estado Actual de la Infraestructura</w:t>
      </w:r>
    </w:p>
    <w:tbl>
      <w:tblPr>
        <w:tblW w:type="dxa" w:w="9360"/>
        <w:tblBorders>
          <w:top w:val="single" w:color="auto" w:sz="4"/>
          <w:bottom w:val="single" w:color="auto" w:sz="4"/>
          <w:insideH w:val="single" w:color="auto" w:sz="4"/>
          <w:insideV w:val="single" w:color="auto" w:sz="4"/>
        </w:tblBorders>
      </w:tblPr>
      <w:tblGrid>
        <w:gridCol w:w="2400"/>
        <w:gridCol w:w="4200"/>
        <w:gridCol w:w="2760"/>
      </w:tblGrid>
      <w:tr>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Componente</w:t>
            </w:r>
          </w:p>
        </w:tc>
        <w:tc>
          <w:tcPr>
            <w:tcW w:type="dxa" w:w="4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c>
          <w:tcPr>
            <w:tcW w:type="dxa" w:w="27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Riesgo</w:t>
            </w:r>
          </w:p>
        </w:tc>
      </w:tr>
      <w:tr>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Dispositivo NAS</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70 TB capacidad total, acceso de 1 usuario</w:t>
            </w:r>
          </w:p>
        </w:tc>
        <w:tc>
          <w:tcPr>
            <w:tcW w:type="dxa" w:w="2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Alto — punto único de falla</w:t>
            </w:r>
          </w:p>
        </w:tc>
      </w:tr>
      <w:tr>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Conectividad</w:t>
            </w:r>
          </w:p>
        </w:tc>
        <w:tc>
          <w:tcPr>
            <w:tcW w:type="dxa" w:w="4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Red LAN interna, sin política offsite</w:t>
            </w:r>
          </w:p>
        </w:tc>
        <w:tc>
          <w:tcPr>
            <w:tcW w:type="dxa" w:w="2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Alto — sin respaldo externo</w:t>
            </w:r>
          </w:p>
        </w:tc>
      </w:tr>
      <w:tr>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Política de respaldo</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No definida / sin automatización</w:t>
            </w:r>
          </w:p>
        </w:tc>
        <w:tc>
          <w:tcPr>
            <w:tcW w:type="dxa" w:w="2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Crítico — sin RPO/RTO</w:t>
            </w:r>
          </w:p>
        </w:tc>
      </w:tr>
      <w:tr>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Usuarios</w:t>
            </w:r>
          </w:p>
        </w:tc>
        <w:tc>
          <w:tcPr>
            <w:tcW w:type="dxa" w:w="4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 usuario propietario actualmente</w:t>
            </w:r>
          </w:p>
        </w:tc>
        <w:tc>
          <w:tcPr>
            <w:tcW w:type="dxa" w:w="2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Medio — escalabilidad limitada</w:t>
            </w:r>
          </w:p>
        </w:tc>
      </w:tr>
      <w:tr>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Versionado</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No implementado</w:t>
            </w:r>
          </w:p>
        </w:tc>
        <w:tc>
          <w:tcPr>
            <w:tcW w:type="dxa" w:w="2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Alto — sin historial de cambios</w:t>
            </w:r>
          </w:p>
        </w:tc>
      </w:tr>
    </w:tbl>
    <w:p>
      <w:r>
        <w:t xml:space="preserve"/>
      </w:r>
    </w:p>
    <w:p>
      <w:pPr>
        <w:pStyle w:val="Heading2"/>
        <w:spacing w:after="100" w:before="280"/>
      </w:pPr>
      <w:r>
        <w:rPr>
          <w:rFonts w:ascii="Arial" w:cs="Arial" w:eastAsia="Arial" w:hAnsi="Arial"/>
          <w:b/>
          <w:bCs/>
          <w:color w:val="2E75B6"/>
          <w:sz w:val="26"/>
          <w:szCs w:val="26"/>
        </w:rPr>
        <w:t xml:space="preserve">1.2 Escenarios Propuestos</w:t>
      </w:r>
    </w:p>
    <w:p>
      <w:pPr>
        <w:spacing w:after="120" w:before="60"/>
      </w:pPr>
      <w:r>
        <w:rPr>
          <w:rFonts w:ascii="Arial" w:cs="Arial" w:eastAsia="Arial" w:hAnsi="Arial"/>
          <w:color w:val="404040"/>
          <w:sz w:val="22"/>
          <w:szCs w:val="22"/>
        </w:rPr>
        <w:t xml:space="preserve">Se analizan dos escenarios complementarios:</w:t>
      </w:r>
    </w:p>
    <w:p>
      <w:r>
        <w:t xml:space="preserve"/>
      </w:r>
    </w:p>
    <w:tbl>
      <w:tblPr>
        <w:tblW w:type="dxa" w:w="9360"/>
        <w:tblBorders>
          <w:top w:val="single" w:color="auto" w:sz="4"/>
          <w:bottom w:val="single" w:color="auto" w:sz="4"/>
          <w:insideH w:val="single" w:color="auto" w:sz="4"/>
          <w:insideV w:val="single" w:color="auto" w:sz="4"/>
        </w:tblBorders>
      </w:tblPr>
      <w:tblGrid>
        <w:gridCol w:w="1800"/>
        <w:gridCol w:w="5040"/>
        <w:gridCol w:w="2520"/>
      </w:tblGrid>
      <w:tr>
        <w:tc>
          <w:tcPr>
            <w:tcW w:type="dxa" w:w="1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Escenario</w:t>
            </w:r>
          </w:p>
        </w:tc>
        <w:tc>
          <w:tcPr>
            <w:tcW w:type="dxa" w:w="504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c>
          <w:tcPr>
            <w:tcW w:type="dxa" w:w="252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Recomendación</w:t>
            </w:r>
          </w:p>
        </w:tc>
      </w:tr>
      <w:tr>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Escenario 1</w:t>
            </w:r>
          </w:p>
        </w:tc>
        <w:tc>
          <w:tcPr>
            <w:tcW w:type="dxa" w:w="50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Backup completo gestionado con Azure Backup (Recovery Services Vault). La NAS se convierte en fuente primaria y Azure en repositorio de recuperación.</w:t>
            </w:r>
          </w:p>
        </w:tc>
        <w:tc>
          <w:tcPr>
            <w:tcW w:type="dxa" w:w="252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Recomendado para entornos con cumplimiento normativo</w:t>
            </w:r>
          </w:p>
        </w:tc>
      </w:tr>
      <w:tr>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Escenario 2</w:t>
            </w:r>
          </w:p>
        </w:tc>
        <w:tc>
          <w:tcPr>
            <w:tcW w:type="dxa" w:w="504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La NAS continúa como storage activo. Un script automatizado realiza incrementales diarios (~1 TB) hacia Azure Blob Storage. Copia inicial cubre los últimos 5 años.</w:t>
            </w:r>
          </w:p>
        </w:tc>
        <w:tc>
          <w:tcPr>
            <w:tcW w:type="dxa" w:w="252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Recomendado por costo y control operativo</w:t>
            </w:r>
          </w:p>
        </w:tc>
      </w:tr>
    </w:tbl>
    <w:p>
      <w:r>
        <w:br w:type="page"/>
      </w:r>
    </w:p>
    <w:p>
      <w:pPr>
        <w:pStyle w:val="Heading1"/>
        <w:spacing w:after="120" w:before="360"/>
      </w:pPr>
      <w:r>
        <w:rPr>
          <w:rFonts w:ascii="Arial" w:cs="Arial" w:eastAsia="Arial" w:hAnsi="Arial"/>
          <w:b/>
          <w:bCs/>
          <w:color w:val="1F4E79"/>
          <w:sz w:val="32"/>
          <w:szCs w:val="32"/>
        </w:rPr>
        <w:t xml:space="preserve">4. Arquitectura de la Solución</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La arquitectura propuesta integra la infraestructura local (NAS + usuarios) con Microsoft Azure mediante una conexión VPN segura, habilitando acceso controlado para 20 usuarios: 10 en red local y 10 mediante VPN remota.</w:t>
      </w:r>
    </w:p>
    <w:p>
      <w:r>
        <w:t xml:space="preserve"/>
      </w:r>
    </w:p>
    <w:p>
      <w:pPr>
        <w:pStyle w:val="Heading2"/>
        <w:spacing w:after="100" w:before="280"/>
      </w:pPr>
      <w:r>
        <w:rPr>
          <w:rFonts w:ascii="Arial" w:cs="Arial" w:eastAsia="Arial" w:hAnsi="Arial"/>
          <w:b/>
          <w:bCs/>
          <w:color w:val="2E75B6"/>
          <w:sz w:val="26"/>
          <w:szCs w:val="26"/>
        </w:rPr>
        <w:t xml:space="preserve">2.1 Diagrama de Arquitectura — Descripción por Capas</w:t>
      </w:r>
    </w:p>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start w:type="dxa" w:w="180"/>
              <w:bottom w:type="dxa" w:w="120"/>
              <w:end w:type="dxa" w:w="120"/>
            </w:tcMar>
          </w:tcPr>
          <w:p>
            <w:pPr>
              <w:spacing w:after="40" w:before="40"/>
            </w:pPr>
            <w:r>
              <w:rPr>
                <w:rFonts w:ascii="Arial" w:cs="Arial" w:eastAsia="Arial" w:hAnsi="Arial"/>
                <w:b/>
                <w:bCs/>
                <w:color w:val="1F4E79"/>
                <w:sz w:val="20"/>
                <w:szCs w:val="20"/>
              </w:rPr>
              <w:t xml:space="preserve">ℹ NOTA: El diagrama a continuación se describe por capas. Se recomienda complementar con</w:t>
            </w:r>
          </w:p>
          <w:p>
            <w:pPr>
              <w:spacing w:after="40" w:before="40"/>
            </w:pPr>
            <w:r>
              <w:rPr>
                <w:rFonts w:ascii="Arial" w:cs="Arial" w:eastAsia="Arial" w:hAnsi="Arial"/>
                <w:b w:val="false"/>
                <w:bCs w:val="false"/>
                <w:color w:val="1F4E79"/>
                <w:sz w:val="20"/>
                <w:szCs w:val="20"/>
              </w:rPr>
              <w:t xml:space="preserve">   un diagrama visual en Visio o Draw.io usando los componentes listados en cada capa.</w:t>
            </w:r>
          </w:p>
        </w:tc>
      </w:tr>
    </w:tbl>
    <w:p>
      <w:r>
        <w:t xml:space="preserve"/>
      </w:r>
    </w:p>
    <w:tbl>
      <w:tblPr>
        <w:tblW w:type="dxa" w:w="9360"/>
        <w:tblBorders>
          <w:top w:val="single" w:color="auto" w:sz="4"/>
          <w:bottom w:val="single" w:color="auto" w:sz="4"/>
          <w:insideH w:val="single" w:color="auto" w:sz="4"/>
          <w:insideV w:val="single" w:color="auto" w:sz="4"/>
        </w:tblBorders>
      </w:tblPr>
      <w:tblGrid>
        <w:gridCol w:w="1600"/>
        <w:gridCol w:w="4200"/>
        <w:gridCol w:w="3560"/>
      </w:tblGrid>
      <w:tr>
        <w:tc>
          <w:tcPr>
            <w:tcW w:type="dxa" w:w="1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Capa</w:t>
            </w:r>
          </w:p>
        </w:tc>
        <w:tc>
          <w:tcPr>
            <w:tcW w:type="dxa" w:w="4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Componentes</w:t>
            </w:r>
          </w:p>
        </w:tc>
        <w:tc>
          <w:tcPr>
            <w:tcW w:type="dxa" w:w="35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Función</w:t>
            </w:r>
          </w:p>
        </w:tc>
      </w:tr>
      <w:tr>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Capa 1 — On-Premise</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NAS 70 TB · Servidor de backup (MARS/AzCopy) · Switch LAN · Usuarios locales (10)</w:t>
            </w:r>
          </w:p>
        </w:tc>
        <w:tc>
          <w:tcPr>
            <w:tcW w:type="dxa" w:w="3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Fuente primaria de datos y procesamiento de backup local</w:t>
            </w:r>
          </w:p>
        </w:tc>
      </w:tr>
      <w:tr>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Capa 2 — VPN Gateway</w:t>
            </w:r>
          </w:p>
        </w:tc>
        <w:tc>
          <w:tcPr>
            <w:tcW w:type="dxa" w:w="4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VPN Gateway (SKU VpnGw1) · IPSec/IKEv2 · Túnel S2S · Clientes P2S (OpenVPN / IKEv2)</w:t>
            </w:r>
          </w:p>
        </w:tc>
        <w:tc>
          <w:tcPr>
            <w:tcW w:type="dxa" w:w="3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Conectividad segura entre on-premise y Azure para usuarios remotos</w:t>
            </w:r>
          </w:p>
        </w:tc>
      </w:tr>
      <w:tr>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Capa 3 — Azure Network</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Virtual Network (VNet) · Subredes: GatewaySubnet, BackupSubnet, UsersSubnet · NSG · Azure Firewall (opcional)</w:t>
            </w:r>
          </w:p>
        </w:tc>
        <w:tc>
          <w:tcPr>
            <w:tcW w:type="dxa" w:w="3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Segmentación y control de tráfico en la nube</w:t>
            </w:r>
          </w:p>
        </w:tc>
      </w:tr>
      <w:tr>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Capa 4 — Acceso de Usuarios</w:t>
            </w:r>
          </w:p>
        </w:tc>
        <w:tc>
          <w:tcPr>
            <w:tcW w:type="dxa" w:w="4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AD / Entra ID · RBAC · MFA · Conditional Access · Azure Files (share)</w:t>
            </w:r>
          </w:p>
        </w:tc>
        <w:tc>
          <w:tcPr>
            <w:tcW w:type="dxa" w:w="3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Autenticación, autorización y acceso a datos desde cualquier ubicación</w:t>
            </w:r>
          </w:p>
        </w:tc>
      </w:tr>
      <w:tr>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Capa 5 — Almacenamiento</w:t>
            </w:r>
          </w:p>
        </w:tc>
        <w:tc>
          <w:tcPr>
            <w:tcW w:type="dxa" w:w="4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Blob Storage (Hot/Cool/Archive) · Recovery Services Vault · Azure Files</w:t>
            </w:r>
          </w:p>
        </w:tc>
        <w:tc>
          <w:tcPr>
            <w:tcW w:type="dxa" w:w="3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Repositorio de respaldo, datos activos y recuperación ante desastre</w:t>
            </w:r>
          </w:p>
        </w:tc>
      </w:tr>
      <w:tr>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Capa 6 — Gestión</w:t>
            </w:r>
          </w:p>
        </w:tc>
        <w:tc>
          <w:tcPr>
            <w:tcW w:type="dxa" w:w="4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Monitor · Log Analytics · Backup Center · Alertas por correo</w:t>
            </w:r>
          </w:p>
        </w:tc>
        <w:tc>
          <w:tcPr>
            <w:tcW w:type="dxa" w:w="3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Monitoreo, alertas y auditoría de toda la solución</w:t>
            </w:r>
          </w:p>
        </w:tc>
      </w:tr>
    </w:tbl>
    <w:p>
      <w:r>
        <w:t xml:space="preserve"/>
      </w:r>
    </w:p>
    <w:p>
      <w:pPr>
        <w:pStyle w:val="Heading2"/>
        <w:spacing w:after="100" w:before="280"/>
      </w:pPr>
      <w:r>
        <w:rPr>
          <w:rFonts w:ascii="Arial" w:cs="Arial" w:eastAsia="Arial" w:hAnsi="Arial"/>
          <w:b/>
          <w:bCs/>
          <w:color w:val="2E75B6"/>
          <w:sz w:val="26"/>
          <w:szCs w:val="26"/>
        </w:rPr>
        <w:t xml:space="preserve">2.2 Flujo de Datos</w:t>
      </w:r>
    </w:p>
    <w:p>
      <w:pPr>
        <w:spacing w:after="120" w:before="60"/>
      </w:pPr>
      <w:r>
        <w:rPr>
          <w:rFonts w:ascii="Arial" w:cs="Arial" w:eastAsia="Arial" w:hAnsi="Arial"/>
          <w:color w:val="404040"/>
          <w:sz w:val="22"/>
          <w:szCs w:val="22"/>
        </w:rPr>
        <w:t xml:space="preserve">El flujo de datos opera en dos modos:</w:t>
      </w:r>
    </w:p>
    <w:p>
      <w:r>
        <w:t xml:space="preserve"/>
      </w:r>
    </w:p>
    <w:tbl>
      <w:tblPr>
        <w:tblW w:type="dxa" w:w="9360"/>
        <w:tblBorders>
          <w:top w:val="single" w:color="auto" w:sz="4"/>
          <w:bottom w:val="single" w:color="auto" w:sz="4"/>
          <w:insideH w:val="single" w:color="auto" w:sz="4"/>
          <w:insideV w:val="single" w:color="auto" w:sz="4"/>
        </w:tblBorders>
      </w:tblPr>
      <w:tblGrid>
        <w:gridCol w:w="2000"/>
        <w:gridCol w:w="2640"/>
        <w:gridCol w:w="2640"/>
        <w:gridCol w:w="2080"/>
      </w:tblGrid>
      <w:tr>
        <w:tc>
          <w:tcPr>
            <w:tcW w:type="dxa" w:w="20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Modo</w:t>
            </w:r>
          </w:p>
        </w:tc>
        <w:tc>
          <w:tcPr>
            <w:tcW w:type="dxa" w:w="264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Origen</w:t>
            </w:r>
          </w:p>
        </w:tc>
        <w:tc>
          <w:tcPr>
            <w:tcW w:type="dxa" w:w="264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Destino</w:t>
            </w:r>
          </w:p>
        </w:tc>
        <w:tc>
          <w:tcPr>
            <w:tcW w:type="dxa" w:w="208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Frecuencia</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Backup inicial (seed)</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NAS local (5 años de datos ~30–50 TB)</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Blob Storage (Cool/Archive)</w:t>
            </w:r>
          </w:p>
        </w:tc>
        <w:tc>
          <w:tcPr>
            <w:tcW w:type="dxa" w:w="20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Una sola vez (semanas 3–5)</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Backup incremental diario</w:t>
            </w:r>
          </w:p>
        </w:tc>
        <w:tc>
          <w:tcPr>
            <w:tcW w:type="dxa" w:w="264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Archivos modificados (~1 TB/día)</w:t>
            </w:r>
          </w:p>
        </w:tc>
        <w:tc>
          <w:tcPr>
            <w:tcW w:type="dxa" w:w="264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Blob Storage (Hot → Cool)</w:t>
            </w:r>
          </w:p>
        </w:tc>
        <w:tc>
          <w:tcPr>
            <w:tcW w:type="dxa" w:w="20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Diario, ventana nocturna 22:00–06:00</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Acceso usuario local</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PC local → LAN → NAS</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NAS / Azure Files</w:t>
            </w:r>
          </w:p>
        </w:tc>
        <w:tc>
          <w:tcPr>
            <w:tcW w:type="dxa" w:w="20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Tiempo real, sin VPN</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Acceso usuario remoto</w:t>
            </w:r>
          </w:p>
        </w:tc>
        <w:tc>
          <w:tcPr>
            <w:tcW w:type="dxa" w:w="264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PC remota → VPN (P2S) → Azure VNet</w:t>
            </w:r>
          </w:p>
        </w:tc>
        <w:tc>
          <w:tcPr>
            <w:tcW w:type="dxa" w:w="264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Files / NAS vía S2S</w:t>
            </w:r>
          </w:p>
        </w:tc>
        <w:tc>
          <w:tcPr>
            <w:tcW w:type="dxa" w:w="20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Tiempo real, con autenticación MFA</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Restore de archivos</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Blob Storage / Recovery Vault</w:t>
            </w:r>
          </w:p>
        </w:tc>
        <w:tc>
          <w:tcPr>
            <w:tcW w:type="dxa" w:w="264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NAS local o PC del usuario</w:t>
            </w:r>
          </w:p>
        </w:tc>
        <w:tc>
          <w:tcPr>
            <w:tcW w:type="dxa" w:w="20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Bajo demanda</w:t>
            </w:r>
          </w:p>
        </w:tc>
      </w:tr>
    </w:tbl>
    <w:p>
      <w:r>
        <w:t xml:space="preserve"/>
      </w:r>
    </w:p>
    <w:p>
      <w:pPr>
        <w:pStyle w:val="Heading2"/>
        <w:spacing w:after="100" w:before="280"/>
      </w:pPr>
      <w:r>
        <w:rPr>
          <w:rFonts w:ascii="Arial" w:cs="Arial" w:eastAsia="Arial" w:hAnsi="Arial"/>
          <w:b/>
          <w:bCs/>
          <w:color w:val="2E75B6"/>
          <w:sz w:val="26"/>
          <w:szCs w:val="26"/>
        </w:rPr>
        <w:t xml:space="preserve">2.3 Conectividad VPN — Tipos de Conexión</w:t>
      </w:r>
    </w:p>
    <w:p>
      <w:r>
        <w:t xml:space="preserve"/>
      </w:r>
    </w:p>
    <w:tbl>
      <w:tblPr>
        <w:tblW w:type="dxa" w:w="9360"/>
        <w:tblBorders>
          <w:top w:val="single" w:color="auto" w:sz="4"/>
          <w:bottom w:val="single" w:color="auto" w:sz="4"/>
          <w:insideH w:val="single" w:color="auto" w:sz="4"/>
          <w:insideV w:val="single" w:color="auto" w:sz="4"/>
        </w:tblBorders>
      </w:tblPr>
      <w:tblGrid>
        <w:gridCol w:w="2000"/>
        <w:gridCol w:w="4400"/>
        <w:gridCol w:w="1800"/>
        <w:gridCol w:w="1160"/>
      </w:tblGrid>
      <w:tr>
        <w:tc>
          <w:tcPr>
            <w:tcW w:type="dxa" w:w="20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Tipo VPN</w:t>
            </w:r>
          </w:p>
        </w:tc>
        <w:tc>
          <w:tcPr>
            <w:tcW w:type="dxa" w:w="4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c>
          <w:tcPr>
            <w:tcW w:type="dxa" w:w="1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Usuarios Aplicables</w:t>
            </w:r>
          </w:p>
        </w:tc>
        <w:tc>
          <w:tcPr>
            <w:tcW w:type="dxa" w:w="11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Protocolo</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Site-to-Site (S2S)</w:t>
            </w:r>
          </w:p>
        </w:tc>
        <w:tc>
          <w:tcPr>
            <w:tcW w:type="dxa" w:w="4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Túnel permanente entre el router/firewall on-premise y el Azure VPN Gateway. Todo el tráfico hacia Azure pasa cifrado de manera transparente.</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Usuarios locales (red corporativa)</w:t>
            </w:r>
          </w:p>
        </w:tc>
        <w:tc>
          <w:tcPr>
            <w:tcW w:type="dxa" w:w="1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IPSec/IKEv2</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Point-to-Site (P2S)</w:t>
            </w:r>
          </w:p>
        </w:tc>
        <w:tc>
          <w:tcPr>
            <w:tcW w:type="dxa" w:w="4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Conexión individual desde la PC/laptop del usuario remoto hacia el Azure VPN Gateway. Requiere instalación de cliente VPN.</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Usuarios remotos (10 usuarios externos)</w:t>
            </w:r>
          </w:p>
        </w:tc>
        <w:tc>
          <w:tcPr>
            <w:tcW w:type="dxa" w:w="11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OpenVPN o IKEv2</w:t>
            </w:r>
          </w:p>
        </w:tc>
      </w:tr>
    </w:tbl>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FFF2CC" w:val="clear"/>
            <w:tcMar>
              <w:top w:type="dxa" w:w="120"/>
              <w:start w:type="dxa" w:w="180"/>
              <w:bottom w:type="dxa" w:w="120"/>
              <w:end w:type="dxa" w:w="120"/>
            </w:tcMar>
          </w:tcPr>
          <w:p>
            <w:pPr>
              <w:spacing w:after="40" w:before="40"/>
            </w:pPr>
            <w:r>
              <w:rPr>
                <w:rFonts w:ascii="Arial" w:cs="Arial" w:eastAsia="Arial" w:hAnsi="Arial"/>
                <w:b/>
                <w:bCs/>
                <w:color w:val="7B4400"/>
                <w:sz w:val="20"/>
                <w:szCs w:val="20"/>
              </w:rPr>
              <w:t xml:space="preserve">⚠  Requisito S2S: Se necesita un dispositivo de red compatible (router/firewall) en la</w:t>
            </w:r>
          </w:p>
          <w:p>
            <w:pPr>
              <w:spacing w:after="40" w:before="40"/>
            </w:pPr>
            <w:r>
              <w:rPr>
                <w:rFonts w:ascii="Arial" w:cs="Arial" w:eastAsia="Arial" w:hAnsi="Arial"/>
                <w:b w:val="false"/>
                <w:bCs w:val="false"/>
                <w:color w:val="7B4400"/>
                <w:sz w:val="20"/>
                <w:szCs w:val="20"/>
              </w:rPr>
              <w:t xml:space="preserve">   organización con soporte para IPSec/IKEv2 y una IP pública estática o dinámica.</w:t>
            </w:r>
          </w:p>
          <w:p>
            <w:pPr>
              <w:spacing w:after="40" w:before="40"/>
            </w:pPr>
            <w:r>
              <w:rPr>
                <w:rFonts w:ascii="Arial" w:cs="Arial" w:eastAsia="Arial" w:hAnsi="Arial"/>
                <w:b w:val="false"/>
                <w:bCs w:val="false"/>
                <w:color w:val="7B4400"/>
                <w:sz w:val="20"/>
                <w:szCs w:val="20"/>
              </w:rPr>
              <w:t xml:space="preserve">   Marcas compatibles: Cisco, Fortinet, Palo Alto, pfSense, SonicWall, entre otros.</w:t>
            </w:r>
          </w:p>
        </w:tc>
      </w:tr>
    </w:tbl>
    <w:p>
      <w:r>
        <w:br w:type="page"/>
      </w:r>
    </w:p>
    <w:p>
      <w:pPr>
        <w:pStyle w:val="Heading1"/>
        <w:spacing w:after="120" w:before="360"/>
      </w:pPr>
      <w:r>
        <w:rPr>
          <w:rFonts w:ascii="Arial" w:cs="Arial" w:eastAsia="Arial" w:hAnsi="Arial"/>
          <w:b/>
          <w:bCs/>
          <w:color w:val="1F4E79"/>
          <w:sz w:val="32"/>
          <w:szCs w:val="32"/>
        </w:rPr>
        <w:t xml:space="preserve">5. Control de Acceso y Perfiles de Usuario</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Se definen 20 usuarios con tres perfiles de acceso basados en el principio de mínimo privilegio (Least Privilege). La autenticación se gestiona mediante Azure Active Directory / Entra ID con MFA obligatorio para usuarios remotos.</w:t>
      </w:r>
    </w:p>
    <w:p>
      <w:r>
        <w:t xml:space="preserve"/>
      </w:r>
    </w:p>
    <w:p>
      <w:pPr>
        <w:pStyle w:val="Heading2"/>
        <w:spacing w:after="100" w:before="280"/>
      </w:pPr>
      <w:r>
        <w:rPr>
          <w:rFonts w:ascii="Arial" w:cs="Arial" w:eastAsia="Arial" w:hAnsi="Arial"/>
          <w:b/>
          <w:bCs/>
          <w:color w:val="2E75B6"/>
          <w:sz w:val="26"/>
          <w:szCs w:val="26"/>
        </w:rPr>
        <w:t xml:space="preserve">3.1 Matriz de Perfiles de Acceso</w:t>
      </w:r>
    </w:p>
    <w:p>
      <w:r>
        <w:t xml:space="preserve"/>
      </w:r>
    </w:p>
    <w:tbl>
      <w:tblPr>
        <w:tblW w:type="dxa" w:w="9360"/>
        <w:tblBorders>
          <w:top w:val="single" w:color="auto" w:sz="4"/>
          <w:bottom w:val="single" w:color="auto" w:sz="4"/>
          <w:insideH w:val="single" w:color="auto" w:sz="4"/>
          <w:insideV w:val="single" w:color="auto" w:sz="4"/>
        </w:tblBorders>
      </w:tblPr>
      <w:tblGrid>
        <w:gridCol w:w="1600"/>
        <w:gridCol w:w="1400"/>
        <w:gridCol w:w="2200"/>
        <w:gridCol w:w="2000"/>
        <w:gridCol w:w="1200"/>
        <w:gridCol w:w="960"/>
      </w:tblGrid>
      <w:tr>
        <w:tc>
          <w:tcPr>
            <w:tcW w:type="dxa" w:w="1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Perfil</w:t>
            </w:r>
          </w:p>
        </w:tc>
        <w:tc>
          <w:tcPr>
            <w:tcW w:type="dxa" w:w="1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Usuarios</w:t>
            </w:r>
          </w:p>
        </w:tc>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Permisos NAS local</w:t>
            </w:r>
          </w:p>
        </w:tc>
        <w:tc>
          <w:tcPr>
            <w:tcW w:type="dxa" w:w="20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Permisos Azure Files</w:t>
            </w:r>
          </w:p>
        </w:tc>
        <w:tc>
          <w:tcPr>
            <w:tcW w:type="dxa" w:w="1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Azure Backup</w:t>
            </w:r>
          </w:p>
        </w:tc>
        <w:tc>
          <w:tcPr>
            <w:tcW w:type="dxa" w:w="9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Gestión Azure</w:t>
            </w:r>
          </w:p>
        </w:tc>
      </w:tr>
      <w:tr>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Administrador (Admin)</w:t>
            </w:r>
          </w:p>
        </w:tc>
        <w:tc>
          <w:tcPr>
            <w:tcW w:type="dxa" w:w="1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 usuarios</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Lectura, escritura, eliminación, gestión de permisos</w:t>
            </w:r>
          </w:p>
        </w:tc>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Control total (RBAC: Owner)</w:t>
            </w:r>
          </w:p>
        </w:tc>
        <w:tc>
          <w:tcPr>
            <w:tcW w:type="dxa" w:w="1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Configurar, restaurar, eliminar respaldos</w:t>
            </w:r>
          </w:p>
        </w:tc>
        <w:tc>
          <w:tcPr>
            <w:tcW w:type="dxa" w:w="9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Acceso total a portal y consola</w:t>
            </w:r>
          </w:p>
        </w:tc>
      </w:tr>
      <w:tr>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Lectura (Read-Only)</w:t>
            </w:r>
          </w:p>
        </w:tc>
        <w:tc>
          <w:tcPr>
            <w:tcW w:type="dxa" w:w="1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 usuarios</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Solo lectura de archivos y carpetas asignadas</w:t>
            </w:r>
          </w:p>
        </w:tc>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Storage Blob Data Reader</w:t>
            </w:r>
          </w:p>
        </w:tc>
        <w:tc>
          <w:tcPr>
            <w:tcW w:type="dxa" w:w="1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Visualizar estado de backups</w:t>
            </w:r>
          </w:p>
        </w:tc>
        <w:tc>
          <w:tcPr>
            <w:tcW w:type="dxa" w:w="9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Sin acceso al portal Azure</w:t>
            </w:r>
          </w:p>
        </w:tc>
      </w:tr>
      <w:tr>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Lectura y Escritura (R/W)</w:t>
            </w:r>
          </w:p>
        </w:tc>
        <w:tc>
          <w:tcPr>
            <w:tcW w:type="dxa" w:w="1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 usuarios</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Leer y escribir en carpetas asignadas, sin eliminar</w:t>
            </w:r>
          </w:p>
        </w:tc>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Storage Blob Data Contributor</w:t>
            </w:r>
          </w:p>
        </w:tc>
        <w:tc>
          <w:tcPr>
            <w:tcW w:type="dxa" w:w="1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Sin acceso</w:t>
            </w:r>
          </w:p>
        </w:tc>
        <w:tc>
          <w:tcPr>
            <w:tcW w:type="dxa" w:w="9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Sin acceso al portal Azure</w:t>
            </w:r>
          </w:p>
        </w:tc>
      </w:tr>
    </w:tbl>
    <w:p>
      <w:r>
        <w:t xml:space="preserve"/>
      </w:r>
    </w:p>
    <w:p>
      <w:pPr>
        <w:pStyle w:val="Heading2"/>
        <w:spacing w:after="100" w:before="280"/>
      </w:pPr>
      <w:r>
        <w:rPr>
          <w:rFonts w:ascii="Arial" w:cs="Arial" w:eastAsia="Arial" w:hAnsi="Arial"/>
          <w:b/>
          <w:bCs/>
          <w:color w:val="2E75B6"/>
          <w:sz w:val="26"/>
          <w:szCs w:val="26"/>
        </w:rPr>
        <w:t xml:space="preserve">3.2 Roles RBAC en Azure</w:t>
      </w:r>
    </w:p>
    <w:p>
      <w:r>
        <w:t xml:space="preserve"/>
      </w:r>
    </w:p>
    <w:tbl>
      <w:tblPr>
        <w:tblW w:type="dxa" w:w="9360"/>
        <w:tblBorders>
          <w:top w:val="single" w:color="auto" w:sz="4"/>
          <w:bottom w:val="single" w:color="auto" w:sz="4"/>
          <w:insideH w:val="single" w:color="auto" w:sz="4"/>
          <w:insideV w:val="single" w:color="auto" w:sz="4"/>
        </w:tblBorders>
      </w:tblPr>
      <w:tblGrid>
        <w:gridCol w:w="2800"/>
        <w:gridCol w:w="1800"/>
        <w:gridCol w:w="4760"/>
      </w:tblGrid>
      <w:tr>
        <w:tc>
          <w:tcPr>
            <w:tcW w:type="dxa" w:w="2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Rol Azure RBAC</w:t>
            </w:r>
          </w:p>
        </w:tc>
        <w:tc>
          <w:tcPr>
            <w:tcW w:type="dxa" w:w="1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Perfiles Asignados</w:t>
            </w:r>
          </w:p>
        </w:tc>
        <w:tc>
          <w:tcPr>
            <w:tcW w:type="dxa" w:w="476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Owner</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Control total sobre recursos Azure en el scope asignado</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Storage Blob Data Contributor</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R/W (10)</w:t>
            </w:r>
          </w:p>
        </w:tc>
        <w:tc>
          <w:tcPr>
            <w:tcW w:type="dxa" w:w="4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Leer, escribir y eliminar blobs y contenedores en Blob Storage</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Storage Blob Data Reader</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Read-Only (8)</w:t>
            </w:r>
          </w:p>
        </w:tc>
        <w:tc>
          <w:tcPr>
            <w:tcW w:type="dxa" w:w="4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Solo lectura de blobs y contenedores</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Backup Contributor</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Gestionar Recovery Services Vault y políticas de backup</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Network Contributor</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Gestionar VPN Gateway y configuración de red virtual</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Reader</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Read-Only (8)</w:t>
            </w:r>
          </w:p>
        </w:tc>
        <w:tc>
          <w:tcPr>
            <w:tcW w:type="dxa" w:w="4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Visualizar recursos sin posibilidad de modificarlos</w:t>
            </w:r>
          </w:p>
        </w:tc>
      </w:tr>
    </w:tbl>
    <w:p>
      <w:r>
        <w:t xml:space="preserve"/>
      </w:r>
    </w:p>
    <w:p>
      <w:pPr>
        <w:pStyle w:val="Heading2"/>
        <w:spacing w:after="100" w:before="280"/>
      </w:pPr>
      <w:r>
        <w:rPr>
          <w:rFonts w:ascii="Arial" w:cs="Arial" w:eastAsia="Arial" w:hAnsi="Arial"/>
          <w:b/>
          <w:bCs/>
          <w:color w:val="2E75B6"/>
          <w:sz w:val="26"/>
          <w:szCs w:val="26"/>
        </w:rPr>
        <w:t xml:space="preserve">3.3 Políticas de Seguridad de Acceso</w:t>
      </w:r>
    </w:p>
    <w:p>
      <w:pPr>
        <w:pStyle w:val="ListParagraph"/>
        <w:numPr>
          <w:ilvl w:val="0"/>
          <w:numId w:val="2"/>
        </w:numPr>
        <w:spacing w:after="60" w:before="40"/>
      </w:pPr>
      <w:r>
        <w:rPr>
          <w:rFonts w:ascii="Arial" w:cs="Arial" w:eastAsia="Arial" w:hAnsi="Arial"/>
          <w:color w:val="404040"/>
          <w:sz w:val="22"/>
          <w:szCs w:val="22"/>
        </w:rPr>
        <w:t xml:space="preserve">MFA (Autenticación Multifactor): Obligatorio para todos los usuarios que acceden mediante VPN P2S y al portal de Azure.</w:t>
      </w:r>
    </w:p>
    <w:p>
      <w:pPr>
        <w:pStyle w:val="ListParagraph"/>
        <w:numPr>
          <w:ilvl w:val="0"/>
          <w:numId w:val="2"/>
        </w:numPr>
        <w:spacing w:after="60" w:before="40"/>
      </w:pPr>
      <w:r>
        <w:rPr>
          <w:rFonts w:ascii="Arial" w:cs="Arial" w:eastAsia="Arial" w:hAnsi="Arial"/>
          <w:color w:val="404040"/>
          <w:sz w:val="22"/>
          <w:szCs w:val="22"/>
        </w:rPr>
        <w:t xml:space="preserve">Conditional Access: Bloquear acceso desde países no autorizados. Requerir dispositivo administrado (Intune) para perfiles Admin.</w:t>
      </w:r>
    </w:p>
    <w:p>
      <w:pPr>
        <w:pStyle w:val="ListParagraph"/>
        <w:numPr>
          <w:ilvl w:val="0"/>
          <w:numId w:val="2"/>
        </w:numPr>
        <w:spacing w:after="60" w:before="40"/>
      </w:pPr>
      <w:r>
        <w:rPr>
          <w:rFonts w:ascii="Arial" w:cs="Arial" w:eastAsia="Arial" w:hAnsi="Arial"/>
          <w:color w:val="404040"/>
          <w:sz w:val="22"/>
          <w:szCs w:val="22"/>
        </w:rPr>
        <w:t xml:space="preserve">Privileged Identity Management (PIM): Los roles Admin se activan bajo demanda con aprobación y tiempo limitado (Just-in-Time).</w:t>
      </w:r>
    </w:p>
    <w:p>
      <w:pPr>
        <w:pStyle w:val="ListParagraph"/>
        <w:numPr>
          <w:ilvl w:val="0"/>
          <w:numId w:val="2"/>
        </w:numPr>
        <w:spacing w:after="60" w:before="40"/>
      </w:pPr>
      <w:r>
        <w:rPr>
          <w:rFonts w:ascii="Arial" w:cs="Arial" w:eastAsia="Arial" w:hAnsi="Arial"/>
          <w:color w:val="404040"/>
          <w:sz w:val="22"/>
          <w:szCs w:val="22"/>
        </w:rPr>
        <w:t xml:space="preserve">Revisión periódica de accesos: Auditoría trimestral de Access Reviews en Azure AD para validar vigencia de permisos.</w:t>
      </w:r>
    </w:p>
    <w:p>
      <w:pPr>
        <w:pStyle w:val="ListParagraph"/>
        <w:numPr>
          <w:ilvl w:val="0"/>
          <w:numId w:val="2"/>
        </w:numPr>
        <w:spacing w:after="60" w:before="40"/>
      </w:pPr>
      <w:r>
        <w:rPr>
          <w:rFonts w:ascii="Arial" w:cs="Arial" w:eastAsia="Arial" w:hAnsi="Arial"/>
          <w:color w:val="404040"/>
          <w:sz w:val="22"/>
          <w:szCs w:val="22"/>
        </w:rPr>
        <w:t xml:space="preserve">Contraseñas y rotación: Política de contraseñas complejas (14 caracteres, rotación cada 90 días).</w:t>
      </w:r>
    </w:p>
    <w:p>
      <w:r>
        <w:t xml:space="preserve"/>
      </w:r>
    </w:p>
    <w:p>
      <w:pPr>
        <w:pStyle w:val="Heading2"/>
        <w:spacing w:after="100" w:before="280"/>
      </w:pPr>
      <w:r>
        <w:rPr>
          <w:rFonts w:ascii="Arial" w:cs="Arial" w:eastAsia="Arial" w:hAnsi="Arial"/>
          <w:b/>
          <w:bCs/>
          <w:color w:val="2E75B6"/>
          <w:sz w:val="26"/>
          <w:szCs w:val="26"/>
        </w:rPr>
        <w:t xml:space="preserve">3.4 Distribución de Usuarios por Tipo de Conexión</w:t>
      </w:r>
    </w:p>
    <w:p>
      <w:r>
        <w:t xml:space="preserve"/>
      </w:r>
    </w:p>
    <w:tbl>
      <w:tblPr>
        <w:tblW w:type="dxa" w:w="9360"/>
        <w:tblBorders>
          <w:top w:val="single" w:color="auto" w:sz="4"/>
          <w:bottom w:val="single" w:color="auto" w:sz="4"/>
          <w:insideH w:val="single" w:color="auto" w:sz="4"/>
          <w:insideV w:val="single" w:color="auto" w:sz="4"/>
        </w:tblBorders>
      </w:tblPr>
      <w:tblGrid>
        <w:gridCol w:w="2400"/>
        <w:gridCol w:w="900"/>
        <w:gridCol w:w="2400"/>
        <w:gridCol w:w="2400"/>
        <w:gridCol w:w="1260"/>
      </w:tblGrid>
      <w:tr>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Tipo de Usuario</w:t>
            </w:r>
          </w:p>
        </w:tc>
        <w:tc>
          <w:tcPr>
            <w:tcW w:type="dxa" w:w="9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Cantidad</w:t>
            </w:r>
          </w:p>
        </w:tc>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Conexión</w:t>
            </w:r>
          </w:p>
        </w:tc>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Perfil Aplicable</w:t>
            </w:r>
          </w:p>
        </w:tc>
        <w:tc>
          <w:tcPr>
            <w:tcW w:type="dxa" w:w="12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Autenticación</w:t>
            </w:r>
          </w:p>
        </w:tc>
      </w:tr>
      <w:tr>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Usuarios locales (LAN)</w:t>
            </w:r>
          </w:p>
        </w:tc>
        <w:tc>
          <w:tcPr>
            <w:tcW w:type="dxa" w:w="9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Red corporativa + VPN S2S (transparente)</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 (1), R/W (6), Read (3)</w:t>
            </w:r>
          </w:p>
        </w:tc>
        <w:tc>
          <w:tcPr>
            <w:tcW w:type="dxa" w:w="12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AD + SSO corporativo</w:t>
            </w:r>
          </w:p>
        </w:tc>
      </w:tr>
      <w:tr>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Usuarios remotos (VPN)</w:t>
            </w:r>
          </w:p>
        </w:tc>
        <w:tc>
          <w:tcPr>
            <w:tcW w:type="dxa" w:w="9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VPN P2S (OpenVPN/IKEv2 desde PC personal o laptop)</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(1), R/W (4), Read (5)</w:t>
            </w:r>
          </w:p>
        </w:tc>
        <w:tc>
          <w:tcPr>
            <w:tcW w:type="dxa" w:w="12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AD + MFA obligatorio</w:t>
            </w:r>
          </w:p>
        </w:tc>
      </w:tr>
      <w:tr>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Total</w:t>
            </w:r>
          </w:p>
        </w:tc>
        <w:tc>
          <w:tcPr>
            <w:tcW w:type="dxa" w:w="9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 Admin, 10 R/W, 8 Read-Only</w:t>
            </w:r>
          </w:p>
        </w:tc>
        <w:tc>
          <w:tcPr>
            <w:tcW w:type="dxa" w:w="12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w:t>
            </w:r>
          </w:p>
        </w:tc>
      </w:tr>
    </w:tbl>
    <w:p>
      <w:r>
        <w:br w:type="page"/>
      </w:r>
    </w:p>
    <w:p>
      <w:pPr>
        <w:pStyle w:val="Heading1"/>
        <w:spacing w:after="120" w:before="360"/>
      </w:pPr>
      <w:r>
        <w:rPr>
          <w:rFonts w:ascii="Arial" w:cs="Arial" w:eastAsia="Arial" w:hAnsi="Arial"/>
          <w:b/>
          <w:bCs/>
          <w:color w:val="1F4E79"/>
          <w:sz w:val="32"/>
          <w:szCs w:val="32"/>
        </w:rPr>
        <w:t xml:space="preserve">6. Requerimientos Técnicos y Humanos</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4.1 Requerimientos Técnicos — On-Premise</w:t>
      </w:r>
    </w:p>
    <w:tbl>
      <w:tblPr>
        <w:tblW w:type="dxa" w:w="9360"/>
        <w:tblBorders>
          <w:top w:val="single" w:color="auto" w:sz="4"/>
          <w:bottom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Componente</w:t>
            </w:r>
          </w:p>
        </w:tc>
        <w:tc>
          <w:tcPr>
            <w:tcW w:type="dxa" w:w="61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Especificación Mínima Requerida</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Enlace a internet</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100 Mbps dedicados (subida real, no nominal). Ideal: 200 Mbps o superior.</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Dispositivo de red (S2S)</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Router/firewall compatible con IPSec/IKEv2 e IP pública estática o DDNS.</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Servidor de backup</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Windows Server 2016+ o Linux (Ubuntu 20.04+). 4 GB RAM, 100 GB disco para caché.</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NAS</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SMB 2.0+ o NFS v3+ activo. Acceso al sistema de archivos completo para el agente.</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Software de backup</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MARS Agent (Windows) o AzCopy / Rclone (Linux) para Escenario 2.</w:t>
            </w:r>
          </w:p>
        </w:tc>
      </w:tr>
    </w:tbl>
    <w:p>
      <w:r>
        <w:t xml:space="preserve"/>
      </w:r>
    </w:p>
    <w:p>
      <w:pPr>
        <w:pStyle w:val="Heading2"/>
        <w:spacing w:after="100" w:before="280"/>
      </w:pPr>
      <w:r>
        <w:rPr>
          <w:rFonts w:ascii="Arial" w:cs="Arial" w:eastAsia="Arial" w:hAnsi="Arial"/>
          <w:b/>
          <w:bCs/>
          <w:color w:val="2E75B6"/>
          <w:sz w:val="26"/>
          <w:szCs w:val="26"/>
        </w:rPr>
        <w:t xml:space="preserve">4.2 Requerimientos Técnicos — Azure</w:t>
      </w:r>
    </w:p>
    <w:tbl>
      <w:tblPr>
        <w:tblW w:type="dxa" w:w="9360"/>
        <w:tblBorders>
          <w:top w:val="single" w:color="auto" w:sz="4"/>
          <w:bottom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Recurso Azure</w:t>
            </w:r>
          </w:p>
        </w:tc>
        <w:tc>
          <w:tcPr>
            <w:tcW w:type="dxa" w:w="616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Suscripción Azure</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Activa, con permisos de Owner en el Resource Group del proyecto.</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Virtual Network (VNet)</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Con 3 subredes: GatewaySubnet (/27), BackupSubnet (/24), UsersSubnet (/24).</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VPN Gateway</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SKU VpnGw1 (hasta 650 Mbps). Activa tanto S2S como P2S en el mismo gateway.</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Recovery Services Vault</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Para Escenario 1 (Azure Backup). GRS (Geo-Redundant Storage) activado.</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Blob Storage</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Para Escenario 2. Cuenta GPv2, tiers Hot/Cool/Archive habilitados.</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Files (opcional)</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Para acceso compartido de los 20 usuarios. Tier Transaction Optimized.</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AD / Entra ID</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Plan P1 mínimo para Conditional Access. Plan P2 para PIM.</w:t>
            </w:r>
          </w:p>
        </w:tc>
      </w:tr>
      <w:tr>
        <w:tc>
          <w:tcPr>
            <w:tcW w:type="dxa" w:w="3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b w:val="false"/>
                <w:bCs w:val="false"/>
                <w:color w:val="404040"/>
                <w:sz w:val="20"/>
                <w:szCs w:val="20"/>
              </w:rPr>
              <w:t xml:space="preserve">Azure Monitor + Log Analytics</w:t>
            </w:r>
          </w:p>
        </w:tc>
        <w:tc>
          <w:tcPr>
            <w:tcW w:type="dxa" w:w="6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b w:val="false"/>
                <w:bCs w:val="false"/>
                <w:color w:val="404040"/>
                <w:sz w:val="20"/>
                <w:szCs w:val="20"/>
              </w:rPr>
              <w:t xml:space="preserve">Workspace para centralizar logs de backup, VPN y accesos.</w:t>
            </w:r>
          </w:p>
        </w:tc>
      </w:tr>
    </w:tbl>
    <w:p>
      <w:r>
        <w:t xml:space="preserve"/>
      </w:r>
    </w:p>
    <w:p>
      <w:pPr>
        <w:pStyle w:val="Heading2"/>
        <w:spacing w:after="100" w:before="280"/>
      </w:pPr>
      <w:r>
        <w:rPr>
          <w:rFonts w:ascii="Arial" w:cs="Arial" w:eastAsia="Arial" w:hAnsi="Arial"/>
          <w:b/>
          <w:bCs/>
          <w:color w:val="2E75B6"/>
          <w:sz w:val="26"/>
          <w:szCs w:val="26"/>
        </w:rPr>
        <w:t xml:space="preserve">4.3 Requerimientos Humanos</w:t>
      </w:r>
    </w:p>
    <w:tbl>
      <w:tblPr>
        <w:tblW w:type="dxa" w:w="9360"/>
        <w:tblBorders>
          <w:top w:val="single" w:color="auto" w:sz="4"/>
          <w:bottom w:val="single" w:color="auto" w:sz="4"/>
          <w:insideH w:val="single" w:color="auto" w:sz="4"/>
          <w:insideV w:val="single" w:color="auto" w:sz="4"/>
        </w:tblBorders>
      </w:tblPr>
      <w:tblGrid>
        <w:gridCol w:w="2200"/>
        <w:gridCol w:w="1600"/>
        <w:gridCol w:w="1800"/>
        <w:gridCol w:w="3760"/>
      </w:tblGrid>
      <w:tr>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Rol</w:t>
            </w:r>
          </w:p>
        </w:tc>
        <w:tc>
          <w:tcPr>
            <w:tcW w:type="dxa" w:w="1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Dedicación</w:t>
            </w:r>
          </w:p>
        </w:tc>
        <w:tc>
          <w:tcPr>
            <w:tcW w:type="dxa" w:w="1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Fase</w:t>
            </w:r>
          </w:p>
        </w:tc>
        <w:tc>
          <w:tcPr>
            <w:tcW w:type="dxa" w:w="37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Responsabilidades</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Ingeniero Azure Cloud</w:t>
            </w:r>
          </w:p>
        </w:tc>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40–80 hrs (implementación)</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Semanas 1–6</w:t>
            </w:r>
          </w:p>
        </w:tc>
        <w:tc>
          <w:tcPr>
            <w:tcW w:type="dxa" w:w="3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Aprovisionamiento de recursos, VPN, RBAC, políticas de backup</w:t>
            </w:r>
          </w:p>
        </w:tc>
      </w:tr>
      <w:tr>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Administrador de Sistemas</w:t>
            </w:r>
          </w:p>
        </w:tc>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20–30 hrs (implementación) + 4 hrs/mes (operación)</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Todo el proyecto</w:t>
            </w:r>
          </w:p>
        </w:tc>
        <w:tc>
          <w:tcPr>
            <w:tcW w:type="dxa" w:w="3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Configuración on-premise, agente de backup, script, monitoreo</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Propietario de datos (usuario NAS)</w:t>
            </w:r>
          </w:p>
        </w:tc>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8 hrs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Semanas 1 y 7</w:t>
            </w:r>
          </w:p>
        </w:tc>
        <w:tc>
          <w:tcPr>
            <w:tcW w:type="dxa" w:w="3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Validación de permisos, prueba de restore, aprobación de accesos</w:t>
            </w:r>
          </w:p>
        </w:tc>
      </w:tr>
      <w:tr>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Responsable de Seguridad TI</w:t>
            </w:r>
          </w:p>
        </w:tc>
        <w:tc>
          <w:tcPr>
            <w:tcW w:type="dxa" w:w="1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 hrs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Semanas 1 y 8</w:t>
            </w:r>
          </w:p>
        </w:tc>
        <w:tc>
          <w:tcPr>
            <w:tcW w:type="dxa" w:w="37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Revisión de políticas RBAC, Conditional Access, auditoría</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Patrocinador / Gerente de Área</w:t>
            </w:r>
          </w:p>
        </w:tc>
        <w:tc>
          <w:tcPr>
            <w:tcW w:type="dxa" w:w="1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4 hrs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1 y cierre</w:t>
            </w:r>
          </w:p>
        </w:tc>
        <w:tc>
          <w:tcPr>
            <w:tcW w:type="dxa" w:w="37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Aprobación de presupuesto, definición de política de retención</w:t>
            </w:r>
          </w:p>
        </w:tc>
      </w:tr>
    </w:tbl>
    <w:p>
      <w:r>
        <w:br w:type="page"/>
      </w:r>
    </w:p>
    <w:p>
      <w:pPr>
        <w:pStyle w:val="Heading1"/>
        <w:spacing w:after="120" w:before="360"/>
      </w:pPr>
      <w:r>
        <w:rPr>
          <w:rFonts w:ascii="Arial" w:cs="Arial" w:eastAsia="Arial" w:hAnsi="Arial"/>
          <w:b/>
          <w:bCs/>
          <w:color w:val="1F4E79"/>
          <w:sz w:val="32"/>
          <w:szCs w:val="32"/>
        </w:rPr>
        <w:t xml:space="preserve">7. Alcances y Fuera de Alcance</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5.1 Dentro del Alcance</w:t>
      </w:r>
    </w:p>
    <w:tbl>
      <w:tblPr>
        <w:tblW w:type="dxa" w:w="9360"/>
        <w:tblBorders>
          <w:top w:val="single" w:color="auto" w:sz="4"/>
          <w:bottom w:val="single" w:color="auto" w:sz="4"/>
          <w:insideH w:val="single" w:color="auto" w:sz="4"/>
          <w:insideV w:val="single" w:color="auto" w:sz="4"/>
        </w:tblBorders>
      </w:tblPr>
      <w:tblGrid>
        <w:gridCol w:w="600"/>
        <w:gridCol w:w="2400"/>
        <w:gridCol w:w="6360"/>
      </w:tblGrid>
      <w:tr>
        <w:tc>
          <w:tcPr>
            <w:tcW w:type="dxa" w:w="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Entregable</w:t>
            </w:r>
          </w:p>
        </w:tc>
        <w:tc>
          <w:tcPr>
            <w:tcW w:type="dxa" w:w="63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Descripción</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Diseño de arquitectura</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Diagrama de solución, flujo de datos y decisiones de diseño documentadas</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Aprovisionamiento Azure</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VNet, subredes, VPN Gateway (S2S + P2S), Storage Account, Recovery Vault</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Configuración VPN S2S</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Túnel IPSec entre on-premise y Azure VPN Gateway</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Configuración VPN P2S</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Certificados, perfil de cliente VPN para 10 usuarios remotos</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Gestión de identidades</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AD, 20 usuarios, 3 perfiles RBAC, MFA, Conditional Access</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Copia inicial (seed backup)</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Transferencia de datos de los últimos 5 años a Azure Blob Storage</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Política de backup incremental</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Script diario (~1 TB), versionado, retención configurable (30/90/365 días)</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Alertas y monitoreo</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Monitor, Log Analytics, notificaciones por correo al Admin</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Prueba de restore</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Validación de integridad y recuperación de muestra representativa de datos</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Documentación técnica</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Runbook de operación, diagrama final, inventario de recursos Azure</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Capacitación</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Sesión de 4 hrs con administrador TI y usuario propietario</w:t>
            </w:r>
          </w:p>
        </w:tc>
      </w:tr>
    </w:tbl>
    <w:p>
      <w:r>
        <w:t xml:space="preserve"/>
      </w:r>
    </w:p>
    <w:p>
      <w:pPr>
        <w:pStyle w:val="Heading2"/>
        <w:spacing w:after="100" w:before="280"/>
      </w:pPr>
      <w:r>
        <w:rPr>
          <w:rFonts w:ascii="Arial" w:cs="Arial" w:eastAsia="Arial" w:hAnsi="Arial"/>
          <w:b/>
          <w:bCs/>
          <w:color w:val="2E75B6"/>
          <w:sz w:val="26"/>
          <w:szCs w:val="26"/>
        </w:rPr>
        <w:t xml:space="preserve">5.2 Fuera del Alcance</w:t>
      </w:r>
    </w:p>
    <w:tbl>
      <w:tblPr>
        <w:tblW w:type="dxa" w:w="9360"/>
        <w:tblBorders>
          <w:top w:val="single" w:color="auto" w:sz="4"/>
          <w:bottom w:val="single" w:color="auto" w:sz="4"/>
          <w:insideH w:val="single" w:color="auto" w:sz="4"/>
          <w:insideV w:val="single" w:color="auto" w:sz="4"/>
        </w:tblBorders>
      </w:tblPr>
      <w:tblGrid>
        <w:gridCol w:w="600"/>
        <w:gridCol w:w="2400"/>
        <w:gridCol w:w="6360"/>
      </w:tblGrid>
      <w:tr>
        <w:tc>
          <w:tcPr>
            <w:tcW w:type="dxa" w:w="6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Observación</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Migración de flujo de trabajo a nube</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No se modifica el uso diario de la NAS como storage activo</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Reemplazo de la NAS física</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El hardware existente se mantiene como está</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Adquisición de hardware adicional</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Servidores, dispositivos VPN on-premise, cables o switches</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Restore masivo de los 70 TB completos</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Solo se incluye prueba de restore de muestra. Restore total es bajo demanda.</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Licenciamiento Microsoft 365 / Office</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No se adquieren ni configuran licencias de productividad</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Antivirus y seguridad endpoint</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Protección de dispositivos de usuarios finales fuera del scope</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Conexión ExpressRoute</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Solo se implementa VPN; ExpressRoute requiere contrato con ISP dedicado</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Soporte a otras áreas</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La solución cubre únicamente el área dueña de la NAS de 70 TB</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Auditoría de cumplimiento normativo</w:t>
            </w:r>
          </w:p>
        </w:tc>
        <w:tc>
          <w:tcPr>
            <w:tcW w:type="dxa" w:w="6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GDPR, HIPAA, ISO 27001 u otros marcos requieren proyecto separado</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CI/CD del script de backup</w:t>
            </w:r>
          </w:p>
        </w:tc>
        <w:tc>
          <w:tcPr>
            <w:tcW w:type="dxa" w:w="6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El script se entrega funcional; su integración en pipelines DevOps está fuera de scope</w:t>
            </w:r>
          </w:p>
        </w:tc>
      </w:tr>
    </w:tbl>
    <w:p>
      <w:r>
        <w:br w:type="page"/>
      </w:r>
    </w:p>
    <w:p>
      <w:pPr>
        <w:pStyle w:val="Heading1"/>
        <w:spacing w:after="120" w:before="360"/>
      </w:pPr>
      <w:r>
        <w:rPr>
          <w:rFonts w:ascii="Arial" w:cs="Arial" w:eastAsia="Arial" w:hAnsi="Arial"/>
          <w:b/>
          <w:bCs/>
          <w:color w:val="1F4E79"/>
          <w:sz w:val="32"/>
          <w:szCs w:val="32"/>
        </w:rPr>
        <w:t xml:space="preserve">8. Supuestos del Proyecto</w:t>
      </w:r>
    </w:p>
    <w:p>
      <w:pPr>
        <w:pBdr>
          <w:bottom w:val="single" w:color="2E75B6" w:sz="6" w:space="1"/>
        </w:pBdr>
        <w:spacing w:after="0"/>
      </w:pPr>
    </w:p>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start w:type="dxa" w:w="180"/>
              <w:bottom w:type="dxa" w:w="120"/>
              <w:end w:type="dxa" w:w="120"/>
            </w:tcMar>
          </w:tcPr>
          <w:p>
            <w:pPr>
              <w:spacing w:after="40" w:before="40"/>
            </w:pPr>
            <w:r>
              <w:rPr>
                <w:rFonts w:ascii="Arial" w:cs="Arial" w:eastAsia="Arial" w:hAnsi="Arial"/>
                <w:b/>
                <w:bCs/>
                <w:color w:val="1F4E79"/>
                <w:sz w:val="20"/>
                <w:szCs w:val="20"/>
              </w:rPr>
              <w:t xml:space="preserve">ℹ  Los siguientes supuestos son la base de la estimación de costos y tiempos.</w:t>
            </w:r>
          </w:p>
          <w:p>
            <w:pPr>
              <w:spacing w:after="40" w:before="40"/>
            </w:pPr>
            <w:r>
              <w:rPr>
                <w:rFonts w:ascii="Arial" w:cs="Arial" w:eastAsia="Arial" w:hAnsi="Arial"/>
                <w:b w:val="false"/>
                <w:bCs w:val="false"/>
                <w:color w:val="1F4E79"/>
                <w:sz w:val="20"/>
                <w:szCs w:val="20"/>
              </w:rPr>
              <w:t xml:space="preserve">   Cualquier variación deberá ser evaluada y podrá impactar en el alcance o presupuesto.</w:t>
            </w:r>
          </w:p>
        </w:tc>
      </w:tr>
    </w:tbl>
    <w:p>
      <w:r>
        <w:t xml:space="preserve"/>
      </w:r>
    </w:p>
    <w:p>
      <w:pPr>
        <w:pStyle w:val="Heading2"/>
        <w:spacing w:after="100" w:before="280"/>
      </w:pPr>
      <w:r>
        <w:rPr>
          <w:rFonts w:ascii="Arial" w:cs="Arial" w:eastAsia="Arial" w:hAnsi="Arial"/>
          <w:b/>
          <w:bCs/>
          <w:color w:val="2E75B6"/>
          <w:sz w:val="26"/>
          <w:szCs w:val="26"/>
        </w:rPr>
        <w:t xml:space="preserve">6.1 Supuestos Técnicos</w:t>
      </w:r>
    </w:p>
    <w:p>
      <w:pPr>
        <w:pStyle w:val="ListParagraph"/>
        <w:numPr>
          <w:ilvl w:val="0"/>
          <w:numId w:val="2"/>
        </w:numPr>
        <w:spacing w:after="60" w:before="40"/>
      </w:pPr>
      <w:r>
        <w:rPr>
          <w:rFonts w:ascii="Arial" w:cs="Arial" w:eastAsia="Arial" w:hAnsi="Arial"/>
          <w:color w:val="404040"/>
          <w:sz w:val="22"/>
          <w:szCs w:val="22"/>
        </w:rPr>
        <w:t xml:space="preserve">El enlace a internet disponible tiene al menos 100 Mbps de subida real (no nominal contratado).</w:t>
      </w:r>
    </w:p>
    <w:p>
      <w:pPr>
        <w:pStyle w:val="ListParagraph"/>
        <w:numPr>
          <w:ilvl w:val="0"/>
          <w:numId w:val="2"/>
        </w:numPr>
        <w:spacing w:after="60" w:before="40"/>
      </w:pPr>
      <w:r>
        <w:rPr>
          <w:rFonts w:ascii="Arial" w:cs="Arial" w:eastAsia="Arial" w:hAnsi="Arial"/>
          <w:color w:val="404040"/>
          <w:sz w:val="22"/>
          <w:szCs w:val="22"/>
        </w:rPr>
        <w:t xml:space="preserve">Los datos en la NAS son accesibles vía SMB o NFS sin restricciones de red o sistema de archivos.</w:t>
      </w:r>
    </w:p>
    <w:p>
      <w:pPr>
        <w:pStyle w:val="ListParagraph"/>
        <w:numPr>
          <w:ilvl w:val="0"/>
          <w:numId w:val="2"/>
        </w:numPr>
        <w:spacing w:after="60" w:before="40"/>
      </w:pPr>
      <w:r>
        <w:rPr>
          <w:rFonts w:ascii="Arial" w:cs="Arial" w:eastAsia="Arial" w:hAnsi="Arial"/>
          <w:color w:val="404040"/>
          <w:sz w:val="22"/>
          <w:szCs w:val="22"/>
        </w:rPr>
        <w:t xml:space="preserve">La organización dispone de un dispositivo de red (router/firewall) compatible con IPSec/IKEv2 para la VPN S2S.</w:t>
      </w:r>
    </w:p>
    <w:p>
      <w:pPr>
        <w:pStyle w:val="ListParagraph"/>
        <w:numPr>
          <w:ilvl w:val="0"/>
          <w:numId w:val="2"/>
        </w:numPr>
        <w:spacing w:after="60" w:before="40"/>
      </w:pPr>
      <w:r>
        <w:rPr>
          <w:rFonts w:ascii="Arial" w:cs="Arial" w:eastAsia="Arial" w:hAnsi="Arial"/>
          <w:color w:val="404040"/>
          <w:sz w:val="22"/>
          <w:szCs w:val="22"/>
        </w:rPr>
        <w:t xml:space="preserve">Se estima que aproximadamente 1 TB de datos cambia o se agrega diariamente (delta diario incremental).</w:t>
      </w:r>
    </w:p>
    <w:p>
      <w:pPr>
        <w:pStyle w:val="ListParagraph"/>
        <w:numPr>
          <w:ilvl w:val="0"/>
          <w:numId w:val="2"/>
        </w:numPr>
        <w:spacing w:after="60" w:before="40"/>
      </w:pPr>
      <w:r>
        <w:rPr>
          <w:rFonts w:ascii="Arial" w:cs="Arial" w:eastAsia="Arial" w:hAnsi="Arial"/>
          <w:color w:val="404040"/>
          <w:sz w:val="22"/>
          <w:szCs w:val="22"/>
        </w:rPr>
        <w:t xml:space="preserve">La copia inicial abarcará los últimos 5 años, estimando entre 30 y 50 TB de datos históricos.</w:t>
      </w:r>
    </w:p>
    <w:p>
      <w:pPr>
        <w:pStyle w:val="ListParagraph"/>
        <w:numPr>
          <w:ilvl w:val="0"/>
          <w:numId w:val="2"/>
        </w:numPr>
        <w:spacing w:after="60" w:before="40"/>
      </w:pPr>
      <w:r>
        <w:rPr>
          <w:rFonts w:ascii="Arial" w:cs="Arial" w:eastAsia="Arial" w:hAnsi="Arial"/>
          <w:color w:val="404040"/>
          <w:sz w:val="22"/>
          <w:szCs w:val="22"/>
        </w:rPr>
        <w:t xml:space="preserve">No existen datos con clasificación especial (ej. datos personales sujetos a GDPR local) que impidan su almacenamiento en Azure fuera del país.</w:t>
      </w:r>
    </w:p>
    <w:p>
      <w:r>
        <w:t xml:space="preserve"/>
      </w:r>
    </w:p>
    <w:p>
      <w:pPr>
        <w:pStyle w:val="Heading2"/>
        <w:spacing w:after="100" w:before="280"/>
      </w:pPr>
      <w:r>
        <w:rPr>
          <w:rFonts w:ascii="Arial" w:cs="Arial" w:eastAsia="Arial" w:hAnsi="Arial"/>
          <w:b/>
          <w:bCs/>
          <w:color w:val="2E75B6"/>
          <w:sz w:val="26"/>
          <w:szCs w:val="26"/>
        </w:rPr>
        <w:t xml:space="preserve">6.2 Supuestos Operativos</w:t>
      </w:r>
    </w:p>
    <w:p>
      <w:pPr>
        <w:pStyle w:val="ListParagraph"/>
        <w:numPr>
          <w:ilvl w:val="0"/>
          <w:numId w:val="2"/>
        </w:numPr>
        <w:spacing w:after="60" w:before="40"/>
      </w:pPr>
      <w:r>
        <w:rPr>
          <w:rFonts w:ascii="Arial" w:cs="Arial" w:eastAsia="Arial" w:hAnsi="Arial"/>
          <w:color w:val="404040"/>
          <w:sz w:val="22"/>
          <w:szCs w:val="22"/>
        </w:rPr>
        <w:t xml:space="preserve">El cliente provee acceso administrativo (Owner) a la suscripción de Azure durante toda la implementación.</w:t>
      </w:r>
    </w:p>
    <w:p>
      <w:pPr>
        <w:pStyle w:val="ListParagraph"/>
        <w:numPr>
          <w:ilvl w:val="0"/>
          <w:numId w:val="2"/>
        </w:numPr>
        <w:spacing w:after="60" w:before="40"/>
      </w:pPr>
      <w:r>
        <w:rPr>
          <w:rFonts w:ascii="Arial" w:cs="Arial" w:eastAsia="Arial" w:hAnsi="Arial"/>
          <w:color w:val="404040"/>
          <w:sz w:val="22"/>
          <w:szCs w:val="22"/>
        </w:rPr>
        <w:t xml:space="preserve">Existe una ventana de mantenimiento nocturna (22:00–06:00 hrs) disponible para la carga de datos sin afectar operaciones.</w:t>
      </w:r>
    </w:p>
    <w:p>
      <w:pPr>
        <w:pStyle w:val="ListParagraph"/>
        <w:numPr>
          <w:ilvl w:val="0"/>
          <w:numId w:val="2"/>
        </w:numPr>
        <w:spacing w:after="60" w:before="40"/>
      </w:pPr>
      <w:r>
        <w:rPr>
          <w:rFonts w:ascii="Arial" w:cs="Arial" w:eastAsia="Arial" w:hAnsi="Arial"/>
          <w:color w:val="404040"/>
          <w:sz w:val="22"/>
          <w:szCs w:val="22"/>
        </w:rPr>
        <w:t xml:space="preserve">Los 20 usuarios a incorporar cuentan con dispositivos con sistema operativo Windows 10/11 o macOS 12+ para el cliente VPN P2S.</w:t>
      </w:r>
    </w:p>
    <w:p>
      <w:pPr>
        <w:pStyle w:val="ListParagraph"/>
        <w:numPr>
          <w:ilvl w:val="0"/>
          <w:numId w:val="2"/>
        </w:numPr>
        <w:spacing w:after="60" w:before="40"/>
      </w:pPr>
      <w:r>
        <w:rPr>
          <w:rFonts w:ascii="Arial" w:cs="Arial" w:eastAsia="Arial" w:hAnsi="Arial"/>
          <w:color w:val="404040"/>
          <w:sz w:val="22"/>
          <w:szCs w:val="22"/>
        </w:rPr>
        <w:t xml:space="preserve">El usuario propietario de la NAS está disponible durante las semanas de prueba para validar accesos y datos restaurados.</w:t>
      </w:r>
    </w:p>
    <w:p>
      <w:r>
        <w:t xml:space="preserve"/>
      </w:r>
    </w:p>
    <w:p>
      <w:pPr>
        <w:pStyle w:val="Heading2"/>
        <w:spacing w:after="100" w:before="280"/>
      </w:pPr>
      <w:r>
        <w:rPr>
          <w:rFonts w:ascii="Arial" w:cs="Arial" w:eastAsia="Arial" w:hAnsi="Arial"/>
          <w:b/>
          <w:bCs/>
          <w:color w:val="2E75B6"/>
          <w:sz w:val="26"/>
          <w:szCs w:val="26"/>
        </w:rPr>
        <w:t xml:space="preserve">6.3 Supuestos Económicos</w:t>
      </w:r>
    </w:p>
    <w:p>
      <w:pPr>
        <w:pStyle w:val="ListParagraph"/>
        <w:numPr>
          <w:ilvl w:val="0"/>
          <w:numId w:val="2"/>
        </w:numPr>
        <w:spacing w:after="60" w:before="40"/>
      </w:pPr>
      <w:r>
        <w:rPr>
          <w:rFonts w:ascii="Arial" w:cs="Arial" w:eastAsia="Arial" w:hAnsi="Arial"/>
          <w:color w:val="404040"/>
          <w:sz w:val="22"/>
          <w:szCs w:val="22"/>
        </w:rPr>
        <w:t xml:space="preserve">Los precios de Azure utilizados son los publicados en la región East US a mayo de 2025. Precios sujetos a cambio por Microsoft.</w:t>
      </w:r>
    </w:p>
    <w:p>
      <w:pPr>
        <w:pStyle w:val="ListParagraph"/>
        <w:numPr>
          <w:ilvl w:val="0"/>
          <w:numId w:val="2"/>
        </w:numPr>
        <w:spacing w:after="60" w:before="40"/>
      </w:pPr>
      <w:r>
        <w:rPr>
          <w:rFonts w:ascii="Arial" w:cs="Arial" w:eastAsia="Arial" w:hAnsi="Arial"/>
          <w:color w:val="404040"/>
          <w:sz w:val="22"/>
          <w:szCs w:val="22"/>
        </w:rPr>
        <w:t xml:space="preserve">No se incluye IVA ni impuestos locales en las estimaciones de costo.</w:t>
      </w:r>
    </w:p>
    <w:p>
      <w:pPr>
        <w:pStyle w:val="ListParagraph"/>
        <w:numPr>
          <w:ilvl w:val="0"/>
          <w:numId w:val="2"/>
        </w:numPr>
        <w:spacing w:after="60" w:before="40"/>
      </w:pPr>
      <w:r>
        <w:rPr>
          <w:rFonts w:ascii="Arial" w:cs="Arial" w:eastAsia="Arial" w:hAnsi="Arial"/>
          <w:color w:val="404040"/>
          <w:sz w:val="22"/>
          <w:szCs w:val="22"/>
        </w:rPr>
        <w:t xml:space="preserve">Se asume tier de almacenamiento Cool para la copia inicial histórica (&gt;90 días) y Hot para datos de los últimos 30 días.</w:t>
      </w:r>
    </w:p>
    <w:p>
      <w:pPr>
        <w:pStyle w:val="ListParagraph"/>
        <w:numPr>
          <w:ilvl w:val="0"/>
          <w:numId w:val="2"/>
        </w:numPr>
        <w:spacing w:after="60" w:before="40"/>
      </w:pPr>
      <w:r>
        <w:rPr>
          <w:rFonts w:ascii="Arial" w:cs="Arial" w:eastAsia="Arial" w:hAnsi="Arial"/>
          <w:color w:val="404040"/>
          <w:sz w:val="22"/>
          <w:szCs w:val="22"/>
        </w:rPr>
        <w:t xml:space="preserve">Los costos del VPN Gateway SKU VpnGw1 (~$140 USD/mes) están incluidos en la estimación mensual de Azure.</w:t>
      </w:r>
    </w:p>
    <w:p>
      <w:r>
        <w:br w:type="page"/>
      </w:r>
    </w:p>
    <w:p>
      <w:pPr>
        <w:pStyle w:val="Heading1"/>
        <w:spacing w:after="120" w:before="360"/>
      </w:pPr>
      <w:r>
        <w:rPr>
          <w:rFonts w:ascii="Arial" w:cs="Arial" w:eastAsia="Arial" w:hAnsi="Arial"/>
          <w:b/>
          <w:bCs/>
          <w:color w:val="1F4E79"/>
          <w:sz w:val="32"/>
          <w:szCs w:val="32"/>
        </w:rPr>
        <w:t xml:space="preserve">9. Plan de Tiempos</w:t>
      </w:r>
    </w:p>
    <w:p>
      <w:pPr>
        <w:pBdr>
          <w:bottom w:val="single" w:color="2E75B6" w:sz="6" w:space="1"/>
        </w:pBdr>
        <w:spacing w:after="0"/>
      </w:pPr>
    </w:p>
    <w:p>
      <w:r>
        <w:t xml:space="preserve"/>
      </w:r>
    </w:p>
    <w:tbl>
      <w:tblPr>
        <w:tblW w:type="dxa" w:w="9360"/>
        <w:tblBorders>
          <w:top w:val="single" w:color="auto" w:sz="4"/>
          <w:bottom w:val="single" w:color="auto" w:sz="4"/>
          <w:insideH w:val="single" w:color="auto" w:sz="4"/>
          <w:insideV w:val="single" w:color="auto" w:sz="4"/>
        </w:tblBorders>
      </w:tblPr>
      <w:tblGrid>
        <w:gridCol w:w="2200"/>
        <w:gridCol w:w="1200"/>
        <w:gridCol w:w="4560"/>
        <w:gridCol w:w="1400"/>
      </w:tblGrid>
      <w:tr>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Fase</w:t>
            </w:r>
          </w:p>
        </w:tc>
        <w:tc>
          <w:tcPr>
            <w:tcW w:type="dxa" w:w="1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Semanas</w:t>
            </w:r>
          </w:p>
        </w:tc>
        <w:tc>
          <w:tcPr>
            <w:tcW w:type="dxa" w:w="45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Actividades Principales</w:t>
            </w:r>
          </w:p>
        </w:tc>
        <w:tc>
          <w:tcPr>
            <w:tcW w:type="dxa" w:w="1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Responsable</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Fase 1: Análisis y Diseño</w:t>
            </w:r>
          </w:p>
        </w:tc>
        <w:tc>
          <w:tcPr>
            <w:tcW w:type="dxa" w:w="1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1</w:t>
            </w:r>
          </w:p>
        </w:tc>
        <w:tc>
          <w:tcPr>
            <w:tcW w:type="dxa" w:w="4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Inventario de datos en NAS, definición de política de retención, diseño de arquitectura, revisión de conectividad y ancho de banda real, definición de perfiles de usuarios.</w:t>
            </w:r>
          </w:p>
        </w:tc>
        <w:tc>
          <w:tcPr>
            <w:tcW w:type="dxa" w:w="1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Ing. Azure + Admin TI</w:t>
            </w:r>
          </w:p>
        </w:tc>
      </w:tr>
      <w:tr>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Fase 2: Aprovisionamiento Azure</w:t>
            </w:r>
          </w:p>
        </w:tc>
        <w:tc>
          <w:tcPr>
            <w:tcW w:type="dxa" w:w="1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2</w:t>
            </w:r>
          </w:p>
        </w:tc>
        <w:tc>
          <w:tcPr>
            <w:tcW w:type="dxa" w:w="4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Creación de VNet, subredes, VPN Gateway (S2S + P2S), Storage Account / Recovery Vault, configuración de Azure AD con 20 usuarios y 3 perfiles RBAC, activación de MFA.</w:t>
            </w:r>
          </w:p>
        </w:tc>
        <w:tc>
          <w:tcPr>
            <w:tcW w:type="dxa" w:w="1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Ing. Azure</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Fase 3: Copia Inicial (Seed)</w:t>
            </w:r>
          </w:p>
        </w:tc>
        <w:tc>
          <w:tcPr>
            <w:tcW w:type="dxa" w:w="1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Semanas 3–5</w:t>
            </w:r>
          </w:p>
        </w:tc>
        <w:tc>
          <w:tcPr>
            <w:tcW w:type="dxa" w:w="4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Transferencia de datos históricos de los últimos 5 años (~30–50 TB). Monitoreo de velocidad y estabilidad del enlace. Validación de integridad de archivos. Alternativa: Azure Data Box para volúmenes &gt; 40 TB.</w:t>
            </w:r>
          </w:p>
        </w:tc>
        <w:tc>
          <w:tcPr>
            <w:tcW w:type="dxa" w:w="1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 TI + Ing. Azure</w:t>
            </w:r>
          </w:p>
        </w:tc>
      </w:tr>
      <w:tr>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Fase 4: Política Incremental</w:t>
            </w:r>
          </w:p>
        </w:tc>
        <w:tc>
          <w:tcPr>
            <w:tcW w:type="dxa" w:w="1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6</w:t>
            </w:r>
          </w:p>
        </w:tc>
        <w:tc>
          <w:tcPr>
            <w:tcW w:type="dxa" w:w="4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Configuración del script de backup diario (~1 TB), scheduler (Task Scheduler/cron), logs de auditoría, alertas de error por correo, prueba del ciclo completo.</w:t>
            </w:r>
          </w:p>
        </w:tc>
        <w:tc>
          <w:tcPr>
            <w:tcW w:type="dxa" w:w="1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TI</w:t>
            </w:r>
          </w:p>
        </w:tc>
      </w:tr>
      <w:tr>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Fase 5: Pruebas y Validación</w:t>
            </w:r>
          </w:p>
        </w:tc>
        <w:tc>
          <w:tcPr>
            <w:tcW w:type="dxa" w:w="1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7</w:t>
            </w:r>
          </w:p>
        </w:tc>
        <w:tc>
          <w:tcPr>
            <w:tcW w:type="dxa" w:w="4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Prueba de restore de archivos muestra, validación de acceso VPN P2S con los 10 usuarios remotos, verificación de perfiles RBAC, ajuste de políticas de acceso.</w:t>
            </w:r>
          </w:p>
        </w:tc>
        <w:tc>
          <w:tcPr>
            <w:tcW w:type="dxa" w:w="1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Ing. Azure + Usuario NAS</w:t>
            </w:r>
          </w:p>
        </w:tc>
      </w:tr>
      <w:tr>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Fase 6: Documentación y Cierre</w:t>
            </w:r>
          </w:p>
        </w:tc>
        <w:tc>
          <w:tcPr>
            <w:tcW w:type="dxa" w:w="1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8</w:t>
            </w:r>
          </w:p>
        </w:tc>
        <w:tc>
          <w:tcPr>
            <w:tcW w:type="dxa" w:w="4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Entrega de runbook operativo, diagrama de arquitectura final, capacitación al Admin TI y usuario propietario, checklist de operación mensual.</w:t>
            </w:r>
          </w:p>
        </w:tc>
        <w:tc>
          <w:tcPr>
            <w:tcW w:type="dxa" w:w="1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Ing. Azure + Admin TI</w:t>
            </w:r>
          </w:p>
        </w:tc>
      </w:tr>
    </w:tbl>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FFF2CC" w:val="clear"/>
            <w:tcMar>
              <w:top w:type="dxa" w:w="120"/>
              <w:start w:type="dxa" w:w="180"/>
              <w:bottom w:type="dxa" w:w="120"/>
              <w:end w:type="dxa" w:w="120"/>
            </w:tcMar>
          </w:tcPr>
          <w:p>
            <w:pPr>
              <w:spacing w:after="40" w:before="40"/>
            </w:pPr>
            <w:r>
              <w:rPr>
                <w:rFonts w:ascii="Arial" w:cs="Arial" w:eastAsia="Arial" w:hAnsi="Arial"/>
                <w:b/>
                <w:bCs/>
                <w:color w:val="7B4400"/>
                <w:sz w:val="20"/>
                <w:szCs w:val="20"/>
              </w:rPr>
              <w:t xml:space="preserve">⚠  NOTA SOBRE LA COPIA INICIAL (SEED):</w:t>
            </w:r>
          </w:p>
          <w:p>
            <w:pPr>
              <w:spacing w:after="40" w:before="40"/>
            </w:pPr>
            <w:r>
              <w:rPr>
                <w:rFonts w:ascii="Arial" w:cs="Arial" w:eastAsia="Arial" w:hAnsi="Arial"/>
                <w:b w:val="false"/>
                <w:bCs w:val="false"/>
                <w:color w:val="7B4400"/>
                <w:sz w:val="20"/>
                <w:szCs w:val="20"/>
              </w:rPr>
              <w:t xml:space="preserve">   Con un enlace de 100 Mbps al 70% de uso efectivo (70 Mbps), transferir 30 TB toma</w:t>
            </w:r>
          </w:p>
          <w:p>
            <w:pPr>
              <w:spacing w:after="40" w:before="40"/>
            </w:pPr>
            <w:r>
              <w:rPr>
                <w:rFonts w:ascii="Arial" w:cs="Arial" w:eastAsia="Arial" w:hAnsi="Arial"/>
                <w:b w:val="false"/>
                <w:bCs w:val="false"/>
                <w:color w:val="7B4400"/>
                <w:sz w:val="20"/>
                <w:szCs w:val="20"/>
              </w:rPr>
              <w:t xml:space="preserve">   aproximadamente 41 días continuos. Si el volumen es de 50 TB, el tiempo es de ~68 días.</w:t>
            </w:r>
          </w:p>
          <w:p>
            <w:pPr>
              <w:spacing w:after="40" w:before="40"/>
            </w:pPr>
            <w:r>
              <w:rPr>
                <w:rFonts w:ascii="Arial" w:cs="Arial" w:eastAsia="Arial" w:hAnsi="Arial"/>
                <w:b w:val="false"/>
                <w:bCs w:val="false"/>
                <w:color w:val="7B4400"/>
                <w:sz w:val="20"/>
                <w:szCs w:val="20"/>
              </w:rPr>
              <w:t xml:space="preserve">   Se recomienda evaluar Azure Data Box (dispositivo físico de 40/80 TB) para reducir</w:t>
            </w:r>
          </w:p>
          <w:p>
            <w:pPr>
              <w:spacing w:after="40" w:before="40"/>
            </w:pPr>
            <w:r>
              <w:rPr>
                <w:rFonts w:ascii="Arial" w:cs="Arial" w:eastAsia="Arial" w:hAnsi="Arial"/>
                <w:b w:val="false"/>
                <w:bCs w:val="false"/>
                <w:color w:val="7B4400"/>
                <w:sz w:val="20"/>
                <w:szCs w:val="20"/>
              </w:rPr>
              <w:t xml:space="preserve">   este tiempo a 7–10 días de envío, sin saturar el enlace de internet corporativo.</w:t>
            </w:r>
          </w:p>
        </w:tc>
      </w:tr>
    </w:tbl>
    <w:p>
      <w:r>
        <w:t xml:space="preserve"/>
      </w:r>
    </w:p>
    <w:p>
      <w:pPr>
        <w:pStyle w:val="Heading2"/>
        <w:spacing w:after="100" w:before="280"/>
      </w:pPr>
      <w:r>
        <w:rPr>
          <w:rFonts w:ascii="Arial" w:cs="Arial" w:eastAsia="Arial" w:hAnsi="Arial"/>
          <w:b/>
          <w:bCs/>
          <w:color w:val="2E75B6"/>
          <w:sz w:val="26"/>
          <w:szCs w:val="26"/>
        </w:rPr>
        <w:t xml:space="preserve">7.1 Estimación de Tiempos de Transferencia</w:t>
      </w:r>
    </w:p>
    <w:tbl>
      <w:tblPr>
        <w:tblW w:type="dxa" w:w="9360"/>
        <w:tblBorders>
          <w:top w:val="single" w:color="auto" w:sz="4"/>
          <w:bottom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Ancho de banda</w:t>
            </w:r>
          </w:p>
        </w:tc>
        <w:tc>
          <w:tcPr>
            <w:tcW w:type="dxa" w:w="1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Efectivo (70%)</w:t>
            </w:r>
          </w:p>
        </w:tc>
        <w:tc>
          <w:tcPr>
            <w:tcW w:type="dxa" w:w="1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Tiempo 1 TB</w:t>
            </w:r>
          </w:p>
        </w:tc>
        <w:tc>
          <w:tcPr>
            <w:tcW w:type="dxa" w:w="188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Copia inicial 30 TB</w:t>
            </w:r>
          </w:p>
        </w:tc>
        <w:tc>
          <w:tcPr>
            <w:tcW w:type="dxa" w:w="188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Copia inicial 50 TB</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~13.3 días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~400 días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N/A (no viable)</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50 Mbps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35 Mbps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~2.7 días</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~81 días</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~135 días</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100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70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~1.3 días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~41 días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~68 días</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200 Mbps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140 Mbps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~16 horas</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~20 días</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~33 días</w:t>
            </w:r>
          </w:p>
        </w:tc>
      </w:tr>
      <w:tr>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500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350 Mbps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~6.5 horas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~8 días</w:t>
            </w:r>
          </w:p>
        </w:tc>
        <w:tc>
          <w:tcPr>
            <w:tcW w:type="dxa" w:w="1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~13 días</w:t>
            </w:r>
          </w:p>
        </w:tc>
      </w:tr>
      <w:tr>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Data Box</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N/A (físico)</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N/A</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7–10 días (envío)</w:t>
            </w:r>
          </w:p>
        </w:tc>
        <w:tc>
          <w:tcPr>
            <w:tcW w:type="dxa" w:w="1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7–10 días (envío)</w:t>
            </w:r>
          </w:p>
        </w:tc>
      </w:tr>
    </w:tbl>
    <w:p>
      <w:r>
        <w:br w:type="page"/>
      </w:r>
    </w:p>
    <w:p>
      <w:pPr>
        <w:pStyle w:val="Heading1"/>
        <w:spacing w:after="120" w:before="360"/>
      </w:pPr>
      <w:r>
        <w:rPr>
          <w:rFonts w:ascii="Arial" w:cs="Arial" w:eastAsia="Arial" w:hAnsi="Arial"/>
          <w:b/>
          <w:bCs/>
          <w:color w:val="1F4E79"/>
          <w:sz w:val="32"/>
          <w:szCs w:val="32"/>
        </w:rPr>
        <w:t xml:space="preserve">10. Estimación de Costos Azure</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Los siguientes costos son estimaciones de referencia basadas en precios publicados por Microsoft Azure para la región East US a mayo de 2025. Se presentan dos escenarios de almacenamiento.</w:t>
      </w:r>
    </w:p>
    <w:p>
      <w:r>
        <w:t xml:space="preserve"/>
      </w:r>
    </w:p>
    <w:p>
      <w:pPr>
        <w:pStyle w:val="Heading2"/>
        <w:spacing w:after="100" w:before="280"/>
      </w:pPr>
      <w:r>
        <w:rPr>
          <w:rFonts w:ascii="Arial" w:cs="Arial" w:eastAsia="Arial" w:hAnsi="Arial"/>
          <w:b/>
          <w:bCs/>
          <w:color w:val="2E75B6"/>
          <w:sz w:val="26"/>
          <w:szCs w:val="26"/>
        </w:rPr>
        <w:t xml:space="preserve">8.1 Costos de Infraestructura Base (Mensual)</w:t>
      </w:r>
    </w:p>
    <w:tbl>
      <w:tblPr>
        <w:tblW w:type="dxa" w:w="9360"/>
        <w:tblBorders>
          <w:top w:val="single" w:color="auto" w:sz="4"/>
          <w:bottom w:val="single" w:color="auto" w:sz="4"/>
          <w:insideH w:val="single" w:color="auto" w:sz="4"/>
          <w:insideV w:val="single" w:color="auto" w:sz="4"/>
        </w:tblBorders>
      </w:tblPr>
      <w:tblGrid>
        <w:gridCol w:w="2800"/>
        <w:gridCol w:w="2200"/>
        <w:gridCol w:w="2000"/>
        <w:gridCol w:w="2360"/>
      </w:tblGrid>
      <w:tr>
        <w:tc>
          <w:tcPr>
            <w:tcW w:type="dxa" w:w="2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Recurso Azure</w:t>
            </w:r>
          </w:p>
        </w:tc>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SKU / Tier</w:t>
            </w:r>
          </w:p>
        </w:tc>
        <w:tc>
          <w:tcPr>
            <w:tcW w:type="dxa" w:w="20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Costo Estimado USD/mes</w:t>
            </w:r>
          </w:p>
        </w:tc>
        <w:tc>
          <w:tcPr>
            <w:tcW w:type="dxa" w:w="23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Notas</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Azure VPN Gateway</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VpnGw1 (650 Mbps, S2S + P2S)</w:t>
            </w:r>
          </w:p>
        </w:tc>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~$140</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Incluye 10 túneles P2S sin costo adicional por usuario</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AD / Entra ID</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P1 (por usuario)</w:t>
            </w:r>
          </w:p>
        </w:tc>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~$72 (20 usuarios × $3.60)</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Incluye Conditional Access y SSO</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Log Analytics Workspace</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Pay-as-you-go (5 GB/mes incl.)</w:t>
            </w:r>
          </w:p>
        </w:tc>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~$10–25</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Estimado por volumen de logs de VPN y backup</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Azure Monitor / Alertas</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Primeras 1,000 alertas gratuitas</w:t>
            </w:r>
          </w:p>
        </w:tc>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~$0–5</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Alertas de backup y VPN</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IP pública estática (VPN GW)</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Standard</w:t>
            </w:r>
          </w:p>
        </w:tc>
        <w:tc>
          <w:tcPr>
            <w:tcW w:type="dxa" w:w="2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~$3.65</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Por dirección IP pública del gateway</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Subtotal infraestructura</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~$225–245/mes</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Sin almacenamiento</w:t>
            </w:r>
          </w:p>
        </w:tc>
      </w:tr>
    </w:tbl>
    <w:p>
      <w:r>
        <w:t xml:space="preserve"/>
      </w:r>
    </w:p>
    <w:p>
      <w:pPr>
        <w:pStyle w:val="Heading2"/>
        <w:spacing w:after="100" w:before="280"/>
      </w:pPr>
      <w:r>
        <w:rPr>
          <w:rFonts w:ascii="Arial" w:cs="Arial" w:eastAsia="Arial" w:hAnsi="Arial"/>
          <w:b/>
          <w:bCs/>
          <w:color w:val="2E75B6"/>
          <w:sz w:val="26"/>
          <w:szCs w:val="26"/>
        </w:rPr>
        <w:t xml:space="preserve">8.2 Costo de Almacenamiento — Escenario A (Conservador: 30 TB)</w:t>
      </w:r>
    </w:p>
    <w:tbl>
      <w:tblPr>
        <w:tblW w:type="dxa" w:w="9360"/>
        <w:tblBorders>
          <w:top w:val="single" w:color="auto" w:sz="4"/>
          <w:bottom w:val="single" w:color="auto" w:sz="4"/>
          <w:insideH w:val="single" w:color="auto" w:sz="4"/>
          <w:insideV w:val="single" w:color="auto" w:sz="4"/>
        </w:tblBorders>
      </w:tblPr>
      <w:tblGrid>
        <w:gridCol w:w="3000"/>
        <w:gridCol w:w="2200"/>
        <w:gridCol w:w="1800"/>
        <w:gridCol w:w="2360"/>
      </w:tblGrid>
      <w:tr>
        <w:tc>
          <w:tcPr>
            <w:tcW w:type="dxa" w:w="30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Volumen</w:t>
            </w:r>
          </w:p>
        </w:tc>
        <w:tc>
          <w:tcPr>
            <w:tcW w:type="dxa" w:w="18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Precio/GB·mes</w:t>
            </w:r>
          </w:p>
        </w:tc>
        <w:tc>
          <w:tcPr>
            <w:tcW w:type="dxa" w:w="236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Costo USD/mes</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Hot (últimos 30 días, ~5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5,120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$0.018</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~$92</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Cool (31–365 días, ~15 TB)</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15,360 GB</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$0.010</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~$154</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Archive (&gt; 1 año, ~10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10,240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$0.002</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~$20</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Operaciones escritura (~2 TB/mes)</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 TB incrementales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$0.065/10K ops</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Operaciones lectura / restore (~0.5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512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$0.01/GB (Cool)</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Total almacenamiento</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30 TB total en Azure</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~$279/mes</w:t>
            </w:r>
          </w:p>
        </w:tc>
      </w:tr>
    </w:tbl>
    <w:p>
      <w:r>
        <w:t xml:space="preserve"/>
      </w:r>
    </w:p>
    <w:p>
      <w:pPr>
        <w:pStyle w:val="Heading2"/>
        <w:spacing w:after="100" w:before="280"/>
      </w:pPr>
      <w:r>
        <w:rPr>
          <w:rFonts w:ascii="Arial" w:cs="Arial" w:eastAsia="Arial" w:hAnsi="Arial"/>
          <w:b/>
          <w:bCs/>
          <w:color w:val="2E75B6"/>
          <w:sz w:val="26"/>
          <w:szCs w:val="26"/>
        </w:rPr>
        <w:t xml:space="preserve">8.3 Costo de Almacenamiento — Escenario B (Completo: 50 TB)</w:t>
      </w:r>
    </w:p>
    <w:tbl>
      <w:tblPr>
        <w:tblW w:type="dxa" w:w="9360"/>
        <w:tblBorders>
          <w:top w:val="single" w:color="auto" w:sz="4"/>
          <w:bottom w:val="single" w:color="auto" w:sz="4"/>
          <w:insideH w:val="single" w:color="auto" w:sz="4"/>
          <w:insideV w:val="single" w:color="auto" w:sz="4"/>
        </w:tblBorders>
      </w:tblPr>
      <w:tblGrid>
        <w:gridCol w:w="3000"/>
        <w:gridCol w:w="2200"/>
        <w:gridCol w:w="1800"/>
        <w:gridCol w:w="2360"/>
      </w:tblGrid>
      <w:tr>
        <w:tc>
          <w:tcPr>
            <w:tcW w:type="dxa" w:w="30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Volumen</w:t>
            </w:r>
          </w:p>
        </w:tc>
        <w:tc>
          <w:tcPr>
            <w:tcW w:type="dxa" w:w="1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Precio/GB·mes</w:t>
            </w:r>
          </w:p>
        </w:tc>
        <w:tc>
          <w:tcPr>
            <w:tcW w:type="dxa" w:w="23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Costo USD/mes</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Hot (últimos 30 días, ~5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5,120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$0.018</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~$92</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Cool (31–365 días, ~20 TB)</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20,480 GB</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$0.010</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~$205</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Archive (&gt; 1 año, ~25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25,600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$0.002</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Operaciones escritura (~2 TB/mes)</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 TB incrementales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$0.065/10K ops</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w:t>
            </w:r>
          </w:p>
        </w:tc>
      </w:tr>
      <w:tr>
        <w:tc>
          <w:tcPr>
            <w:tcW w:type="dxa" w:w="3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Operaciones lectura / restore (~0.5 TB)</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512 GB</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$0.01/GB (Cool)</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r>
      <w:tr>
        <w:tc>
          <w:tcPr>
            <w:tcW w:type="dxa" w:w="3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Total almacenamiento</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50 TB total en Azure</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~$361/mes</w:t>
            </w:r>
          </w:p>
        </w:tc>
      </w:tr>
    </w:tbl>
    <w:p>
      <w:r>
        <w:t xml:space="preserve"/>
      </w:r>
    </w:p>
    <w:p>
      <w:pPr>
        <w:pStyle w:val="Heading2"/>
        <w:spacing w:after="100" w:before="280"/>
      </w:pPr>
      <w:r>
        <w:rPr>
          <w:rFonts w:ascii="Arial" w:cs="Arial" w:eastAsia="Arial" w:hAnsi="Arial"/>
          <w:b/>
          <w:bCs/>
          <w:color w:val="2E75B6"/>
          <w:sz w:val="26"/>
          <w:szCs w:val="26"/>
        </w:rPr>
        <w:t xml:space="preserve">8.4 Resumen de Costo Total Mensual Estimado</w:t>
      </w:r>
    </w:p>
    <w:tbl>
      <w:tblPr>
        <w:tblW w:type="dxa" w:w="9360"/>
        <w:tblBorders>
          <w:top w:val="single" w:color="auto" w:sz="4"/>
          <w:bottom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Componente</w:t>
            </w:r>
          </w:p>
        </w:tc>
        <w:tc>
          <w:tcPr>
            <w:tcW w:type="dxa" w:w="288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Escenario A (30 TB)</w:t>
            </w:r>
          </w:p>
        </w:tc>
        <w:tc>
          <w:tcPr>
            <w:tcW w:type="dxa" w:w="288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Escenario B (50 TB)</w:t>
            </w:r>
          </w:p>
        </w:tc>
      </w:tr>
      <w:tr>
        <w:tc>
          <w:tcPr>
            <w:tcW w:type="dxa" w:w="3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Infraestructura base (VPN, AD, Monitor)</w:t>
            </w:r>
          </w:p>
        </w:tc>
        <w:tc>
          <w:tcPr>
            <w:tcW w:type="dxa" w:w="2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~$235/mes</w:t>
            </w:r>
          </w:p>
        </w:tc>
        <w:tc>
          <w:tcPr>
            <w:tcW w:type="dxa" w:w="2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~$235/mes</w:t>
            </w:r>
          </w:p>
        </w:tc>
      </w:tr>
      <w:tr>
        <w:tc>
          <w:tcPr>
            <w:tcW w:type="dxa" w:w="3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Almacenamiento Azure</w:t>
            </w:r>
          </w:p>
        </w:tc>
        <w:tc>
          <w:tcPr>
            <w:tcW w:type="dxa" w:w="2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~$279/mes</w:t>
            </w:r>
          </w:p>
        </w:tc>
        <w:tc>
          <w:tcPr>
            <w:tcW w:type="dxa" w:w="2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~$361/mes</w:t>
            </w:r>
          </w:p>
        </w:tc>
      </w:tr>
      <w:tr>
        <w:tc>
          <w:tcPr>
            <w:tcW w:type="dxa" w:w="3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TOTAL ESTIMADO MENSUAL</w:t>
            </w:r>
          </w:p>
        </w:tc>
        <w:tc>
          <w:tcPr>
            <w:tcW w:type="dxa" w:w="2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~$514 USD/mes</w:t>
            </w:r>
          </w:p>
        </w:tc>
        <w:tc>
          <w:tcPr>
            <w:tcW w:type="dxa" w:w="288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~$596 USD/mes</w:t>
            </w:r>
          </w:p>
        </w:tc>
      </w:tr>
      <w:tr>
        <w:tc>
          <w:tcPr>
            <w:tcW w:type="dxa" w:w="3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Costo anual proyectado</w:t>
            </w:r>
          </w:p>
        </w:tc>
        <w:tc>
          <w:tcPr>
            <w:tcW w:type="dxa" w:w="2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~$6,168 USD/año</w:t>
            </w:r>
          </w:p>
        </w:tc>
        <w:tc>
          <w:tcPr>
            <w:tcW w:type="dxa" w:w="288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~$7,152 USD/año</w:t>
            </w:r>
          </w:p>
        </w:tc>
      </w:tr>
    </w:tbl>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start w:type="dxa" w:w="180"/>
              <w:bottom w:type="dxa" w:w="120"/>
              <w:end w:type="dxa" w:w="120"/>
            </w:tcMar>
          </w:tcPr>
          <w:p>
            <w:pPr>
              <w:spacing w:after="40" w:before="40"/>
            </w:pPr>
            <w:r>
              <w:rPr>
                <w:rFonts w:ascii="Arial" w:cs="Arial" w:eastAsia="Arial" w:hAnsi="Arial"/>
                <w:b/>
                <w:bCs/>
                <w:color w:val="1F4E79"/>
                <w:sz w:val="20"/>
                <w:szCs w:val="20"/>
              </w:rPr>
              <w:t xml:space="preserve">ℹ  NOTA: Los costos anteriores no incluyen IVA ni impuestos locales aplicables.</w:t>
            </w:r>
          </w:p>
          <w:p>
            <w:pPr>
              <w:spacing w:after="40" w:before="40"/>
            </w:pPr>
            <w:r>
              <w:rPr>
                <w:rFonts w:ascii="Arial" w:cs="Arial" w:eastAsia="Arial" w:hAnsi="Arial"/>
                <w:b w:val="false"/>
                <w:bCs w:val="false"/>
                <w:color w:val="1F4E79"/>
                <w:sz w:val="20"/>
                <w:szCs w:val="20"/>
              </w:rPr>
              <w:t xml:space="preserve">   El costo de implementación (horas de ingeniería) es adicional y depende del proveedor.</w:t>
            </w:r>
          </w:p>
          <w:p>
            <w:pPr>
              <w:spacing w:after="40" w:before="40"/>
            </w:pPr>
            <w:r>
              <w:rPr>
                <w:rFonts w:ascii="Arial" w:cs="Arial" w:eastAsia="Arial" w:hAnsi="Arial"/>
                <w:b w:val="false"/>
                <w:bCs w:val="false"/>
                <w:color w:val="1F4E79"/>
                <w:sz w:val="20"/>
                <w:szCs w:val="20"/>
              </w:rPr>
              <w:t xml:space="preserve">   Se recomienda validar precios en https://azure.microsoft.com/pricing/calculator/</w:t>
            </w:r>
          </w:p>
          <w:p>
            <w:pPr>
              <w:spacing w:after="40" w:before="40"/>
            </w:pPr>
            <w:r>
              <w:rPr>
                <w:rFonts w:ascii="Arial" w:cs="Arial" w:eastAsia="Arial" w:hAnsi="Arial"/>
                <w:b w:val="false"/>
                <w:bCs w:val="false"/>
                <w:color w:val="1F4E79"/>
                <w:sz w:val="20"/>
                <w:szCs w:val="20"/>
              </w:rPr>
              <w:t xml:space="preserve">   usando los parámetros específicos del entorno antes de aprobar el presupuesto.</w:t>
            </w:r>
          </w:p>
        </w:tc>
      </w:tr>
    </w:tbl>
    <w:p>
      <w:r>
        <w:br w:type="page"/>
      </w:r>
    </w:p>
    <w:p>
      <w:pPr>
        <w:pStyle w:val="Heading1"/>
        <w:spacing w:after="120" w:before="360"/>
      </w:pPr>
      <w:r>
        <w:rPr>
          <w:rFonts w:ascii="Arial" w:cs="Arial" w:eastAsia="Arial" w:hAnsi="Arial"/>
          <w:b/>
          <w:bCs/>
          <w:color w:val="1F4E79"/>
          <w:sz w:val="32"/>
          <w:szCs w:val="32"/>
        </w:rPr>
        <w:t xml:space="preserve">11. Política de Backup Incremental — Script</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Para el Escenario 2, se implementa un script de PowerShell que utiliza AzCopy para sincronizar diariamente los archivos modificados en la NAS hacia Azure Blob Storage. El script incluye logging, control de errores y notificación por correo en caso de falla.</w:t>
      </w:r>
    </w:p>
    <w:p>
      <w:r>
        <w:t xml:space="preserve"/>
      </w:r>
    </w:p>
    <w:p>
      <w:pPr>
        <w:pStyle w:val="Heading2"/>
        <w:spacing w:after="100" w:before="280"/>
      </w:pPr>
      <w:r>
        <w:rPr>
          <w:rFonts w:ascii="Arial" w:cs="Arial" w:eastAsia="Arial" w:hAnsi="Arial"/>
          <w:b/>
          <w:bCs/>
          <w:color w:val="2E75B6"/>
          <w:sz w:val="26"/>
          <w:szCs w:val="26"/>
        </w:rPr>
        <w:t xml:space="preserve">9.1 Lógica del Script</w:t>
      </w:r>
    </w:p>
    <w:tbl>
      <w:tblPr>
        <w:tblW w:type="dxa" w:w="9360"/>
        <w:tblBorders>
          <w:top w:val="single" w:color="auto" w:sz="4"/>
          <w:bottom w:val="single" w:color="auto" w:sz="4"/>
          <w:insideH w:val="single" w:color="auto" w:sz="4"/>
          <w:insideV w:val="single" w:color="auto" w:sz="4"/>
        </w:tblBorders>
      </w:tblPr>
      <w:tblGrid>
        <w:gridCol w:w="600"/>
        <w:gridCol w:w="4600"/>
        <w:gridCol w:w="4160"/>
      </w:tblGrid>
      <w:tr>
        <w:tc>
          <w:tcPr>
            <w:tcW w:type="dxa" w:w="6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Paso</w:t>
            </w:r>
          </w:p>
        </w:tc>
        <w:tc>
          <w:tcPr>
            <w:tcW w:type="dxa" w:w="460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Acción</w:t>
            </w:r>
          </w:p>
        </w:tc>
        <w:tc>
          <w:tcPr>
            <w:tcW w:type="dxa" w:w="4160"/>
            <w:tcBorders>
              <w:top w:val="single" w:color="CCCCCC" w:sz="4"/>
              <w:left w:val="single" w:color="CCCCCC" w:sz="4"/>
              <w:bottom w:val="single" w:color="CCCCCC" w:sz="4"/>
              <w:right w:val="single" w:color="CCCCCC" w:sz="4"/>
            </w:tcBorders>
            <w:shd w:fill="2E75B6" w:val="clear"/>
            <w:tcMar>
              <w:top w:type="dxa" w:w="80"/>
              <w:start w:type="dxa" w:w="120"/>
              <w:bottom w:type="dxa" w:w="80"/>
              <w:end w:type="dxa" w:w="120"/>
            </w:tcMar>
          </w:tcPr>
          <w:p>
            <w:r>
              <w:rPr>
                <w:rFonts w:ascii="Arial" w:cs="Arial" w:eastAsia="Arial" w:hAnsi="Arial"/>
                <w:b/>
                <w:bCs/>
                <w:color w:val="FFFFFF"/>
                <w:sz w:val="20"/>
                <w:szCs w:val="20"/>
              </w:rPr>
              <w:t xml:space="preserve">Herramienta</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w:t>
            </w:r>
          </w:p>
        </w:tc>
        <w:tc>
          <w:tcPr>
            <w:tcW w:type="dxa" w:w="4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Autenticación en Azure usando Service Principal (sin contraseña interactiva)</w:t>
            </w:r>
          </w:p>
        </w:tc>
        <w:tc>
          <w:tcPr>
            <w:tcW w:type="dxa" w:w="4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AzCopy / Azure CLI</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w:t>
            </w:r>
          </w:p>
        </w:tc>
        <w:tc>
          <w:tcPr>
            <w:tcW w:type="dxa" w:w="4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Sincronización incremental: solo archivos nuevos o modificados en las últimas 24 hrs</w:t>
            </w:r>
          </w:p>
        </w:tc>
        <w:tc>
          <w:tcPr>
            <w:tcW w:type="dxa" w:w="41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AzCopy sync con --include-after</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w:t>
            </w:r>
          </w:p>
        </w:tc>
        <w:tc>
          <w:tcPr>
            <w:tcW w:type="dxa" w:w="4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Registro de bytes transferidos, archivos procesados y errores en log local</w:t>
            </w:r>
          </w:p>
        </w:tc>
        <w:tc>
          <w:tcPr>
            <w:tcW w:type="dxa" w:w="4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PowerShell / Bash</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4</w:t>
            </w:r>
          </w:p>
        </w:tc>
        <w:tc>
          <w:tcPr>
            <w:tcW w:type="dxa" w:w="4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Verificación de código de salida: si AzCopy retorna error, enviar alerta por correo</w:t>
            </w:r>
          </w:p>
        </w:tc>
        <w:tc>
          <w:tcPr>
            <w:tcW w:type="dxa" w:w="41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Send-MailMessage / sendmail</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c>
          <w:tcPr>
            <w:tcW w:type="dxa" w:w="4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Rotación de logs: conservar logs de los últimos 30 días, eliminar anteriores</w:t>
            </w:r>
          </w:p>
        </w:tc>
        <w:tc>
          <w:tcPr>
            <w:tcW w:type="dxa" w:w="41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Remove-Item con filtro de fecha</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6</w:t>
            </w:r>
          </w:p>
        </w:tc>
        <w:tc>
          <w:tcPr>
            <w:tcW w:type="dxa" w:w="4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Reporte diario opcional: resumen de la transferencia por correo al administrador</w:t>
            </w:r>
          </w:p>
        </w:tc>
        <w:tc>
          <w:tcPr>
            <w:tcW w:type="dxa" w:w="41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Send-MailMessage</w:t>
            </w:r>
          </w:p>
        </w:tc>
      </w:tr>
    </w:tbl>
    <w:p>
      <w:r>
        <w:t xml:space="preserve"/>
      </w:r>
    </w:p>
    <w:p>
      <w:pPr>
        <w:pStyle w:val="Heading2"/>
        <w:spacing w:after="100" w:before="280"/>
      </w:pPr>
      <w:r>
        <w:rPr>
          <w:rFonts w:ascii="Arial" w:cs="Arial" w:eastAsia="Arial" w:hAnsi="Arial"/>
          <w:b/>
          <w:bCs/>
          <w:color w:val="2E75B6"/>
          <w:sz w:val="26"/>
          <w:szCs w:val="26"/>
        </w:rPr>
        <w:t xml:space="preserve">9.2 Parámetros de Retención Recomendados</w:t>
      </w:r>
    </w:p>
    <w:tbl>
      <w:tblPr>
        <w:tblW w:type="dxa" w:w="9360"/>
        <w:tblBorders>
          <w:top w:val="single" w:color="auto" w:sz="4"/>
          <w:bottom w:val="single" w:color="auto" w:sz="4"/>
          <w:insideH w:val="single" w:color="auto" w:sz="4"/>
          <w:insideV w:val="single" w:color="auto" w:sz="4"/>
        </w:tblBorders>
      </w:tblPr>
      <w:tblGrid>
        <w:gridCol w:w="2800"/>
        <w:gridCol w:w="1800"/>
        <w:gridCol w:w="2200"/>
        <w:gridCol w:w="2560"/>
      </w:tblGrid>
      <w:tr>
        <w:tc>
          <w:tcPr>
            <w:tcW w:type="dxa" w:w="2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Categoría de datos</w:t>
            </w:r>
          </w:p>
        </w:tc>
        <w:tc>
          <w:tcPr>
            <w:tcW w:type="dxa" w:w="18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Tier Azure</w:t>
            </w:r>
          </w:p>
        </w:tc>
        <w:tc>
          <w:tcPr>
            <w:tcW w:type="dxa" w:w="22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Tiempo de retención</w:t>
            </w:r>
          </w:p>
        </w:tc>
        <w:tc>
          <w:tcPr>
            <w:tcW w:type="dxa" w:w="25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Acción al vencer</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Datos activos (últimos 30 días)</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Hot</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30 días</w:t>
            </w:r>
          </w:p>
        </w:tc>
        <w:tc>
          <w:tcPr>
            <w:tcW w:type="dxa" w:w="2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Mover a Cool automáticamente (Lifecycle Policy)</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Datos recientes (31–365 días)</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Cool</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365 días</w:t>
            </w:r>
          </w:p>
        </w:tc>
        <w:tc>
          <w:tcPr>
            <w:tcW w:type="dxa" w:w="2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Mover a Archive automáticamente</w:t>
            </w:r>
          </w:p>
        </w:tc>
      </w:tr>
      <w:tr>
        <w:tc>
          <w:tcPr>
            <w:tcW w:type="dxa" w:w="2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Datos históricos (&gt; 1 año)</w:t>
            </w:r>
          </w:p>
        </w:tc>
        <w:tc>
          <w:tcPr>
            <w:tcW w:type="dxa" w:w="18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Archive</w:t>
            </w:r>
          </w:p>
        </w:tc>
        <w:tc>
          <w:tcPr>
            <w:tcW w:type="dxa" w:w="22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2–7 años (según política)</w:t>
            </w:r>
          </w:p>
        </w:tc>
        <w:tc>
          <w:tcPr>
            <w:tcW w:type="dxa" w:w="25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Eliminar o mantener según definición del área</w:t>
            </w:r>
          </w:p>
        </w:tc>
      </w:tr>
      <w:tr>
        <w:tc>
          <w:tcPr>
            <w:tcW w:type="dxa" w:w="2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Backup incremental diario</w:t>
            </w:r>
          </w:p>
        </w:tc>
        <w:tc>
          <w:tcPr>
            <w:tcW w:type="dxa" w:w="18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Hot → Cool</w:t>
            </w:r>
          </w:p>
        </w:tc>
        <w:tc>
          <w:tcPr>
            <w:tcW w:type="dxa" w:w="22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Versiones de 90 días</w:t>
            </w:r>
          </w:p>
        </w:tc>
        <w:tc>
          <w:tcPr>
            <w:tcW w:type="dxa" w:w="25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Mantener las últimas 90 versiones diarias</w:t>
            </w:r>
          </w:p>
        </w:tc>
      </w:tr>
    </w:tbl>
    <w:p>
      <w:r>
        <w:t xml:space="preserve"/>
      </w:r>
    </w:p>
    <w:tbl>
      <w:tblPr>
        <w:tblW w:type="dxa" w:w="9360"/>
        <w:tblBorders>
          <w:top w:val="single" w:color="auto" w:sz="4"/>
          <w:bottom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start w:type="dxa" w:w="180"/>
              <w:bottom w:type="dxa" w:w="120"/>
              <w:end w:type="dxa" w:w="120"/>
            </w:tcMar>
          </w:tcPr>
          <w:p>
            <w:pPr>
              <w:spacing w:after="40" w:before="40"/>
            </w:pPr>
            <w:r>
              <w:rPr>
                <w:rFonts w:ascii="Arial" w:cs="Arial" w:eastAsia="Arial" w:hAnsi="Arial"/>
                <w:b/>
                <w:bCs/>
                <w:color w:val="1F4E79"/>
                <w:sz w:val="20"/>
                <w:szCs w:val="20"/>
              </w:rPr>
              <w:t xml:space="preserve">ℹ  Azure Blob Storage permite configurar Lifecycle Management Policies desde el portal,</w:t>
            </w:r>
          </w:p>
          <w:p>
            <w:pPr>
              <w:spacing w:after="40" w:before="40"/>
            </w:pPr>
            <w:r>
              <w:rPr>
                <w:rFonts w:ascii="Arial" w:cs="Arial" w:eastAsia="Arial" w:hAnsi="Arial"/>
                <w:b w:val="false"/>
                <w:bCs w:val="false"/>
                <w:color w:val="1F4E79"/>
                <w:sz w:val="20"/>
                <w:szCs w:val="20"/>
              </w:rPr>
              <w:t xml:space="preserve">   que automatizan el movimiento entre tiers (Hot → Cool → Archive → Delete) basándose</w:t>
            </w:r>
          </w:p>
          <w:p>
            <w:pPr>
              <w:spacing w:after="40" w:before="40"/>
            </w:pPr>
            <w:r>
              <w:rPr>
                <w:rFonts w:ascii="Arial" w:cs="Arial" w:eastAsia="Arial" w:hAnsi="Arial"/>
                <w:b w:val="false"/>
                <w:bCs w:val="false"/>
                <w:color w:val="1F4E79"/>
                <w:sz w:val="20"/>
                <w:szCs w:val="20"/>
              </w:rPr>
              <w:t xml:space="preserve">   en la antigüedad del objeto. Esto reduce costos operativos sin intervención manual.</w:t>
            </w:r>
          </w:p>
        </w:tc>
      </w:tr>
    </w:tbl>
    <w:p>
      <w:r>
        <w:br w:type="page"/>
      </w:r>
    </w:p>
    <w:p>
      <w:pPr>
        <w:pStyle w:val="Heading1"/>
        <w:spacing w:after="120" w:before="360"/>
      </w:pPr>
      <w:r>
        <w:rPr>
          <w:rFonts w:ascii="Arial" w:cs="Arial" w:eastAsia="Arial" w:hAnsi="Arial"/>
          <w:b/>
          <w:bCs/>
          <w:color w:val="1F4E79"/>
          <w:sz w:val="32"/>
          <w:szCs w:val="32"/>
        </w:rPr>
        <w:t xml:space="preserve">12. Próximos Pasos y Aprobación</w:t>
      </w:r>
    </w:p>
    <w:p>
      <w:pPr>
        <w:pBdr>
          <w:bottom w:val="single" w:color="2E75B6" w:sz="6" w:space="1"/>
        </w:pBdr>
        <w:spacing w:after="0"/>
      </w:pPr>
    </w:p>
    <w:p>
      <w:r>
        <w:t xml:space="preserve"/>
      </w:r>
    </w:p>
    <w:tbl>
      <w:tblPr>
        <w:tblW w:type="dxa" w:w="9360"/>
        <w:tblBorders>
          <w:top w:val="single" w:color="auto" w:sz="4"/>
          <w:bottom w:val="single" w:color="auto" w:sz="4"/>
          <w:insideH w:val="single" w:color="auto" w:sz="4"/>
          <w:insideV w:val="single" w:color="auto" w:sz="4"/>
        </w:tblBorders>
      </w:tblPr>
      <w:tblGrid>
        <w:gridCol w:w="600"/>
        <w:gridCol w:w="4000"/>
        <w:gridCol w:w="2400"/>
        <w:gridCol w:w="2360"/>
      </w:tblGrid>
      <w:tr>
        <w:tc>
          <w:tcPr>
            <w:tcW w:type="dxa" w:w="6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w:t>
            </w:r>
          </w:p>
        </w:tc>
        <w:tc>
          <w:tcPr>
            <w:tcW w:type="dxa" w:w="40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Acción</w:t>
            </w:r>
          </w:p>
        </w:tc>
        <w:tc>
          <w:tcPr>
            <w:tcW w:type="dxa" w:w="240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Responsable</w:t>
            </w:r>
          </w:p>
        </w:tc>
        <w:tc>
          <w:tcPr>
            <w:tcW w:type="dxa" w:w="2360"/>
            <w:tcBorders>
              <w:top w:val="single" w:color="CCCCCC" w:sz="4"/>
              <w:left w:val="single" w:color="CCCCCC" w:sz="4"/>
              <w:bottom w:val="single" w:color="CCCCCC" w:sz="4"/>
              <w:right w:val="single" w:color="CCCCCC" w:sz="4"/>
            </w:tcBorders>
            <w:shd w:fill="1F4E79" w:val="clear"/>
            <w:tcMar>
              <w:top w:type="dxa" w:w="80"/>
              <w:start w:type="dxa" w:w="120"/>
              <w:bottom w:type="dxa" w:w="80"/>
              <w:end w:type="dxa" w:w="120"/>
            </w:tcMar>
          </w:tcPr>
          <w:p>
            <w:r>
              <w:rPr>
                <w:rFonts w:ascii="Arial" w:cs="Arial" w:eastAsia="Arial" w:hAnsi="Arial"/>
                <w:b/>
                <w:bCs/>
                <w:color w:val="FFFFFF"/>
                <w:sz w:val="20"/>
                <w:szCs w:val="20"/>
              </w:rPr>
              <w:t xml:space="preserve">Plazo</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Validar ancho de banda real disponible (test de velocidad en horario pico y nocturno)</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0 – antes de iniciar</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Confirmar compatibilidad del router/firewall on-premise con IPSec/IKEv2 para VPN S2S</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0</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Aprobar presupuesto mensual de Azure (~$514–596 USD/mes) y costo de implementación</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Gerente de Área</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Crear suscripción Azure o confirmar suscripción existente y asignar permisos de Owner al equipo de implementación</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TI / Compras</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Definir política de retención de datos y clasificación (¿cuántos años conservar en Archive?)</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Propietario de datos</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6</w:t>
            </w:r>
          </w:p>
        </w:tc>
        <w:tc>
          <w:tcPr>
            <w:tcW w:type="dxa" w:w="4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Proporcionar listado de los 20 usuarios con correo corporativo, tipo de conexión y perfil requerido</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Evaluar si el volumen de copia inicial (&gt;40 TB) justifica solicitar Azure Data Box para reducir tiempos</w:t>
            </w:r>
          </w:p>
        </w:tc>
        <w:tc>
          <w:tcPr>
            <w:tcW w:type="dxa" w:w="240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Ing. Azure + Admin TI</w:t>
            </w:r>
          </w:p>
        </w:tc>
        <w:tc>
          <w:tcPr>
            <w:tcW w:type="dxa" w:w="2360"/>
            <w:tcBorders>
              <w:top w:val="single" w:color="CCCCCC" w:sz="4"/>
              <w:left w:val="single" w:color="CCCCCC" w:sz="4"/>
              <w:bottom w:val="single" w:color="CCCCCC" w:sz="4"/>
              <w:right w:val="single" w:color="CCCCCC" w:sz="4"/>
            </w:tcBorders>
            <w:shd w:fill="FFFFFF" w:val="clear"/>
            <w:tcMar>
              <w:top w:type="dxa" w:w="80"/>
              <w:start w:type="dxa" w:w="120"/>
              <w:bottom w:type="dxa" w:w="80"/>
              <w:end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Firma de aceptación de esta propuesta y arranque formal del proyecto</w:t>
            </w:r>
          </w:p>
        </w:tc>
        <w:tc>
          <w:tcPr>
            <w:tcW w:type="dxa" w:w="240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Gerente de Área</w:t>
            </w:r>
          </w:p>
        </w:tc>
        <w:tc>
          <w:tcPr>
            <w:tcW w:type="dxa" w:w="2360"/>
            <w:tcBorders>
              <w:top w:val="single" w:color="CCCCCC" w:sz="4"/>
              <w:left w:val="single" w:color="CCCCCC" w:sz="4"/>
              <w:bottom w:val="single" w:color="CCCCCC" w:sz="4"/>
              <w:right w:val="single" w:color="CCCCCC" w:sz="4"/>
            </w:tcBorders>
            <w:shd w:fill="F2F2F2" w:val="clear"/>
            <w:tcMar>
              <w:top w:type="dxa" w:w="80"/>
              <w:start w:type="dxa" w:w="120"/>
              <w:bottom w:type="dxa" w:w="80"/>
              <w:end w:type="dxa" w:w="120"/>
            </w:tcMar>
          </w:tcPr>
          <w:p>
            <w:r>
              <w:rPr>
                <w:rFonts w:ascii="Arial" w:cs="Arial" w:eastAsia="Arial" w:hAnsi="Arial"/>
                <w:color w:val="404040"/>
                <w:sz w:val="20"/>
                <w:szCs w:val="20"/>
              </w:rPr>
              <w:t xml:space="preserve">Semana 1</w:t>
            </w:r>
          </w:p>
        </w:tc>
      </w:tr>
    </w:tbl>
    <w:p>
      <w:r>
        <w:t xml:space="preserve"/>
      </w:r>
    </w:p>
    <w:p>
      <w:r>
        <w:t xml:space="preserve"/>
      </w:r>
    </w:p>
    <w:p>
      <w:pPr>
        <w:pBdr>
          <w:top w:val="single" w:color="2E75B6" w:sz="4" w:space="8"/>
        </w:pBdr>
        <w:spacing w:after="120" w:before="480"/>
        <w:jc w:val="center"/>
      </w:pPr>
      <w:r>
        <w:rPr>
          <w:rFonts w:ascii="Arial" w:cs="Arial" w:eastAsia="Arial" w:hAnsi="Arial"/>
          <w:i/>
          <w:iCs/>
          <w:color w:val="595959"/>
          <w:sz w:val="18"/>
          <w:szCs w:val="18"/>
        </w:rPr>
        <w:t xml:space="preserve">Documento preparado por el equipo de Arquitectura Cloud</w:t>
      </w:r>
    </w:p>
    <w:p>
      <w:pPr>
        <w:jc w:val="center"/>
      </w:pPr>
      <w:r>
        <w:rPr>
          <w:rFonts w:ascii="Arial" w:cs="Arial" w:eastAsia="Arial" w:hAnsi="Arial"/>
          <w:i/>
          <w:iCs/>
          <w:color w:val="595959"/>
          <w:sz w:val="18"/>
          <w:szCs w:val="18"/>
        </w:rPr>
        <w:t xml:space="preserve">Mayo 2025 — Versión 1.0 — Confidencial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pPr>
    <w:r>
      <w:rPr>
        <w:rFonts w:ascii="Arial" w:cs="Arial" w:eastAsia="Arial" w:hAnsi="Arial"/>
        <w:color w:val="595959"/>
        <w:sz w:val="16"/>
        <w:szCs w:val="16"/>
      </w:rPr>
      <w:t xml:space="preserve">Propuesta Backup Azure — Mayo 2025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60"/>
    </w:pPr>
    <w:r>
      <w:rPr>
        <w:rFonts w:ascii="Arial" w:cs="Arial" w:eastAsia="Arial" w:hAnsi="Arial"/>
        <w:color w:val="595959"/>
        <w:sz w:val="18"/>
        <w:szCs w:val="18"/>
      </w:rPr>
      <w:t xml:space="preserve">Propuesta Técnica — Backup NAS 70 TB en Azure</w:t>
    </w:r>
    <w:r>
      <w:rPr>
        <w:rFonts w:ascii="Arial" w:cs="Arial" w:eastAsia="Arial" w:hAnsi="Arial"/>
        <w:i/>
        <w:iCs/>
        <w:color w:val="595959"/>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2026-05-27T04:49:00.358Z</dcterms:created>
  <dcterms:modified xsi:type="dcterms:W3CDTF">2026-05-27T04:49:00.359Z</dcterms:modified>
</cp:coreProperties>
</file>

<file path=docProps/custom.xml><?xml version="1.0" encoding="utf-8"?>
<Properties xmlns="http://schemas.openxmlformats.org/officeDocument/2006/custom-properties" xmlns:vt="http://schemas.openxmlformats.org/officeDocument/2006/docPropsVTypes"/>
</file>