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Estrategia de Consolidación de Infraestructura en Azure</w:t>
      </w:r>
    </w:p>
    <w:p>
      <w:pPr>
        <w:spacing w:after="600"/>
        <w:jc w:val="center"/>
      </w:pPr>
      <w:r>
        <w:rPr>
          <w:color w:val="2E74B5"/>
          <w:sz w:val="28"/>
          <w:szCs w:val="28"/>
        </w:rPr>
        <w:t xml:space="preserve">Evaluación de Opciones para Concentrar Recursos en la Región Central US</w:t>
      </w:r>
    </w:p>
    <w:p>
      <w:pPr>
        <w:spacing w:after="120"/>
        <w:jc w:val="center"/>
      </w:pPr>
      <w:r>
        <w:rPr>
          <w:i/>
          <w:iCs/>
          <w:color w:val="555555"/>
          <w:sz w:val="22"/>
          <w:szCs w:val="22"/>
        </w:rPr>
        <w:t xml:space="preserve">Documento de análisis técnico para revisión del cliente</w:t>
      </w:r>
    </w:p>
    <w:p>
      <w:pPr>
        <w:jc w:val="center"/>
      </w:pPr>
      <w:r>
        <w:rPr>
          <w:color w:val="555555"/>
          <w:sz w:val="20"/>
          <w:szCs w:val="20"/>
        </w:rPr>
        <w:t xml:space="preserve">Preparado para: Cliente | Fecha: Septiembre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t xml:space="preserve">1. Contexto y Objetivo</w:t>
      </w:r>
    </w:p>
    <w:p>
      <w:pPr>
        <w:spacing w:after="160"/>
      </w:pPr>
      <w:r>
        <w:t xml:space="preserve">El cliente actualmente opera una serie de servicios en Azure distribuidos, aparentemente, entre las regiones South Central US y otras zonas relacionadas, e incluye cargas de trabajo de datos y AI sobre Microsoft Fabric y Azure AI Foundry. Se ha recibido una solicitud con dos posibles caminos: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Opción 1: Crear un nuevo Plan de App Service en Central US, con conectividad de red hacia la infraestructura existente en South Central US (arquitectura híbrida multi-región).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Opción 2: Migrar o reconstruir toda la infraestructura actual para que resida completamente en Central US (consolidación total en una sola región).</w:t>
      </w:r>
    </w:p>
    <w:p>
      <w:pPr>
        <w:spacing w:after="160"/>
      </w:pPr>
      <w:r>
        <w:t xml:space="preserve">El objetivo de este documento es dar al cliente los elementos técnicos, de riesgo y de costo necesarios para decidir entre ambas opciones, partiendo de un Assessment formal (Azure Migrate) y definiendo una estrategia de conectividad híbrida hacia su infraestructura On-Premises.</w:t>
      </w:r>
    </w:p>
    <w:p>
      <w:pPr>
        <w:spacing w:after="160"/>
      </w:pPr>
      <w:r>
        <w:t xml:space="preserve">Nota importante: antes de ejecutar cualquiera de las dos opciones, se recomienda documentar con el cliente el motivo de negocio detrás de la consolidación en Central US (cercanía a otro datacenter propio, cumplimiento normativo, costos, latencia hacia usuarios, paridad de servicios/SKUs, disponibilidad de GPUs para Fabric/Foundry, etc.), ya que la razón de fondo cambia la recomendación técnica.</w:t>
      </w:r>
    </w:p>
    <w:p>
      <w:pPr>
        <w:pStyle w:val="Heading1"/>
        <w:spacing w:after="160" w:before="360"/>
      </w:pPr>
      <w:r>
        <w:t xml:space="preserve">2. Inventario de Servicios Actuales (según lo reportado)</w:t>
      </w:r>
    </w:p>
    <w:p>
      <w:pPr>
        <w:spacing w:after="160"/>
      </w:pPr>
      <w:r>
        <w:t xml:space="preserve">Servicios identificados hoy en la suscripción del cliente: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Cómputo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App Service, Virtual Machines, Virtual Machines Licenses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Almacenamiento y Continuidad</w:t>
            </w:r>
          </w:p>
        </w:tc>
        <w:tc>
          <w:tcPr>
            <w:tcW w:type="dxa" w:w="6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Storage, Backup, Azure Site Recovery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Redes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VPN Gateway, Virtual Network, Bandwidth, Traffic Manager, Network Watcher, Azure DNS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Monitoreo y Operación</w:t>
            </w:r>
          </w:p>
        </w:tc>
        <w:tc>
          <w:tcPr>
            <w:tcW w:type="dxa" w:w="6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 Analytics, Azure Monitor, Automation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Integración/Mensajería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Bus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y AI</w:t>
            </w:r>
          </w:p>
        </w:tc>
        <w:tc>
          <w:tcPr>
            <w:tcW w:type="dxa" w:w="6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Fabric, Azure AI Foundry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</w:rPr>
        <w:t xml:space="preserve">Microsoft Fabric y Azure AI Foundry tienen disponibilidad regional limitada (no están en todas las regiones al mismo nivel que IaaS clásico) y en el caso de Fabric la "región de capacidad" puede depender de dónde se creó el tenant/Power BI. Esto debe validarse explícitamente durante el Assessment, porque puede forzar una arquitectura híbrida aunque el resto de la infraestructura se consolide.</w:t>
      </w:r>
    </w:p>
    <w:p>
      <w:pPr>
        <w:pStyle w:val="Heading1"/>
        <w:spacing w:after="160" w:before="360"/>
      </w:pPr>
      <w:r>
        <w:t xml:space="preserve">3. Las Dos Opciones en Detalle</w:t>
      </w:r>
    </w:p>
    <w:p>
      <w:pPr>
        <w:pStyle w:val="Heading2"/>
        <w:spacing w:after="120" w:before="260"/>
      </w:pPr>
      <w:r>
        <w:t xml:space="preserve">3.1 Opción 1 — App Service en Central US con acceso a South Central US</w:t>
      </w:r>
    </w:p>
    <w:p>
      <w:pPr>
        <w:spacing w:after="160"/>
      </w:pPr>
      <w:r>
        <w:t xml:space="preserve">Consiste en desplegar un nuevo App Service Plan en Central US, integrado a una Virtual Network (VNet Integration) que esté conectada — vía VNet Peering o VPN Gateway — a la VNet actual en South Central US, de forma que la nueva app pueda alcanzar recursos internos (bases de datos, Service Bus, storage privado, etc.) sin salir a Internet.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Requiere: VNet en Central US, Gateway Subnet, VNet Peering (o VPN Gateway site-to-site si no se usa peering nativo) entre ambas regiones.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resto de la infraestructura (VMs, Backup, ASR, Service Bus, etc.) permanece donde está hoy.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 el cambio de menor alcance: solo agrega un componente nuevo y una ruta de 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resuelve la inquietud de fondo del cliente sobre consolidar todo en una región; es una solución puntual para una nueva app.</w:t>
      </w:r>
    </w:p>
    <w:p>
      <w:pPr>
        <w:pStyle w:val="Heading2"/>
        <w:spacing w:after="120" w:before="260"/>
      </w:pPr>
      <w:r>
        <w:t xml:space="preserve">3.2 Opción 2 — Migración completa a Central US</w:t>
      </w:r>
    </w:p>
    <w:p>
      <w:pPr>
        <w:spacing w:after="160"/>
      </w:pPr>
      <w:r>
        <w:t xml:space="preserve">Implica mover (rehost, replatform o rebuild, según el recurso) la totalidad de las cargas de trabajo — VMs, Storage, redes, Backup, Site Recovery, Service Bus, Fabric/Foundry donde sea posible — desde su ubicación actual hacia Central US, dejando una sola región como estándar.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 la latencia y el costo de tráfico inter-región a futuro.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Simplifica gobierno, políticas, DR interno y operación (una sola región que administrar).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 un proyecto de migración completo: requiere Assessment, oleadas de migración, ventanas de corte, pruebas y posible re-arquitectura de componentes que no sean 1:1 (p. ej. Traffic Manager, DNS, IPs públicas, certificados, ASR como origen/destino).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Durante la transición conviven ambas regiones (costo y complejidad temporal más alta).</w:t>
      </w:r>
    </w:p>
    <w:p>
      <w:pPr>
        <w:pStyle w:val="Heading1"/>
        <w:spacing w:after="160" w:before="360"/>
      </w:pPr>
      <w:r>
        <w:t xml:space="preserve">4. Comparativa: Ventajas y Desventajas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Opción 1: App Service + conexión híbrida</w:t>
            </w:r>
          </w:p>
        </w:tc>
        <w:tc>
          <w:tcPr>
            <w:tcW w:type="dxa" w:w="3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Opción 2: Migración total a Central US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Alcance del cambio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Bajo — un componente nuevo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 — toda la infraestructura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Tiempo de implementación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Días a 2-3 semanas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Meses (según cantidad de VMs y dependencias)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Riesgo operativo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Medio-Alto (downtime, dependencias cruzadas)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 inicial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Bajo (solo Gateway/Peering + nuevo plan)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 (doble infraestructura temporal + horas de proyecto)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 recurrente de red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Tráfico inter-región permanente (bandwidth entre VNets)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elimina una vez migrado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Resuelve la meta de consolidación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No, solo la pospone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Sí, de forma definitiva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Complejidad de Fabric/Foundry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aplica (no se tocan)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Debe evaluarse: puede requerir mantenerlos donde están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Reversibilidad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 (fácil de deshacer)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 una vez completada</w:t>
            </w:r>
          </w:p>
        </w:tc>
      </w:tr>
    </w:tbl>
    <w:p>
      <w:pPr>
        <w:pStyle w:val="Heading1"/>
        <w:spacing w:after="160" w:before="360"/>
      </w:pPr>
      <w:r>
        <w:t xml:space="preserve">5. Conectividad hacia la Infraestructura On-Premises</w:t>
      </w:r>
    </w:p>
    <w:p>
      <w:pPr>
        <w:spacing w:after="160"/>
      </w:pPr>
      <w:r>
        <w:t xml:space="preserve">Independientemente de la opción elegida, el cliente requiere que la región resultante (Central US, o Central US + South Central US) tenga acceso a su infraestructura On-Premises. Las alternativas típicas son: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3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Consideraciones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VPN Site-to-Site (ya existe VPN Gateway)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Conectividad rápida de establecer, ancho de banda moderado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Tráfico cifrado sobre Internet; SLA y throughput limitados (hasta ~1-10 Gbps según SKU)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ExpressRoute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Cargas críticas, gran volumen de datos, baja latencia garantizada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Requiere circuito con un proveedor; mayor costo fijo mensual; SLA de Microsoft aplica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VPN Gateway adicional en Central US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se opta por Opción 2 o híbrida permanente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necesita un Gateway por VNet/región; puede usarse topología Hub-Spoke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Virtual WAN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a futuro habrá más regiones/sitios on-prem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Simplifica el enrutamiento hub-and-spoke a escala, pero es un cambio arquitectónico adicional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Recomendación: si el VPN Gateway actual ya conecta al on-premises desde South Central US, lo más simple a corto plazo es extender esa conectividad a Central US vía un segundo Gateway + Virtual Network Peering (topología Hub-Spoke), en vez de duplicar túneles VPN hacia el on-premises desde cada región.</w:t>
      </w:r>
    </w:p>
    <w:p>
      <w:pPr>
        <w:pStyle w:val="Heading1"/>
        <w:spacing w:after="160" w:before="360"/>
      </w:pPr>
      <w:r>
        <w:t xml:space="preserve">6. Fase de Assessment (punto de partida recomendado)</w:t>
      </w:r>
    </w:p>
    <w:p>
      <w:pPr>
        <w:spacing w:after="160"/>
      </w:pPr>
      <w:r>
        <w:t xml:space="preserve">Se recomienda iniciar con un Azure Migrate: Discovery and Assessment antes de comprometerse con cualquiera de las dos opciones. Este assessment entrega: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Inventario real de VMs, dependencias de red y bases de datos (mapa de dependencias).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Compatibilidad de cada recurso con Central US (disponibilidad de SKUs, zonas de disponibilidad, cuotas).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Estimación de "right-sizing" y ahorro potencial (Azure Migrate: Server Assessment).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Estimación de costos con Azure Pricing Calculator / TCO Calculator, comparando la región actual vs. Central 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Identificación de recursos con "gravedad de datos" alta (bases de datos grandes, Storage con mucho tráfico) que son más costosos o lentos de mover.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Validación puntual de si Microsoft Fabric y Azure AI Foundry están soportados de forma equivalente en Central US, o si deben quedarse donde están.</w:t>
      </w:r>
    </w:p>
    <w:p>
      <w:pPr>
        <w:pStyle w:val="Heading1"/>
        <w:spacing w:after="160" w:before="360"/>
      </w:pPr>
      <w:r>
        <w:t xml:space="preserve">7. Estrategia Recomendada (por fases)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00"/>
        <w:gridCol w:w="23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 principales</w:t>
            </w:r>
          </w:p>
        </w:tc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Assessment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Migrate (discovery + dependency mapping), inventario de Fabric/Foundry, TCO Calculator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 de compatibilidad y costos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Definición de arquitectura objetivo</w:t>
            </w:r>
          </w:p>
        </w:tc>
        <w:tc>
          <w:tcPr>
            <w:tcW w:type="dxa" w:w="5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Decisión Opción 1 vs. Opción 2 (o híbrida permanente), diseño de red Hub-Spoke, definición de conectividad on-prem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Diagrama de arquitectura + documento de diseño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Piloto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Migrar/crear un subconjunto no crítico (p. ej. el nuevo App Service u una VM de prueba) y validar conectividad, latencia y monitoreo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piloto validado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Migración por oleadas</w:t>
            </w:r>
          </w:p>
        </w:tc>
        <w:tc>
          <w:tcPr>
            <w:tcW w:type="dxa" w:w="5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Mover cargas de trabajo agrupadas por dependencia (redes, luego VMs, luego datos/backup)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Cargas migradas y validadas por oleada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Cutover y estabilización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Corte de DNS/Traffic Manager, ventana de mantenimiento, monitoreo intensivo post-migración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Producción estable en la región objetivo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Optimización y cierre</w:t>
            </w:r>
          </w:p>
        </w:tc>
        <w:tc>
          <w:tcPr>
            <w:tcW w:type="dxa" w:w="5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Apagar recursos duplicados, ajustar costos (reservas, Azure Hybrid Benefit), documentación final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consolidado + reporte de cierre</w:t>
            </w:r>
          </w:p>
        </w:tc>
      </w:tr>
    </w:tbl>
    <w:p>
      <w:pPr>
        <w:pStyle w:val="Heading1"/>
        <w:spacing w:after="160" w:before="360"/>
      </w:pPr>
      <w:r>
        <w:t xml:space="preserve">8. Consideraciones de Costo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Doble infraestructura temporal: durante la migración (Opción 2) convivirán recursos en ambas regiones, duplicando el gasto mientras dure el corte.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Tráfico de salida (egress) entre regiones: el tráfico entre Central US y South Central US tiene costo por GB; en la Opción 1 este costo es permanente.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VPN Gateway / ExpressRoute adicional: un segundo Gateway en Central US implica un costo fijo mensual nuevo.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y Azure Site Recovery: si se migra, hay que rehacer las políticas de backup y, en el caso de ASR, reconfigurar origen/destino de replicación.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Licenciamiento (Azure Hybrid Benefit): validar que las licencias de Virtual Machines Licenses sean portables a los nuevos recursos sin penalización.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Costo de las horas de proyecto (Assessment + migración) vs. el ahorro operativo esperado de tener una sola región.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Traffic Manager: si se usa para distribuir tráfico entre regiones, su necesidad y costo cambian según si se termina con una o dos regiones activas.</w:t>
      </w:r>
    </w:p>
    <w:p>
      <w:pPr>
        <w:pStyle w:val="Heading1"/>
        <w:spacing w:after="160" w:before="360"/>
      </w:pPr>
      <w:r>
        <w:t xml:space="preserve">9. Riesgos y Mitigaciones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600"/>
        <w:gridCol w:w="4700"/>
      </w:tblGrid>
      <w:tr>
        <w:trPr>
          <w:tblHeader/>
        </w:trPr>
        <w:tc>
          <w:tcPr>
            <w:tcW w:type="dxa" w:w="3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Downtime durante el corte (Opción 2)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Migración por oleadas + ventanas de mantenimiento + plan de rollback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Fabric/Foundry sin soporte equivalente en Central US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Medio-Alto</w:t>
            </w:r>
          </w:p>
        </w:tc>
        <w:tc>
          <w:tcPr>
            <w:tcW w:type="dxa" w:w="4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en el Assessment antes de decidir; considerar arquitectura híbrida permanente para estos servicios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Latencia adicional entre App Service (Central US) y datos (South Central US)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Medir con el piloto antes de escalar; considerar cache o réplicas de datos si la latencia no es aceptable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 de tráfico inter-región subestimado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Modelar el tráfico esperado con el TCO Calculator antes de aprobar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Dependencias no documentadas entre recursos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Dependency mapping de Azure Migrate antes de mover nada</w:t>
            </w:r>
          </w:p>
        </w:tc>
      </w:tr>
    </w:tbl>
    <w:p>
      <w:pPr>
        <w:pStyle w:val="Heading1"/>
        <w:spacing w:after="160" w:before="360"/>
      </w:pPr>
      <w:r>
        <w:t xml:space="preserve">10. Preguntas Abiertas para el Cliente</w:t>
      </w:r>
    </w:p>
    <w:p>
      <w:pPr>
        <w:spacing w:after="160"/>
      </w:pPr>
      <w:r>
        <w:t xml:space="preserve">Antes de aprobar una estrategia, conviene aclarar con el cliente: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¿Cuál es la razón de negocio para exigir Central US específicamente (cercanía a otro sitio, cumplimiento, costo, disponibilidad de capacidad)?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¿Existen requisitos de RTO/RPO que condicionen si se puede tener downtime durante una migración completa?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¿Microsoft Fabric y Azure AI Foundry deben migrarse también, o pueden quedarse en su región actual de forma permanente?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¿Cuál es el ancho de banda y el tipo de conectividad (VPN o ExpressRoute) que ya existe hacia el On-Premises?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¿Hay una fecha límite de negocio que obligue a elegir la Opción 1 (rápida) en lugar de la Opción 2 (completa pero más lenta)?</w:t>
      </w:r>
    </w:p>
    <w:p>
      <w:pPr>
        <w:pStyle w:val="Heading1"/>
        <w:spacing w:after="160" w:before="360"/>
      </w:pPr>
      <w:r>
        <w:t xml:space="preserve">11. Recomendación General</w:t>
      </w:r>
    </w:p>
    <w:p>
      <w:pPr>
        <w:spacing w:after="160"/>
      </w:pPr>
      <w:r>
        <w:t xml:space="preserve">Con la información disponible, se sugiere: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Iniciar de inmediato con el Azure Migrate Assessment (no tiene costo de licenciamiter significativo y no compromete al cliente con ninguna opción todavía).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Usar la Opción 1 como solución de corto plazo para desbloquear la necesidad inmediata de la nueva App Service, ya que es reversible y de bajo riesgo.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Tomar la decisión sobre la Opción 2 (consolidación total) únicamente después de tener los resultados del Assessment y las respuestas a las preguntas abiertas de la sección 10, dado que es un cambio de mayor costo y riesgo y, en algunos casos (Fabric/Foundry), podría no ser 100% posible.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55555"/>
        </w:rPr>
        <w:t xml:space="preserve">Este documento es un punto de partida para discusión; los tiempos y costos exactos deben ajustarse una vez que el Azure Migrate Assessment entregue el inventario real de dependencias y el volumen de datos a mover.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2026-09-02T05:39:54.687Z</dcterms:created>
  <dcterms:modified xsi:type="dcterms:W3CDTF">2026-09-02T05:39:54.699Z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