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200"/>
        <w:jc w:val="center"/>
      </w:pPr>
      <w:r>
        <w:rPr>
          <w:rFonts w:ascii="Arial" w:cs="Arial" w:eastAsia="Arial" w:hAnsi="Arial"/>
          <w:b/>
          <w:bCs/>
          <w:color w:val="0F6CBD"/>
          <w:sz w:val="40"/>
          <w:szCs w:val="40"/>
        </w:rPr>
        <w:t xml:space="preserve">PROPUESTA DE SERVICIOS</w:t>
      </w:r>
    </w:p>
    <w:p>
      <w:pPr>
        <w:pBdr>
          <w:bottom w:val="single" w:color="8B5CF6" w:sz="12" w:space="8"/>
        </w:pBdr>
        <w:spacing w:after="400"/>
        <w:jc w:val="center"/>
      </w:pPr>
      <w:r>
        <w:rPr>
          <w:rFonts w:ascii="Arial" w:cs="Arial" w:eastAsia="Arial" w:hAnsi="Arial"/>
          <w:b/>
          <w:bCs/>
          <w:color w:val="1F2937"/>
          <w:sz w:val="32"/>
          <w:szCs w:val="32"/>
        </w:rPr>
        <w:t xml:space="preserve">Plataforma Inteligente con Azure OpenAI</w:t>
      </w:r>
    </w:p>
    <w:p>
      <w:pPr>
        <w:spacing w:after="200"/>
      </w:pPr>
      <w:r>
        <w:t xml:space="preserve"/>
      </w:r>
    </w:p>
    <w:p>
      <w:pPr>
        <w:spacing w:after="200"/>
        <w:jc w:val="center"/>
      </w:pPr>
      <w:r>
        <w:rPr>
          <w:rFonts w:ascii="Arial" w:cs="Arial" w:eastAsia="Arial" w:hAnsi="Arial"/>
          <w:i/>
          <w:iCs/>
          <w:color w:val="6B7280"/>
          <w:sz w:val="24"/>
          <w:szCs w:val="24"/>
        </w:rPr>
        <w:t xml:space="preserve">Asistente de negocio, análisis de tendencias y automatización con IA generativa</w:t>
      </w:r>
    </w:p>
    <w:p>
      <w:pPr>
        <w:spacing w:after="1400"/>
      </w:pPr>
      <w:r>
        <w:t xml:space="preserve"/>
      </w:r>
    </w:p>
    <w:p>
      <w:pPr>
        <w:spacing w:after="120"/>
        <w:jc w:val="center"/>
      </w:pPr>
      <w:r>
        <w:rPr>
          <w:rFonts w:ascii="Arial" w:cs="Arial" w:eastAsia="Arial" w:hAnsi="Arial"/>
          <w:color w:val="6B7280"/>
          <w:sz w:val="22"/>
          <w:szCs w:val="22"/>
        </w:rPr>
        <w:t xml:space="preserve">Preparado para</w:t>
      </w:r>
    </w:p>
    <w:p>
      <w:pPr>
        <w:spacing w:after="480"/>
        <w:jc w:val="center"/>
      </w:pPr>
      <w:r>
        <w:rPr>
          <w:rFonts w:ascii="Arial" w:cs="Arial" w:eastAsia="Arial" w:hAnsi="Arial"/>
          <w:b/>
          <w:bCs/>
          <w:color w:val="107C10"/>
          <w:sz w:val="44"/>
          <w:szCs w:val="44"/>
        </w:rPr>
        <w:t xml:space="preserve">Super Naturista</w:t>
      </w:r>
    </w:p>
    <w:p>
      <w:pPr>
        <w:spacing w:after="800"/>
      </w:pPr>
      <w:r>
        <w:t xml:space="preserve"/>
      </w:r>
    </w:p>
    <w:p>
      <w:pPr>
        <w:spacing w:after="60"/>
        <w:jc w:val="center"/>
      </w:pPr>
      <w:r>
        <w:rPr>
          <w:rFonts w:ascii="Arial" w:cs="Arial" w:eastAsia="Arial" w:hAnsi="Arial"/>
          <w:color w:val="333333"/>
          <w:sz w:val="22"/>
          <w:szCs w:val="22"/>
        </w:rPr>
        <w:t xml:space="preserve">Versión 1.0</w:t>
      </w:r>
    </w:p>
    <w:p>
      <w:pPr>
        <w:spacing w:after="60"/>
        <w:jc w:val="center"/>
      </w:pPr>
      <w:r>
        <w:rPr>
          <w:rFonts w:ascii="Arial" w:cs="Arial" w:eastAsia="Arial" w:hAnsi="Arial"/>
          <w:color w:val="333333"/>
          <w:sz w:val="22"/>
          <w:szCs w:val="22"/>
        </w:rPr>
        <w:t xml:space="preserve">Junio de 2026</w:t>
      </w:r>
    </w:p>
    <w:p>
      <w:pPr>
        <w:spacing w:after="60"/>
        <w:jc w:val="center"/>
      </w:pPr>
      <w:r>
        <w:rPr>
          <w:rFonts w:ascii="Arial" w:cs="Arial" w:eastAsia="Arial" w:hAnsi="Arial"/>
          <w:i/>
          <w:iCs/>
          <w:color w:val="6B7280"/>
          <w:sz w:val="20"/>
          <w:szCs w:val="20"/>
        </w:rPr>
        <w:t xml:space="preserve">Documento confidencial</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Resumen Ejecutivo</w:t>
      </w:r>
    </w:p>
    <w:p>
      <w:pPr>
        <w:spacing w:after="120" w:before="0" w:line="300"/>
      </w:pPr>
      <w:r>
        <w:rPr>
          <w:rFonts w:ascii="Arial" w:cs="Arial" w:eastAsia="Arial" w:hAnsi="Arial"/>
          <w:color w:val="333333"/>
          <w:sz w:val="22"/>
          <w:szCs w:val="22"/>
        </w:rPr>
        <w:t xml:space="preserve">Esta propuesta detalla la implementación de una plataforma inteligente basada en Azure OpenAI para Super Naturista. La solución habilita a los usuarios de negocio (compradores, gerentes de tienda, dirección comercial) a interactuar con la información operativa mediante lenguaje natural, obtener recomendaciones de compra fundamentadas en datos y automatizar el procesamiento de información no estructurada como catálogos, contratos y comunicaciones de proveedores.</w:t>
      </w:r>
    </w:p>
    <w:p>
      <w:pPr>
        <w:spacing w:after="120" w:before="0" w:line="300"/>
      </w:pPr>
      <w:r>
        <w:rPr>
          <w:rFonts w:ascii="Arial" w:cs="Arial" w:eastAsia="Arial" w:hAnsi="Arial"/>
          <w:color w:val="333333"/>
          <w:sz w:val="22"/>
          <w:szCs w:val="22"/>
        </w:rPr>
        <w:t xml:space="preserve">A diferencia de una plataforma de Business Intelligence tradicional, el enfoque con Azure OpenAI privilegia la interacción conversacional y la generación automática de insights sobre la visualización tabular. Un comprador puede preguntar: "¿qué productos de la línea de postres están bajos en inventario en la tienda Roma y muestran crecimiento sostenido en las últimas cuatro semanas?" y recibir una respuesta narrativa con la recomendación de compra correspondiente, en segundos y sin depender del área de TI.</w:t>
      </w:r>
    </w:p>
    <w:p>
      <w:pPr>
        <w:spacing w:after="120" w:before="0" w:line="300"/>
      </w:pPr>
      <w:r>
        <w:rPr>
          <w:rFonts w:ascii="Arial" w:cs="Arial" w:eastAsia="Arial" w:hAnsi="Arial"/>
          <w:color w:val="333333"/>
          <w:sz w:val="22"/>
          <w:szCs w:val="22"/>
        </w:rPr>
        <w:t xml:space="preserve">La solución combina modelos de lenguaje de última generación (GPT-4o, GPT-4o mini, embeddings) con búsqueda vectorial (Azure AI Search) sobre datos del ERP Intelisis, canales digitales, tiendas físicas y documentos operativos, todo dentro de un entorno seguro y gobernado en la nube de Microsoft.</w:t>
      </w:r>
    </w:p>
    <w:p>
      <w:pPr>
        <w:spacing w:after="120" w:before="0" w:line="300"/>
      </w:pPr>
      <w:r>
        <w:rPr>
          <w:rFonts w:ascii="Arial" w:cs="Arial" w:eastAsia="Arial" w:hAnsi="Arial"/>
          <w:i/>
          <w:iCs/>
          <w:color w:val="333333"/>
          <w:sz w:val="22"/>
          <w:szCs w:val="22"/>
        </w:rPr>
        <w:t xml:space="preserve">Se propone iniciar con un piloto acotado de 8 semanas centrado en un caso de uso principal de alto valor —el asistente conversacional de compras— más un caso complementario de procesamiento de catálogos de proveedores, con la infraestructura preparada para escalar a casos de uso adicionales sin rehacer la fundación técnica.</w:t>
      </w:r>
    </w:p>
    <w:p>
      <w:pPr>
        <w:spacing w:after="120" w:before="0" w:line="300"/>
      </w:pPr>
      <w:r>
        <w:rPr>
          <w:rFonts w:ascii="Arial" w:cs="Arial" w:eastAsia="Arial" w:hAnsi="Arial"/>
          <w:color w:val="333333"/>
          <w:sz w:val="22"/>
          <w:szCs w:val="22"/>
        </w:rPr>
        <w:t xml:space="preserve">Este documento describe la situación actual, los objetivos, la arquitectura propuesta, el alcance, requerimientos, plan de trabajo, supuestos, estimación de costos y demás elementos necesarios para la toma de decisión.</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1. Situación Actual</w:t>
      </w:r>
    </w:p>
    <w:p>
      <w:pPr>
        <w:spacing w:after="120" w:before="0" w:line="300"/>
      </w:pPr>
      <w:r>
        <w:rPr>
          <w:rFonts w:ascii="Arial" w:cs="Arial" w:eastAsia="Arial" w:hAnsi="Arial"/>
          <w:color w:val="333333"/>
          <w:sz w:val="22"/>
          <w:szCs w:val="22"/>
        </w:rPr>
        <w:t xml:space="preserve">Super Naturista opera tres líneas de negocio (alimentos, bebidas y postres) a través de tiendas físicas, un sitio web de e-commerce y una aplicación móvil. Toda la información transaccional se centraliza en el ERP Intelisis, cuya base de datos reside en Microsoft SQL Server Enterprise.</w:t>
      </w:r>
    </w:p>
    <w:p>
      <w:pPr>
        <w:pStyle w:val="Heading2"/>
        <w:spacing w:after="140" w:before="280"/>
      </w:pPr>
      <w:r>
        <w:rPr>
          <w:rFonts w:ascii="Arial" w:cs="Arial" w:eastAsia="Arial" w:hAnsi="Arial"/>
          <w:b/>
          <w:bCs/>
          <w:color w:val="107C10"/>
          <w:sz w:val="26"/>
          <w:szCs w:val="26"/>
        </w:rPr>
        <w:t xml:space="preserve">1.1 Estado del acceso a la información</w:t>
      </w:r>
    </w:p>
    <w:p>
      <w:pPr>
        <w:pStyle w:val="ListParagraph"/>
        <w:numPr>
          <w:ilvl w:val="0"/>
          <w:numId w:val="2"/>
        </w:numPr>
        <w:spacing w:after="80" w:line="300"/>
      </w:pPr>
      <w:r>
        <w:rPr>
          <w:rFonts w:ascii="Arial" w:cs="Arial" w:eastAsia="Arial" w:hAnsi="Arial"/>
          <w:color w:val="333333"/>
          <w:sz w:val="22"/>
          <w:szCs w:val="22"/>
        </w:rPr>
        <w:t xml:space="preserve">Los datos operativos (ventas, inventarios, compras, clientes) están concentrados en el ERP, pero su consulta requiere conocimiento técnico (SQL, reportes específicos, uso de módulos del ERP).</w:t>
      </w:r>
    </w:p>
    <w:p>
      <w:pPr>
        <w:pStyle w:val="ListParagraph"/>
        <w:numPr>
          <w:ilvl w:val="0"/>
          <w:numId w:val="2"/>
        </w:numPr>
        <w:spacing w:after="80" w:line="300"/>
      </w:pPr>
      <w:r>
        <w:rPr>
          <w:rFonts w:ascii="Arial" w:cs="Arial" w:eastAsia="Arial" w:hAnsi="Arial"/>
          <w:color w:val="333333"/>
          <w:sz w:val="22"/>
          <w:szCs w:val="22"/>
        </w:rPr>
        <w:t xml:space="preserve">Los usuarios de negocio dependen del área de sistemas o de reportes fijos para obtener información. El tiempo entre "quiero saber" y "obtengo la respuesta" suele ser de horas o días.</w:t>
      </w:r>
    </w:p>
    <w:p>
      <w:pPr>
        <w:pStyle w:val="ListParagraph"/>
        <w:numPr>
          <w:ilvl w:val="0"/>
          <w:numId w:val="2"/>
        </w:numPr>
        <w:spacing w:after="80" w:line="300"/>
      </w:pPr>
      <w:r>
        <w:rPr>
          <w:rFonts w:ascii="Arial" w:cs="Arial" w:eastAsia="Arial" w:hAnsi="Arial"/>
          <w:color w:val="333333"/>
          <w:sz w:val="22"/>
          <w:szCs w:val="22"/>
        </w:rPr>
        <w:t xml:space="preserve">Existe información no estructurada valiosa (catálogos de proveedores en PDF y Excel, contratos, reseñas de clientes en la web y la app, correos con negociaciones) que hoy no se aprovecha porque no está integrada al ERP.</w:t>
      </w:r>
    </w:p>
    <w:p>
      <w:pPr>
        <w:pStyle w:val="ListParagraph"/>
        <w:numPr>
          <w:ilvl w:val="0"/>
          <w:numId w:val="2"/>
        </w:numPr>
        <w:spacing w:after="80" w:line="300"/>
      </w:pPr>
      <w:r>
        <w:rPr>
          <w:rFonts w:ascii="Arial" w:cs="Arial" w:eastAsia="Arial" w:hAnsi="Arial"/>
          <w:color w:val="333333"/>
          <w:sz w:val="22"/>
          <w:szCs w:val="22"/>
        </w:rPr>
        <w:t xml:space="preserve">El análisis de tendencias se realiza manualmente en hojas de cálculo, con lo cual es lento, susceptible a errores y solo aprovecha una fracción del potencial de la información.</w:t>
      </w:r>
    </w:p>
    <w:p>
      <w:pPr>
        <w:pStyle w:val="ListParagraph"/>
        <w:numPr>
          <w:ilvl w:val="0"/>
          <w:numId w:val="2"/>
        </w:numPr>
        <w:spacing w:after="80" w:line="300"/>
      </w:pPr>
      <w:r>
        <w:rPr>
          <w:rFonts w:ascii="Arial" w:cs="Arial" w:eastAsia="Arial" w:hAnsi="Arial"/>
          <w:color w:val="333333"/>
          <w:sz w:val="22"/>
          <w:szCs w:val="22"/>
        </w:rPr>
        <w:t xml:space="preserve">Las decisiones de compra a proveedores se toman con reglas empíricas y experiencia acumulada, sin apoyo cuantitativo sistemático.</w:t>
      </w:r>
    </w:p>
    <w:p>
      <w:pPr>
        <w:pStyle w:val="Heading2"/>
        <w:spacing w:after="140" w:before="280"/>
      </w:pPr>
      <w:r>
        <w:rPr>
          <w:rFonts w:ascii="Arial" w:cs="Arial" w:eastAsia="Arial" w:hAnsi="Arial"/>
          <w:b/>
          <w:bCs/>
          <w:color w:val="107C10"/>
          <w:sz w:val="26"/>
          <w:szCs w:val="26"/>
        </w:rPr>
        <w:t xml:space="preserve">1.2 Necesidades identificadas</w:t>
      </w:r>
    </w:p>
    <w:p>
      <w:pPr>
        <w:pStyle w:val="ListParagraph"/>
        <w:numPr>
          <w:ilvl w:val="0"/>
          <w:numId w:val="2"/>
        </w:numPr>
        <w:spacing w:after="80" w:line="300"/>
      </w:pPr>
      <w:r>
        <w:rPr>
          <w:rFonts w:ascii="Arial" w:cs="Arial" w:eastAsia="Arial" w:hAnsi="Arial"/>
          <w:color w:val="333333"/>
          <w:sz w:val="22"/>
          <w:szCs w:val="22"/>
        </w:rPr>
        <w:t xml:space="preserve">Acceso ágil a la información por parte de usuarios no técnicos, sin requerir intervención del área de TI para preguntas cotidianas de negocio.</w:t>
      </w:r>
    </w:p>
    <w:p>
      <w:pPr>
        <w:pStyle w:val="ListParagraph"/>
        <w:numPr>
          <w:ilvl w:val="0"/>
          <w:numId w:val="2"/>
        </w:numPr>
        <w:spacing w:after="80" w:line="300"/>
      </w:pPr>
      <w:r>
        <w:rPr>
          <w:rFonts w:ascii="Arial" w:cs="Arial" w:eastAsia="Arial" w:hAnsi="Arial"/>
          <w:color w:val="333333"/>
          <w:sz w:val="22"/>
          <w:szCs w:val="22"/>
        </w:rPr>
        <w:t xml:space="preserve">Recomendaciones automáticas de compra basadas en patrones de venta, estacionalidad, disponibilidad e inventarios de seguridad.</w:t>
      </w:r>
    </w:p>
    <w:p>
      <w:pPr>
        <w:pStyle w:val="ListParagraph"/>
        <w:numPr>
          <w:ilvl w:val="0"/>
          <w:numId w:val="2"/>
        </w:numPr>
        <w:spacing w:after="80" w:line="300"/>
      </w:pPr>
      <w:r>
        <w:rPr>
          <w:rFonts w:ascii="Arial" w:cs="Arial" w:eastAsia="Arial" w:hAnsi="Arial"/>
          <w:color w:val="333333"/>
          <w:sz w:val="22"/>
          <w:szCs w:val="22"/>
        </w:rPr>
        <w:t xml:space="preserve">Aprovechamiento de la información no estructurada (documentos de proveedores, reseñas de clientes) mediante procesamiento inteligente.</w:t>
      </w:r>
    </w:p>
    <w:p>
      <w:pPr>
        <w:pStyle w:val="ListParagraph"/>
        <w:numPr>
          <w:ilvl w:val="0"/>
          <w:numId w:val="2"/>
        </w:numPr>
        <w:spacing w:after="80" w:line="300"/>
      </w:pPr>
      <w:r>
        <w:rPr>
          <w:rFonts w:ascii="Arial" w:cs="Arial" w:eastAsia="Arial" w:hAnsi="Arial"/>
          <w:color w:val="333333"/>
          <w:sz w:val="22"/>
          <w:szCs w:val="22"/>
        </w:rPr>
        <w:t xml:space="preserve">Análisis narrativo de tendencias que explique el "qué" y el "por qué" de los cambios observados.</w:t>
      </w:r>
    </w:p>
    <w:p>
      <w:pPr>
        <w:pStyle w:val="ListParagraph"/>
        <w:numPr>
          <w:ilvl w:val="0"/>
          <w:numId w:val="2"/>
        </w:numPr>
        <w:spacing w:after="80" w:line="300"/>
      </w:pPr>
      <w:r>
        <w:rPr>
          <w:rFonts w:ascii="Arial" w:cs="Arial" w:eastAsia="Arial" w:hAnsi="Arial"/>
          <w:color w:val="333333"/>
          <w:sz w:val="22"/>
          <w:szCs w:val="22"/>
        </w:rPr>
        <w:t xml:space="preserve">Capacidad conversacional que permita profundizar en un tema mediante preguntas de seguimiento, como se hace con un analista humano.</w:t>
      </w:r>
    </w:p>
    <w:p>
      <w:pPr>
        <w:pStyle w:val="Heading2"/>
        <w:spacing w:after="140" w:before="280"/>
      </w:pPr>
      <w:r>
        <w:rPr>
          <w:rFonts w:ascii="Arial" w:cs="Arial" w:eastAsia="Arial" w:hAnsi="Arial"/>
          <w:b/>
          <w:bCs/>
          <w:color w:val="107C10"/>
          <w:sz w:val="26"/>
          <w:szCs w:val="26"/>
        </w:rPr>
        <w:t xml:space="preserve">1.3 Oportunidad</w:t>
      </w:r>
    </w:p>
    <w:p>
      <w:pPr>
        <w:spacing w:after="120" w:before="0" w:line="300"/>
      </w:pPr>
      <w:r>
        <w:rPr>
          <w:rFonts w:ascii="Arial" w:cs="Arial" w:eastAsia="Arial" w:hAnsi="Arial"/>
          <w:color w:val="333333"/>
          <w:sz w:val="22"/>
          <w:szCs w:val="22"/>
        </w:rPr>
        <w:t xml:space="preserve">El estado actual de la IA generativa —con modelos como GPT-4o disponibles con calidad empresarial en Azure OpenAI— permite construir soluciones que hace pocos años eran inviables técnica o económicamente. La combinación de estos modelos con búsqueda semántica sobre los datos propios (patrón conocido como RAG, Retrieval-Augmented Generation) permite construir asistentes que responden con base en la información real de la empresa, con trazabilidad y control.</w:t>
      </w:r>
    </w:p>
    <w:p>
      <w:pPr>
        <w:spacing w:after="120" w:before="0" w:line="300"/>
      </w:pPr>
      <w:r>
        <w:rPr>
          <w:rFonts w:ascii="Arial" w:cs="Arial" w:eastAsia="Arial" w:hAnsi="Arial"/>
          <w:color w:val="333333"/>
          <w:sz w:val="22"/>
          <w:szCs w:val="22"/>
        </w:rPr>
        <w:t xml:space="preserve">El presente proyecto propone materializar esta oportunidad de forma progresiva y controlada, iniciando por un caso de uso de alto impacto y expandiendo a partir de los aprendizajes.</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2. Objetivos del Proyecto</w:t>
      </w:r>
    </w:p>
    <w:p>
      <w:pPr>
        <w:pStyle w:val="Heading2"/>
        <w:spacing w:after="140" w:before="280"/>
      </w:pPr>
      <w:r>
        <w:rPr>
          <w:rFonts w:ascii="Arial" w:cs="Arial" w:eastAsia="Arial" w:hAnsi="Arial"/>
          <w:b/>
          <w:bCs/>
          <w:color w:val="107C10"/>
          <w:sz w:val="26"/>
          <w:szCs w:val="26"/>
        </w:rPr>
        <w:t xml:space="preserve">2.1 Objetivo general</w:t>
      </w:r>
    </w:p>
    <w:p>
      <w:pPr>
        <w:spacing w:after="120" w:before="0" w:line="300"/>
      </w:pPr>
      <w:r>
        <w:rPr>
          <w:rFonts w:ascii="Arial" w:cs="Arial" w:eastAsia="Arial" w:hAnsi="Arial"/>
          <w:color w:val="333333"/>
          <w:sz w:val="22"/>
          <w:szCs w:val="22"/>
        </w:rPr>
        <w:t xml:space="preserve">Implementar una plataforma inteligente sobre Azure OpenAI que permita a Super Naturista consultar, analizar y actuar sobre su información operativa mediante interacción en lenguaje natural, y automatizar procesos que hoy dependen de intervención humana en el análisis de datos no estructurados.</w:t>
      </w:r>
    </w:p>
    <w:p>
      <w:pPr>
        <w:pStyle w:val="Heading2"/>
        <w:spacing w:after="140" w:before="280"/>
      </w:pPr>
      <w:r>
        <w:rPr>
          <w:rFonts w:ascii="Arial" w:cs="Arial" w:eastAsia="Arial" w:hAnsi="Arial"/>
          <w:b/>
          <w:bCs/>
          <w:color w:val="107C10"/>
          <w:sz w:val="26"/>
          <w:szCs w:val="26"/>
        </w:rPr>
        <w:t xml:space="preserve">2.2 Objetivos específicos</w:t>
      </w:r>
    </w:p>
    <w:p>
      <w:pPr>
        <w:pStyle w:val="ListParagraph"/>
        <w:numPr>
          <w:ilvl w:val="0"/>
          <w:numId w:val="3"/>
        </w:numPr>
        <w:spacing w:after="80" w:line="300"/>
      </w:pPr>
      <w:r>
        <w:rPr>
          <w:rFonts w:ascii="Arial" w:cs="Arial" w:eastAsia="Arial" w:hAnsi="Arial"/>
          <w:color w:val="333333"/>
          <w:sz w:val="22"/>
          <w:szCs w:val="22"/>
        </w:rPr>
        <w:t xml:space="preserve">Habilitar un asistente conversacional que responda preguntas de negocio sobre ventas, inventarios, compras, productos y clientes, con base en los datos reales del ERP y los canales digitales.</w:t>
      </w:r>
    </w:p>
    <w:p>
      <w:pPr>
        <w:pStyle w:val="ListParagraph"/>
        <w:numPr>
          <w:ilvl w:val="0"/>
          <w:numId w:val="3"/>
        </w:numPr>
        <w:spacing w:after="80" w:line="300"/>
      </w:pPr>
      <w:r>
        <w:rPr>
          <w:rFonts w:ascii="Arial" w:cs="Arial" w:eastAsia="Arial" w:hAnsi="Arial"/>
          <w:color w:val="333333"/>
          <w:sz w:val="22"/>
          <w:szCs w:val="22"/>
        </w:rPr>
        <w:t xml:space="preserve">Generar recomendaciones de compra automatizadas apoyadas por la síntesis de patrones históricos, tendencias actuales y disponibilidad de proveedores.</w:t>
      </w:r>
    </w:p>
    <w:p>
      <w:pPr>
        <w:pStyle w:val="ListParagraph"/>
        <w:numPr>
          <w:ilvl w:val="0"/>
          <w:numId w:val="3"/>
        </w:numPr>
        <w:spacing w:after="80" w:line="300"/>
      </w:pPr>
      <w:r>
        <w:rPr>
          <w:rFonts w:ascii="Arial" w:cs="Arial" w:eastAsia="Arial" w:hAnsi="Arial"/>
          <w:color w:val="333333"/>
          <w:sz w:val="22"/>
          <w:szCs w:val="22"/>
        </w:rPr>
        <w:t xml:space="preserve">Procesar automáticamente documentos de proveedores (catálogos, cotizaciones) para integrarlos al flujo operativo sin captura manual.</w:t>
      </w:r>
    </w:p>
    <w:p>
      <w:pPr>
        <w:pStyle w:val="ListParagraph"/>
        <w:numPr>
          <w:ilvl w:val="0"/>
          <w:numId w:val="3"/>
        </w:numPr>
        <w:spacing w:after="80" w:line="300"/>
      </w:pPr>
      <w:r>
        <w:rPr>
          <w:rFonts w:ascii="Arial" w:cs="Arial" w:eastAsia="Arial" w:hAnsi="Arial"/>
          <w:color w:val="333333"/>
          <w:sz w:val="22"/>
          <w:szCs w:val="22"/>
        </w:rPr>
        <w:t xml:space="preserve">Extraer insights de reseñas de clientes en el sitio web y en la app, incluyendo análisis de sentimiento y detección de tendencias emergentes.</w:t>
      </w:r>
    </w:p>
    <w:p>
      <w:pPr>
        <w:pStyle w:val="ListParagraph"/>
        <w:numPr>
          <w:ilvl w:val="0"/>
          <w:numId w:val="3"/>
        </w:numPr>
        <w:spacing w:after="80" w:line="300"/>
      </w:pPr>
      <w:r>
        <w:rPr>
          <w:rFonts w:ascii="Arial" w:cs="Arial" w:eastAsia="Arial" w:hAnsi="Arial"/>
          <w:color w:val="333333"/>
          <w:sz w:val="22"/>
          <w:szCs w:val="22"/>
        </w:rPr>
        <w:t xml:space="preserve">Establecer una fundación arquitectónica que permita agregar nuevos casos de uso de IA generativa sin rehacer el trabajo previo.</w:t>
      </w:r>
    </w:p>
    <w:p>
      <w:pPr>
        <w:pStyle w:val="ListParagraph"/>
        <w:numPr>
          <w:ilvl w:val="0"/>
          <w:numId w:val="3"/>
        </w:numPr>
        <w:spacing w:after="80" w:line="300"/>
      </w:pPr>
      <w:r>
        <w:rPr>
          <w:rFonts w:ascii="Arial" w:cs="Arial" w:eastAsia="Arial" w:hAnsi="Arial"/>
          <w:color w:val="333333"/>
          <w:sz w:val="22"/>
          <w:szCs w:val="22"/>
        </w:rPr>
        <w:t xml:space="preserve">Garantizar la seguridad, privacidad y gobierno de la información en todo el ciclo de vida de la solución.</w:t>
      </w:r>
    </w:p>
    <w:p>
      <w:pPr>
        <w:pStyle w:val="Heading2"/>
        <w:spacing w:after="140" w:before="280"/>
      </w:pPr>
      <w:r>
        <w:rPr>
          <w:rFonts w:ascii="Arial" w:cs="Arial" w:eastAsia="Arial" w:hAnsi="Arial"/>
          <w:b/>
          <w:bCs/>
          <w:color w:val="107C10"/>
          <w:sz w:val="26"/>
          <w:szCs w:val="26"/>
        </w:rPr>
        <w:t xml:space="preserve">2.3 Métricas de éxito</w:t>
      </w:r>
    </w:p>
    <w:p>
      <w:pPr>
        <w:pStyle w:val="ListParagraph"/>
        <w:numPr>
          <w:ilvl w:val="0"/>
          <w:numId w:val="2"/>
        </w:numPr>
        <w:spacing w:after="80" w:line="300"/>
      </w:pPr>
      <w:r>
        <w:rPr>
          <w:rFonts w:ascii="Arial" w:cs="Arial" w:eastAsia="Arial" w:hAnsi="Arial"/>
          <w:b/>
          <w:bCs/>
          <w:color w:val="333333"/>
          <w:sz w:val="22"/>
          <w:szCs w:val="22"/>
        </w:rPr>
        <w:t xml:space="preserve">Adopción: </w:t>
      </w:r>
      <w:r>
        <w:rPr>
          <w:rFonts w:ascii="Arial" w:cs="Arial" w:eastAsia="Arial" w:hAnsi="Arial"/>
          <w:color w:val="333333"/>
          <w:sz w:val="22"/>
          <w:szCs w:val="22"/>
        </w:rPr>
        <w:t xml:space="preserve">porcentaje de usuarios objetivo activos semanalmente en el asistente (meta: &gt;70% al cierre del piloto).</w:t>
      </w:r>
    </w:p>
    <w:p>
      <w:pPr>
        <w:pStyle w:val="ListParagraph"/>
        <w:numPr>
          <w:ilvl w:val="0"/>
          <w:numId w:val="2"/>
        </w:numPr>
        <w:spacing w:after="80" w:line="300"/>
      </w:pPr>
      <w:r>
        <w:rPr>
          <w:rFonts w:ascii="Arial" w:cs="Arial" w:eastAsia="Arial" w:hAnsi="Arial"/>
          <w:b/>
          <w:bCs/>
          <w:color w:val="333333"/>
          <w:sz w:val="22"/>
          <w:szCs w:val="22"/>
        </w:rPr>
        <w:t xml:space="preserve">Precisión de respuestas: </w:t>
      </w:r>
      <w:r>
        <w:rPr>
          <w:rFonts w:ascii="Arial" w:cs="Arial" w:eastAsia="Arial" w:hAnsi="Arial"/>
          <w:color w:val="333333"/>
          <w:sz w:val="22"/>
          <w:szCs w:val="22"/>
        </w:rPr>
        <w:t xml:space="preserve">porcentaje de respuestas evaluadas como correctas y accionables (meta: &gt;85% en el conjunto de evaluación).</w:t>
      </w:r>
    </w:p>
    <w:p>
      <w:pPr>
        <w:pStyle w:val="ListParagraph"/>
        <w:numPr>
          <w:ilvl w:val="0"/>
          <w:numId w:val="2"/>
        </w:numPr>
        <w:spacing w:after="80" w:line="300"/>
      </w:pPr>
      <w:r>
        <w:rPr>
          <w:rFonts w:ascii="Arial" w:cs="Arial" w:eastAsia="Arial" w:hAnsi="Arial"/>
          <w:b/>
          <w:bCs/>
          <w:color w:val="333333"/>
          <w:sz w:val="22"/>
          <w:szCs w:val="22"/>
        </w:rPr>
        <w:t xml:space="preserve">Reducción de tiempo: </w:t>
      </w:r>
      <w:r>
        <w:rPr>
          <w:rFonts w:ascii="Arial" w:cs="Arial" w:eastAsia="Arial" w:hAnsi="Arial"/>
          <w:color w:val="333333"/>
          <w:sz w:val="22"/>
          <w:szCs w:val="22"/>
        </w:rPr>
        <w:t xml:space="preserve">de días/horas a segundos en la obtención de respuestas para preguntas típicas de compra e inventario.</w:t>
      </w:r>
    </w:p>
    <w:p>
      <w:pPr>
        <w:pStyle w:val="ListParagraph"/>
        <w:numPr>
          <w:ilvl w:val="0"/>
          <w:numId w:val="2"/>
        </w:numPr>
        <w:spacing w:after="80" w:line="300"/>
      </w:pPr>
      <w:r>
        <w:rPr>
          <w:rFonts w:ascii="Arial" w:cs="Arial" w:eastAsia="Arial" w:hAnsi="Arial"/>
          <w:b/>
          <w:bCs/>
          <w:color w:val="333333"/>
          <w:sz w:val="22"/>
          <w:szCs w:val="22"/>
        </w:rPr>
        <w:t xml:space="preserve">Automatización de captura: </w:t>
      </w:r>
      <w:r>
        <w:rPr>
          <w:rFonts w:ascii="Arial" w:cs="Arial" w:eastAsia="Arial" w:hAnsi="Arial"/>
          <w:color w:val="333333"/>
          <w:sz w:val="22"/>
          <w:szCs w:val="22"/>
        </w:rPr>
        <w:t xml:space="preserve">porcentaje de documentos de proveedores procesados sin intervención manual (meta: &gt;60%).</w:t>
      </w:r>
    </w:p>
    <w:p>
      <w:pPr>
        <w:pStyle w:val="ListParagraph"/>
        <w:numPr>
          <w:ilvl w:val="0"/>
          <w:numId w:val="2"/>
        </w:numPr>
        <w:spacing w:after="80" w:line="300"/>
      </w:pPr>
      <w:r>
        <w:rPr>
          <w:rFonts w:ascii="Arial" w:cs="Arial" w:eastAsia="Arial" w:hAnsi="Arial"/>
          <w:b/>
          <w:bCs/>
          <w:color w:val="333333"/>
          <w:sz w:val="22"/>
          <w:szCs w:val="22"/>
        </w:rPr>
        <w:t xml:space="preserve">Satisfacción de usuarios: </w:t>
      </w:r>
      <w:r>
        <w:rPr>
          <w:rFonts w:ascii="Arial" w:cs="Arial" w:eastAsia="Arial" w:hAnsi="Arial"/>
          <w:color w:val="333333"/>
          <w:sz w:val="22"/>
          <w:szCs w:val="22"/>
        </w:rPr>
        <w:t xml:space="preserve">NPS del asistente medido al final del piloto (meta: &gt;30).</w:t>
      </w:r>
    </w:p>
    <w:p>
      <w:pPr>
        <w:pStyle w:val="ListParagraph"/>
        <w:numPr>
          <w:ilvl w:val="0"/>
          <w:numId w:val="2"/>
        </w:numPr>
        <w:spacing w:after="80" w:line="300"/>
      </w:pPr>
      <w:r>
        <w:rPr>
          <w:rFonts w:ascii="Arial" w:cs="Arial" w:eastAsia="Arial" w:hAnsi="Arial"/>
          <w:b/>
          <w:bCs/>
          <w:color w:val="333333"/>
          <w:sz w:val="22"/>
          <w:szCs w:val="22"/>
        </w:rPr>
        <w:t xml:space="preserve">Costo por consulta: </w:t>
      </w:r>
      <w:r>
        <w:rPr>
          <w:rFonts w:ascii="Arial" w:cs="Arial" w:eastAsia="Arial" w:hAnsi="Arial"/>
          <w:color w:val="333333"/>
          <w:sz w:val="22"/>
          <w:szCs w:val="22"/>
        </w:rPr>
        <w:t xml:space="preserve">monitoreado continuamente para asegurar sostenibilidad económica.</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3. Arquitectura Propuesta</w:t>
      </w:r>
    </w:p>
    <w:p>
      <w:pPr>
        <w:spacing w:after="120" w:before="0" w:line="300"/>
      </w:pPr>
      <w:r>
        <w:rPr>
          <w:rFonts w:ascii="Arial" w:cs="Arial" w:eastAsia="Arial" w:hAnsi="Arial"/>
          <w:color w:val="333333"/>
          <w:sz w:val="22"/>
          <w:szCs w:val="22"/>
        </w:rPr>
        <w:t xml:space="preserve">Se propone una arquitectura por capas, siguiendo las buenas prácticas de Microsoft para soluciones de IA generativa empresarial. La arquitectura combina el patrón RAG (Retrieval-Augmented Generation) con orquestación de agentes, sobre una capa de datos ligera diseñada específicamente para alimentar los modelos.</w:t>
      </w:r>
    </w:p>
    <w:p>
      <w:pPr>
        <w:pStyle w:val="Heading2"/>
        <w:spacing w:after="140" w:before="280"/>
      </w:pPr>
      <w:r>
        <w:rPr>
          <w:rFonts w:ascii="Arial" w:cs="Arial" w:eastAsia="Arial" w:hAnsi="Arial"/>
          <w:b/>
          <w:bCs/>
          <w:color w:val="107C10"/>
          <w:sz w:val="26"/>
          <w:szCs w:val="26"/>
        </w:rPr>
        <w:t xml:space="preserve">3.1 Vista por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Capa</w:t>
            </w:r>
          </w:p>
        </w:tc>
        <w:tc>
          <w:tcPr>
            <w:tcW w:type="dxa" w:w="34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Componentes principales</w:t>
            </w:r>
          </w:p>
        </w:tc>
        <w:tc>
          <w:tcPr>
            <w:tcW w:type="dxa" w:w="35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Propósito</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1. Fuentes de datos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ERP Intelisis (SQL Server), POS, sitio web, app móvil, documentos (PDF, Excel), reseñas y comentarios de clientes.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Origen de la información estructurada y no estructurada que alimenta la plataforma.</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2. Ingesta y preparación</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Azure Data Factory, Azure Functions, Azure AI Document Intelligence, Event Hubs para eventos en tiempo real.</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Extrae, transforma y prepara los datos para su vectorización y consumo por los modelos de IA.</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3. Almacenamiento</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Azure Data Lake Storage Gen2 (medallion ligero), Azure Blob Storage, Cosmos DB para historial conversacional.</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Persiste datos crudos, procesados y contexto conversacional para trazabilidad y aprendizaje.</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4. Vectorización y recuperación</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Azure AI Search (índices vectoriales + full-text + hybrid), text-embedding-3-large para embeddings.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Convierte contenido en vectores y provee búsqueda semántica de contexto relevante para cada consulta.</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5. Modelos y orquestación</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Azure OpenAI (GPT-4o, GPT-4o mini, embeddings), Azure AI Foundry, Semantic Kernel, Azure Functions/Container Apps, Content Safety.</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Corazón de la solución. Genera respuestas, orquesta llamadas a herramientas y aplica guardrails.</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6. Consumo</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Aplicación web (chat), bot en Microsoft Teams, integración con Power BI, API para aplicaciones custom.</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Interfaces por las que los usuarios interactúan con la plataforma.</w:t>
            </w:r>
          </w:p>
        </w:tc>
      </w:tr>
      <w:tr>
        <w:tc>
          <w:tcPr>
            <w:tcW w:type="dxa" w:w="24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Transversales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Entra ID, Key Vault, Application Insights, Log Analytics, Purview, Azure Policy, Cost Management.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Seguridad, monitoreo, gobierno y control de costos aplicados a toda la solución.</w:t>
            </w:r>
          </w:p>
        </w:tc>
      </w:tr>
    </w:tbl>
    <w:p>
      <w:pPr>
        <w:spacing w:after="200"/>
      </w:pPr>
      <w:r>
        <w:t xml:space="preserve"/>
      </w:r>
    </w:p>
    <w:p>
      <w:pPr>
        <w:pStyle w:val="Heading2"/>
        <w:spacing w:after="140" w:before="280"/>
      </w:pPr>
      <w:r>
        <w:rPr>
          <w:rFonts w:ascii="Arial" w:cs="Arial" w:eastAsia="Arial" w:hAnsi="Arial"/>
          <w:b/>
          <w:bCs/>
          <w:color w:val="107C10"/>
          <w:sz w:val="26"/>
          <w:szCs w:val="26"/>
        </w:rPr>
        <w:t xml:space="preserve">3.2 Flujo funcional (asistente conversacional)</w:t>
      </w:r>
    </w:p>
    <w:p>
      <w:pPr>
        <w:spacing w:after="120" w:before="0" w:line="300"/>
      </w:pPr>
      <w:r>
        <w:rPr>
          <w:rFonts w:ascii="Arial" w:cs="Arial" w:eastAsia="Arial" w:hAnsi="Arial"/>
          <w:color w:val="333333"/>
          <w:sz w:val="22"/>
          <w:szCs w:val="22"/>
        </w:rPr>
        <w:t xml:space="preserve">Cuando un usuario formula una pregunta al asistente, el flujo típico es el siguiente:</w:t>
      </w:r>
    </w:p>
    <w:p>
      <w:pPr>
        <w:pStyle w:val="ListParagraph"/>
        <w:numPr>
          <w:ilvl w:val="0"/>
          <w:numId w:val="3"/>
        </w:numPr>
        <w:spacing w:after="80" w:line="300"/>
      </w:pPr>
      <w:r>
        <w:rPr>
          <w:rFonts w:ascii="Arial" w:cs="Arial" w:eastAsia="Arial" w:hAnsi="Arial"/>
          <w:color w:val="333333"/>
          <w:sz w:val="22"/>
          <w:szCs w:val="22"/>
        </w:rPr>
        <w:t xml:space="preserve">El usuario ingresa la pregunta en la interfaz de chat (por ejemplo: "¿qué postres tienen mayor rotación en la Roma esta semana?").</w:t>
      </w:r>
    </w:p>
    <w:p>
      <w:pPr>
        <w:pStyle w:val="ListParagraph"/>
        <w:numPr>
          <w:ilvl w:val="0"/>
          <w:numId w:val="3"/>
        </w:numPr>
        <w:spacing w:after="80" w:line="300"/>
      </w:pPr>
      <w:r>
        <w:rPr>
          <w:rFonts w:ascii="Arial" w:cs="Arial" w:eastAsia="Arial" w:hAnsi="Arial"/>
          <w:color w:val="333333"/>
          <w:sz w:val="22"/>
          <w:szCs w:val="22"/>
        </w:rPr>
        <w:t xml:space="preserve">La orquestación clasifica la intención y decide qué fuentes consultar (índice vectorial, base estructurada, herramientas externas).</w:t>
      </w:r>
    </w:p>
    <w:p>
      <w:pPr>
        <w:pStyle w:val="ListParagraph"/>
        <w:numPr>
          <w:ilvl w:val="0"/>
          <w:numId w:val="3"/>
        </w:numPr>
        <w:spacing w:after="80" w:line="300"/>
      </w:pPr>
      <w:r>
        <w:rPr>
          <w:rFonts w:ascii="Arial" w:cs="Arial" w:eastAsia="Arial" w:hAnsi="Arial"/>
          <w:color w:val="333333"/>
          <w:sz w:val="22"/>
          <w:szCs w:val="22"/>
        </w:rPr>
        <w:t xml:space="preserve">Se generan embeddings de la pregunta y se recupera el contexto relevante desde Azure AI Search (chunks de documentos, definiciones de negocio, muestras de datos).</w:t>
      </w:r>
    </w:p>
    <w:p>
      <w:pPr>
        <w:pStyle w:val="ListParagraph"/>
        <w:numPr>
          <w:ilvl w:val="0"/>
          <w:numId w:val="3"/>
        </w:numPr>
        <w:spacing w:after="80" w:line="300"/>
      </w:pPr>
      <w:r>
        <w:rPr>
          <w:rFonts w:ascii="Arial" w:cs="Arial" w:eastAsia="Arial" w:hAnsi="Arial"/>
          <w:color w:val="333333"/>
          <w:sz w:val="22"/>
          <w:szCs w:val="22"/>
        </w:rPr>
        <w:t xml:space="preserve">Si la pregunta requiere datos estructurados, se ejecutan consultas parametrizadas al Data Lake o al SQL con permisos controlados y solo en modo lectura.</w:t>
      </w:r>
    </w:p>
    <w:p>
      <w:pPr>
        <w:pStyle w:val="ListParagraph"/>
        <w:numPr>
          <w:ilvl w:val="0"/>
          <w:numId w:val="3"/>
        </w:numPr>
        <w:spacing w:after="80" w:line="300"/>
      </w:pPr>
      <w:r>
        <w:rPr>
          <w:rFonts w:ascii="Arial" w:cs="Arial" w:eastAsia="Arial" w:hAnsi="Arial"/>
          <w:color w:val="333333"/>
          <w:sz w:val="22"/>
          <w:szCs w:val="22"/>
        </w:rPr>
        <w:t xml:space="preserve">El modelo GPT-4o recibe la pregunta, el contexto recuperado y las instrucciones del prompt de sistema; genera una respuesta narrativa fundamentada.</w:t>
      </w:r>
    </w:p>
    <w:p>
      <w:pPr>
        <w:pStyle w:val="ListParagraph"/>
        <w:numPr>
          <w:ilvl w:val="0"/>
          <w:numId w:val="3"/>
        </w:numPr>
        <w:spacing w:after="80" w:line="300"/>
      </w:pPr>
      <w:r>
        <w:rPr>
          <w:rFonts w:ascii="Arial" w:cs="Arial" w:eastAsia="Arial" w:hAnsi="Arial"/>
          <w:color w:val="333333"/>
          <w:sz w:val="22"/>
          <w:szCs w:val="22"/>
        </w:rPr>
        <w:t xml:space="preserve">Se aplican filtros de Content Safety, se valida que la respuesta esté sustentada por los datos y se muestra al usuario junto con sus fuentes.</w:t>
      </w:r>
    </w:p>
    <w:p>
      <w:pPr>
        <w:pStyle w:val="ListParagraph"/>
        <w:numPr>
          <w:ilvl w:val="0"/>
          <w:numId w:val="3"/>
        </w:numPr>
        <w:spacing w:after="80" w:line="300"/>
      </w:pPr>
      <w:r>
        <w:rPr>
          <w:rFonts w:ascii="Arial" w:cs="Arial" w:eastAsia="Arial" w:hAnsi="Arial"/>
          <w:color w:val="333333"/>
          <w:sz w:val="22"/>
          <w:szCs w:val="22"/>
        </w:rPr>
        <w:t xml:space="preserve">El usuario puede hacer preguntas de seguimiento aprovechando el contexto de la conversación.</w:t>
      </w:r>
    </w:p>
    <w:p>
      <w:pPr>
        <w:pStyle w:val="ListParagraph"/>
        <w:numPr>
          <w:ilvl w:val="0"/>
          <w:numId w:val="3"/>
        </w:numPr>
        <w:spacing w:after="80" w:line="300"/>
      </w:pPr>
      <w:r>
        <w:rPr>
          <w:rFonts w:ascii="Arial" w:cs="Arial" w:eastAsia="Arial" w:hAnsi="Arial"/>
          <w:color w:val="333333"/>
          <w:sz w:val="22"/>
          <w:szCs w:val="22"/>
        </w:rPr>
        <w:t xml:space="preserve">Toda la interacción se registra para auditoría, análisis de calidad y optimización continua.</w:t>
      </w:r>
    </w:p>
    <w:p>
      <w:pPr>
        <w:pStyle w:val="Heading2"/>
        <w:spacing w:after="140" w:before="280"/>
      </w:pPr>
      <w:r>
        <w:rPr>
          <w:rFonts w:ascii="Arial" w:cs="Arial" w:eastAsia="Arial" w:hAnsi="Arial"/>
          <w:b/>
          <w:bCs/>
          <w:color w:val="107C10"/>
          <w:sz w:val="26"/>
          <w:szCs w:val="26"/>
        </w:rPr>
        <w:t xml:space="preserve">3.3 Modelos de IA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Modelo</w:t>
            </w:r>
          </w:p>
        </w:tc>
        <w:tc>
          <w:tcPr>
            <w:tcW w:type="dxa" w:w="18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Uso</w:t>
            </w:r>
          </w:p>
        </w:tc>
        <w:tc>
          <w:tcPr>
            <w:tcW w:type="dxa" w:w="22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Costo aprox. (por 1M tokens)</w:t>
            </w:r>
          </w:p>
        </w:tc>
        <w:tc>
          <w:tcPr>
            <w:tcW w:type="dxa" w:w="31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Rol en la solución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GPT-4o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Razonamiento avanzado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$2.50 entrada / $10.00 salida</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Motor principal del asistente conversacional. Respuestas complejas, síntesis y recomendaciones.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GPT-4o mini</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Clasificación, extracción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$0.15 entrada / $0.60 salida</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Tareas simples: intent detection, extracción de campos, clasificación. Reduce costo total ~16x.</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text-embedding-3-large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Vectorización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$0.13 por 1M tokens</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Convierte texto a vectores para búsqueda semántica en AI Search.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text-embedding-3-small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Vectorización ligera</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$0.02 por 1M tokens</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Alternativa económica para volúmenes altos donde el gran modelo aporta poco.</w:t>
            </w:r>
          </w:p>
        </w:tc>
      </w:tr>
    </w:tbl>
    <w:p>
      <w:pPr>
        <w:spacing w:after="200"/>
      </w:pPr>
      <w:r>
        <w:t xml:space="preserve"/>
      </w:r>
    </w:p>
    <w:p>
      <w:pPr>
        <w:spacing w:after="120" w:before="0" w:line="300"/>
      </w:pPr>
      <w:r>
        <w:rPr>
          <w:rFonts w:ascii="Arial" w:cs="Arial" w:eastAsia="Arial" w:hAnsi="Arial"/>
          <w:i/>
          <w:iCs/>
          <w:color w:val="333333"/>
          <w:sz w:val="22"/>
          <w:szCs w:val="22"/>
        </w:rPr>
        <w:t xml:space="preserve">Se aplica una estrategia de "routing": preguntas simples y clasificaciones van a GPT-4o mini; síntesis, razonamiento y respuestas al usuario final van a GPT-4o. Este patrón reduce el costo total del sistema entre 40% y 70% versus enviar todo a GPT-4o.</w:t>
      </w:r>
    </w:p>
    <w:p>
      <w:pPr>
        <w:pStyle w:val="Heading2"/>
        <w:spacing w:after="140" w:before="280"/>
      </w:pPr>
      <w:r>
        <w:rPr>
          <w:rFonts w:ascii="Arial" w:cs="Arial" w:eastAsia="Arial" w:hAnsi="Arial"/>
          <w:b/>
          <w:bCs/>
          <w:color w:val="107C10"/>
          <w:sz w:val="26"/>
          <w:szCs w:val="26"/>
        </w:rPr>
        <w:t xml:space="preserve">3.4 Estrategia de despliegue</w:t>
      </w:r>
    </w:p>
    <w:p>
      <w:pPr>
        <w:spacing w:after="120" w:before="0" w:line="300"/>
      </w:pPr>
      <w:r>
        <w:rPr>
          <w:rFonts w:ascii="Arial" w:cs="Arial" w:eastAsia="Arial" w:hAnsi="Arial"/>
          <w:color w:val="333333"/>
          <w:sz w:val="22"/>
          <w:szCs w:val="22"/>
        </w:rPr>
        <w:t xml:space="preserve">Los modelos se despliegan en modalidad Pay-As-You-Go (por token) durante el piloto y las primeras semanas de producción, para observar patrones reales de uso. Cuando el volumen mensual supere aproximadamente 150-200 millones de tokens en GPT-4o de forma sostenida, se evalúa migrar a PTU (Provisioned Throughput Units) que ofrecen capacidad reservada con ahorros de hasta 30-40% en cargas estables.</w:t>
      </w:r>
    </w:p>
    <w:p>
      <w:pPr>
        <w:pStyle w:val="ListParagraph"/>
        <w:numPr>
          <w:ilvl w:val="0"/>
          <w:numId w:val="2"/>
        </w:numPr>
        <w:spacing w:after="80" w:line="300"/>
      </w:pPr>
      <w:r>
        <w:rPr>
          <w:rFonts w:ascii="Arial" w:cs="Arial" w:eastAsia="Arial" w:hAnsi="Arial"/>
          <w:b/>
          <w:bCs/>
          <w:color w:val="333333"/>
          <w:sz w:val="22"/>
          <w:szCs w:val="22"/>
        </w:rPr>
        <w:t xml:space="preserve">Piloto: </w:t>
      </w:r>
      <w:r>
        <w:rPr>
          <w:rFonts w:ascii="Arial" w:cs="Arial" w:eastAsia="Arial" w:hAnsi="Arial"/>
          <w:color w:val="333333"/>
          <w:sz w:val="22"/>
          <w:szCs w:val="22"/>
        </w:rPr>
        <w:t xml:space="preserve">Global Standard PAYG (menor costo, sin restricción de residencia).</w:t>
      </w:r>
    </w:p>
    <w:p>
      <w:pPr>
        <w:pStyle w:val="ListParagraph"/>
        <w:numPr>
          <w:ilvl w:val="0"/>
          <w:numId w:val="2"/>
        </w:numPr>
        <w:spacing w:after="80" w:line="300"/>
      </w:pPr>
      <w:r>
        <w:rPr>
          <w:rFonts w:ascii="Arial" w:cs="Arial" w:eastAsia="Arial" w:hAnsi="Arial"/>
          <w:b/>
          <w:bCs/>
          <w:color w:val="333333"/>
          <w:sz w:val="22"/>
          <w:szCs w:val="22"/>
        </w:rPr>
        <w:t xml:space="preserve">Producción con residencia: </w:t>
      </w:r>
      <w:r>
        <w:rPr>
          <w:rFonts w:ascii="Arial" w:cs="Arial" w:eastAsia="Arial" w:hAnsi="Arial"/>
          <w:color w:val="333333"/>
          <w:sz w:val="22"/>
          <w:szCs w:val="22"/>
        </w:rPr>
        <w:t xml:space="preserve">Data Zone (US, EU) para cumplir requisitos regulatorios cuando aplique.</w:t>
      </w:r>
    </w:p>
    <w:p>
      <w:pPr>
        <w:pStyle w:val="ListParagraph"/>
        <w:numPr>
          <w:ilvl w:val="0"/>
          <w:numId w:val="2"/>
        </w:numPr>
        <w:spacing w:after="80" w:line="300"/>
      </w:pPr>
      <w:r>
        <w:rPr>
          <w:rFonts w:ascii="Arial" w:cs="Arial" w:eastAsia="Arial" w:hAnsi="Arial"/>
          <w:b/>
          <w:bCs/>
          <w:color w:val="333333"/>
          <w:sz w:val="22"/>
          <w:szCs w:val="22"/>
        </w:rPr>
        <w:t xml:space="preserve">Escala sostenida: </w:t>
      </w:r>
      <w:r>
        <w:rPr>
          <w:rFonts w:ascii="Arial" w:cs="Arial" w:eastAsia="Arial" w:hAnsi="Arial"/>
          <w:color w:val="333333"/>
          <w:sz w:val="22"/>
          <w:szCs w:val="22"/>
        </w:rPr>
        <w:t xml:space="preserve">PTU reservado con capacidad garantizada y latencia predecible.</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4. Alcance</w:t>
      </w:r>
    </w:p>
    <w:p>
      <w:pPr>
        <w:pStyle w:val="Heading2"/>
        <w:spacing w:after="140" w:before="280"/>
      </w:pPr>
      <w:r>
        <w:rPr>
          <w:rFonts w:ascii="Arial" w:cs="Arial" w:eastAsia="Arial" w:hAnsi="Arial"/>
          <w:b/>
          <w:bCs/>
          <w:color w:val="107C10"/>
          <w:sz w:val="26"/>
          <w:szCs w:val="26"/>
        </w:rPr>
        <w:t xml:space="preserve">4.1 Casos de uso incluidos en el piloto</w:t>
      </w:r>
    </w:p>
    <w:p>
      <w:pPr>
        <w:spacing w:after="120" w:before="0" w:line="300"/>
      </w:pPr>
      <w:r>
        <w:rPr>
          <w:rFonts w:ascii="Arial" w:cs="Arial" w:eastAsia="Arial" w:hAnsi="Arial"/>
          <w:color w:val="333333"/>
          <w:sz w:val="22"/>
          <w:szCs w:val="22"/>
        </w:rPr>
        <w:t xml:space="preserve">El piloto se centra en un caso de uso principal más un caso complementario, para maximizar el aprendizaje sin diluir el foco.</w:t>
      </w:r>
    </w:p>
    <w:p>
      <w:pPr>
        <w:pStyle w:val="Heading3"/>
        <w:spacing w:after="120" w:before="220"/>
      </w:pPr>
      <w:r>
        <w:rPr>
          <w:rFonts w:ascii="Arial" w:cs="Arial" w:eastAsia="Arial" w:hAnsi="Arial"/>
          <w:b/>
          <w:bCs/>
          <w:color w:val="1F2937"/>
          <w:sz w:val="24"/>
          <w:szCs w:val="24"/>
        </w:rPr>
        <w:t xml:space="preserve">Caso de uso 1 (principal): Asistente conversacional de compras</w:t>
      </w:r>
    </w:p>
    <w:p>
      <w:pPr>
        <w:pStyle w:val="ListParagraph"/>
        <w:numPr>
          <w:ilvl w:val="0"/>
          <w:numId w:val="2"/>
        </w:numPr>
        <w:spacing w:after="80" w:line="300"/>
      </w:pPr>
      <w:r>
        <w:rPr>
          <w:rFonts w:ascii="Arial" w:cs="Arial" w:eastAsia="Arial" w:hAnsi="Arial"/>
          <w:color w:val="333333"/>
          <w:sz w:val="22"/>
          <w:szCs w:val="22"/>
        </w:rPr>
        <w:t xml:space="preserve">Interfaz de chat accesible desde web y desde Microsoft Teams.</w:t>
      </w:r>
    </w:p>
    <w:p>
      <w:pPr>
        <w:pStyle w:val="ListParagraph"/>
        <w:numPr>
          <w:ilvl w:val="0"/>
          <w:numId w:val="2"/>
        </w:numPr>
        <w:spacing w:after="80" w:line="300"/>
      </w:pPr>
      <w:r>
        <w:rPr>
          <w:rFonts w:ascii="Arial" w:cs="Arial" w:eastAsia="Arial" w:hAnsi="Arial"/>
          <w:color w:val="333333"/>
          <w:sz w:val="22"/>
          <w:szCs w:val="22"/>
        </w:rPr>
        <w:t xml:space="preserve">Responde preguntas sobre inventarios, ventas y rotación de productos en las tres líneas de negocio.</w:t>
      </w:r>
    </w:p>
    <w:p>
      <w:pPr>
        <w:pStyle w:val="ListParagraph"/>
        <w:numPr>
          <w:ilvl w:val="0"/>
          <w:numId w:val="2"/>
        </w:numPr>
        <w:spacing w:after="80" w:line="300"/>
      </w:pPr>
      <w:r>
        <w:rPr>
          <w:rFonts w:ascii="Arial" w:cs="Arial" w:eastAsia="Arial" w:hAnsi="Arial"/>
          <w:color w:val="333333"/>
          <w:sz w:val="22"/>
          <w:szCs w:val="22"/>
        </w:rPr>
        <w:t xml:space="preserve">Genera recomendaciones de compra por proveedor, producto y tienda.</w:t>
      </w:r>
    </w:p>
    <w:p>
      <w:pPr>
        <w:pStyle w:val="ListParagraph"/>
        <w:numPr>
          <w:ilvl w:val="0"/>
          <w:numId w:val="2"/>
        </w:numPr>
        <w:spacing w:after="80" w:line="300"/>
      </w:pPr>
      <w:r>
        <w:rPr>
          <w:rFonts w:ascii="Arial" w:cs="Arial" w:eastAsia="Arial" w:hAnsi="Arial"/>
          <w:color w:val="333333"/>
          <w:sz w:val="22"/>
          <w:szCs w:val="22"/>
        </w:rPr>
        <w:t xml:space="preserve">Permite profundizar mediante preguntas de seguimiento.</w:t>
      </w:r>
    </w:p>
    <w:p>
      <w:pPr>
        <w:pStyle w:val="ListParagraph"/>
        <w:numPr>
          <w:ilvl w:val="0"/>
          <w:numId w:val="2"/>
        </w:numPr>
        <w:spacing w:after="80" w:line="300"/>
      </w:pPr>
      <w:r>
        <w:rPr>
          <w:rFonts w:ascii="Arial" w:cs="Arial" w:eastAsia="Arial" w:hAnsi="Arial"/>
          <w:color w:val="333333"/>
          <w:sz w:val="22"/>
          <w:szCs w:val="22"/>
        </w:rPr>
        <w:t xml:space="preserve">Muestra las fuentes de datos que sustentan cada respuesta.</w:t>
      </w:r>
    </w:p>
    <w:p>
      <w:pPr>
        <w:pStyle w:val="Heading3"/>
        <w:spacing w:after="120" w:before="220"/>
      </w:pPr>
      <w:r>
        <w:rPr>
          <w:rFonts w:ascii="Arial" w:cs="Arial" w:eastAsia="Arial" w:hAnsi="Arial"/>
          <w:b/>
          <w:bCs/>
          <w:color w:val="1F2937"/>
          <w:sz w:val="24"/>
          <w:szCs w:val="24"/>
        </w:rPr>
        <w:t xml:space="preserve">Caso de uso 2 (complementario): Procesador de catálogos de proveedores</w:t>
      </w:r>
    </w:p>
    <w:p>
      <w:pPr>
        <w:pStyle w:val="ListParagraph"/>
        <w:numPr>
          <w:ilvl w:val="0"/>
          <w:numId w:val="2"/>
        </w:numPr>
        <w:spacing w:after="80" w:line="300"/>
      </w:pPr>
      <w:r>
        <w:rPr>
          <w:rFonts w:ascii="Arial" w:cs="Arial" w:eastAsia="Arial" w:hAnsi="Arial"/>
          <w:color w:val="333333"/>
          <w:sz w:val="22"/>
          <w:szCs w:val="22"/>
        </w:rPr>
        <w:t xml:space="preserve">Recibe catálogos y listas de precios de proveedores en PDF y Excel.</w:t>
      </w:r>
    </w:p>
    <w:p>
      <w:pPr>
        <w:pStyle w:val="ListParagraph"/>
        <w:numPr>
          <w:ilvl w:val="0"/>
          <w:numId w:val="2"/>
        </w:numPr>
        <w:spacing w:after="80" w:line="300"/>
      </w:pPr>
      <w:r>
        <w:rPr>
          <w:rFonts w:ascii="Arial" w:cs="Arial" w:eastAsia="Arial" w:hAnsi="Arial"/>
          <w:color w:val="333333"/>
          <w:sz w:val="22"/>
          <w:szCs w:val="22"/>
        </w:rPr>
        <w:t xml:space="preserve">Extrae productos, presentaciones, precios y condiciones comerciales.</w:t>
      </w:r>
    </w:p>
    <w:p>
      <w:pPr>
        <w:pStyle w:val="ListParagraph"/>
        <w:numPr>
          <w:ilvl w:val="0"/>
          <w:numId w:val="2"/>
        </w:numPr>
        <w:spacing w:after="80" w:line="300"/>
      </w:pPr>
      <w:r>
        <w:rPr>
          <w:rFonts w:ascii="Arial" w:cs="Arial" w:eastAsia="Arial" w:hAnsi="Arial"/>
          <w:color w:val="333333"/>
          <w:sz w:val="22"/>
          <w:szCs w:val="22"/>
        </w:rPr>
        <w:t xml:space="preserve">Los alinea al catálogo interno y detecta diferencias frente a la versión anterior.</w:t>
      </w:r>
    </w:p>
    <w:p>
      <w:pPr>
        <w:pStyle w:val="ListParagraph"/>
        <w:numPr>
          <w:ilvl w:val="0"/>
          <w:numId w:val="2"/>
        </w:numPr>
        <w:spacing w:after="80" w:line="300"/>
      </w:pPr>
      <w:r>
        <w:rPr>
          <w:rFonts w:ascii="Arial" w:cs="Arial" w:eastAsia="Arial" w:hAnsi="Arial"/>
          <w:color w:val="333333"/>
          <w:sz w:val="22"/>
          <w:szCs w:val="22"/>
        </w:rPr>
        <w:t xml:space="preserve">Presenta los cambios para validación humana antes de actualizar el ERP.</w:t>
      </w:r>
    </w:p>
    <w:p>
      <w:pPr>
        <w:pStyle w:val="Heading2"/>
        <w:spacing w:after="140" w:before="280"/>
      </w:pPr>
      <w:r>
        <w:rPr>
          <w:rFonts w:ascii="Arial" w:cs="Arial" w:eastAsia="Arial" w:hAnsi="Arial"/>
          <w:b/>
          <w:bCs/>
          <w:color w:val="107C10"/>
          <w:sz w:val="26"/>
          <w:szCs w:val="26"/>
        </w:rPr>
        <w:t xml:space="preserve">4.2 Alcance técnico</w:t>
      </w:r>
    </w:p>
    <w:p>
      <w:pPr>
        <w:pStyle w:val="ListParagraph"/>
        <w:numPr>
          <w:ilvl w:val="0"/>
          <w:numId w:val="2"/>
        </w:numPr>
        <w:spacing w:after="80" w:line="300"/>
      </w:pPr>
      <w:r>
        <w:rPr>
          <w:rFonts w:ascii="Arial" w:cs="Arial" w:eastAsia="Arial" w:hAnsi="Arial"/>
          <w:color w:val="333333"/>
          <w:sz w:val="22"/>
          <w:szCs w:val="22"/>
        </w:rPr>
        <w:t xml:space="preserve">Diseño detallado de la arquitectura de la solución sobre Azure OpenAI y servicios asociados.</w:t>
      </w:r>
    </w:p>
    <w:p>
      <w:pPr>
        <w:pStyle w:val="ListParagraph"/>
        <w:numPr>
          <w:ilvl w:val="0"/>
          <w:numId w:val="2"/>
        </w:numPr>
        <w:spacing w:after="80" w:line="300"/>
      </w:pPr>
      <w:r>
        <w:rPr>
          <w:rFonts w:ascii="Arial" w:cs="Arial" w:eastAsia="Arial" w:hAnsi="Arial"/>
          <w:color w:val="333333"/>
          <w:sz w:val="22"/>
          <w:szCs w:val="22"/>
        </w:rPr>
        <w:t xml:space="preserve">Habilitación de la suscripción de Azure y solicitud/aprobación de cuota para Azure OpenAI.</w:t>
      </w:r>
    </w:p>
    <w:p>
      <w:pPr>
        <w:pStyle w:val="ListParagraph"/>
        <w:numPr>
          <w:ilvl w:val="0"/>
          <w:numId w:val="2"/>
        </w:numPr>
        <w:spacing w:after="80" w:line="300"/>
      </w:pPr>
      <w:r>
        <w:rPr>
          <w:rFonts w:ascii="Arial" w:cs="Arial" w:eastAsia="Arial" w:hAnsi="Arial"/>
          <w:color w:val="333333"/>
          <w:sz w:val="22"/>
          <w:szCs w:val="22"/>
        </w:rPr>
        <w:t xml:space="preserve">Configuración de VNet, subredes, Private Endpoints y NSG para el ambiente del piloto.</w:t>
      </w:r>
    </w:p>
    <w:p>
      <w:pPr>
        <w:pStyle w:val="ListParagraph"/>
        <w:numPr>
          <w:ilvl w:val="0"/>
          <w:numId w:val="2"/>
        </w:numPr>
        <w:spacing w:after="80" w:line="300"/>
      </w:pPr>
      <w:r>
        <w:rPr>
          <w:rFonts w:ascii="Arial" w:cs="Arial" w:eastAsia="Arial" w:hAnsi="Arial"/>
          <w:color w:val="333333"/>
          <w:sz w:val="22"/>
          <w:szCs w:val="22"/>
        </w:rPr>
        <w:t xml:space="preserve">Instalación y configuración de Self-hosted Integration Runtime para la extracción del SQL Server on-premise.</w:t>
      </w:r>
    </w:p>
    <w:p>
      <w:pPr>
        <w:pStyle w:val="ListParagraph"/>
        <w:numPr>
          <w:ilvl w:val="0"/>
          <w:numId w:val="2"/>
        </w:numPr>
        <w:spacing w:after="80" w:line="300"/>
      </w:pPr>
      <w:r>
        <w:rPr>
          <w:rFonts w:ascii="Arial" w:cs="Arial" w:eastAsia="Arial" w:hAnsi="Arial"/>
          <w:color w:val="333333"/>
          <w:sz w:val="22"/>
          <w:szCs w:val="22"/>
        </w:rPr>
        <w:t xml:space="preserve">Ingesta de las tablas relevantes del ERP a Azure Data Lake Storage Gen2 (ventas, inventarios, productos, proveedores, tiendas).</w:t>
      </w:r>
    </w:p>
    <w:p>
      <w:pPr>
        <w:pStyle w:val="ListParagraph"/>
        <w:numPr>
          <w:ilvl w:val="0"/>
          <w:numId w:val="2"/>
        </w:numPr>
        <w:spacing w:after="80" w:line="300"/>
      </w:pPr>
      <w:r>
        <w:rPr>
          <w:rFonts w:ascii="Arial" w:cs="Arial" w:eastAsia="Arial" w:hAnsi="Arial"/>
          <w:color w:val="333333"/>
          <w:sz w:val="22"/>
          <w:szCs w:val="22"/>
        </w:rPr>
        <w:t xml:space="preserve">Procesamiento de los documentos de proveedores de muestra con Azure AI Document Intelligence.</w:t>
      </w:r>
    </w:p>
    <w:p>
      <w:pPr>
        <w:pStyle w:val="ListParagraph"/>
        <w:numPr>
          <w:ilvl w:val="0"/>
          <w:numId w:val="2"/>
        </w:numPr>
        <w:spacing w:after="80" w:line="300"/>
      </w:pPr>
      <w:r>
        <w:rPr>
          <w:rFonts w:ascii="Arial" w:cs="Arial" w:eastAsia="Arial" w:hAnsi="Arial"/>
          <w:color w:val="333333"/>
          <w:sz w:val="22"/>
          <w:szCs w:val="22"/>
        </w:rPr>
        <w:t xml:space="preserve">Diseño e implementación del índice de conocimiento en Azure AI Search con estrategia híbrida (vectorial + full-text).</w:t>
      </w:r>
    </w:p>
    <w:p>
      <w:pPr>
        <w:pStyle w:val="ListParagraph"/>
        <w:numPr>
          <w:ilvl w:val="0"/>
          <w:numId w:val="2"/>
        </w:numPr>
        <w:spacing w:after="80" w:line="300"/>
      </w:pPr>
      <w:r>
        <w:rPr>
          <w:rFonts w:ascii="Arial" w:cs="Arial" w:eastAsia="Arial" w:hAnsi="Arial"/>
          <w:color w:val="333333"/>
          <w:sz w:val="22"/>
          <w:szCs w:val="22"/>
        </w:rPr>
        <w:t xml:space="preserve">Despliegue de los modelos de Azure OpenAI (GPT-4o, GPT-4o mini, text-embedding-3-large).</w:t>
      </w:r>
    </w:p>
    <w:p>
      <w:pPr>
        <w:pStyle w:val="ListParagraph"/>
        <w:numPr>
          <w:ilvl w:val="0"/>
          <w:numId w:val="2"/>
        </w:numPr>
        <w:spacing w:after="80" w:line="300"/>
      </w:pPr>
      <w:r>
        <w:rPr>
          <w:rFonts w:ascii="Arial" w:cs="Arial" w:eastAsia="Arial" w:hAnsi="Arial"/>
          <w:color w:val="333333"/>
          <w:sz w:val="22"/>
          <w:szCs w:val="22"/>
        </w:rPr>
        <w:t xml:space="preserve">Desarrollo de la aplicación web de chat y del bot en Microsoft Teams.</w:t>
      </w:r>
    </w:p>
    <w:p>
      <w:pPr>
        <w:pStyle w:val="ListParagraph"/>
        <w:numPr>
          <w:ilvl w:val="0"/>
          <w:numId w:val="2"/>
        </w:numPr>
        <w:spacing w:after="80" w:line="300"/>
      </w:pPr>
      <w:r>
        <w:rPr>
          <w:rFonts w:ascii="Arial" w:cs="Arial" w:eastAsia="Arial" w:hAnsi="Arial"/>
          <w:color w:val="333333"/>
          <w:sz w:val="22"/>
          <w:szCs w:val="22"/>
        </w:rPr>
        <w:t xml:space="preserve">Implementación de la orquestación con Azure Functions o Container Apps y Semantic Kernel.</w:t>
      </w:r>
    </w:p>
    <w:p>
      <w:pPr>
        <w:pStyle w:val="ListParagraph"/>
        <w:numPr>
          <w:ilvl w:val="0"/>
          <w:numId w:val="2"/>
        </w:numPr>
        <w:spacing w:after="80" w:line="300"/>
      </w:pPr>
      <w:r>
        <w:rPr>
          <w:rFonts w:ascii="Arial" w:cs="Arial" w:eastAsia="Arial" w:hAnsi="Arial"/>
          <w:color w:val="333333"/>
          <w:sz w:val="22"/>
          <w:szCs w:val="22"/>
        </w:rPr>
        <w:t xml:space="preserve">Definición de prompts de sistema, guardrails y filtros de Content Safety.</w:t>
      </w:r>
    </w:p>
    <w:p>
      <w:pPr>
        <w:pStyle w:val="ListParagraph"/>
        <w:numPr>
          <w:ilvl w:val="0"/>
          <w:numId w:val="2"/>
        </w:numPr>
        <w:spacing w:after="80" w:line="300"/>
      </w:pPr>
      <w:r>
        <w:rPr>
          <w:rFonts w:ascii="Arial" w:cs="Arial" w:eastAsia="Arial" w:hAnsi="Arial"/>
          <w:color w:val="333333"/>
          <w:sz w:val="22"/>
          <w:szCs w:val="22"/>
        </w:rPr>
        <w:t xml:space="preserve">Configuración de observabilidad completa: métricas de tokens, latencia, precisión, satisfacción.</w:t>
      </w:r>
    </w:p>
    <w:p>
      <w:pPr>
        <w:pStyle w:val="ListParagraph"/>
        <w:numPr>
          <w:ilvl w:val="0"/>
          <w:numId w:val="2"/>
        </w:numPr>
        <w:spacing w:after="80" w:line="300"/>
      </w:pPr>
      <w:r>
        <w:rPr>
          <w:rFonts w:ascii="Arial" w:cs="Arial" w:eastAsia="Arial" w:hAnsi="Arial"/>
          <w:color w:val="333333"/>
          <w:sz w:val="22"/>
          <w:szCs w:val="22"/>
        </w:rPr>
        <w:t xml:space="preserve">Documentación técnica, playbook operativo y transferencia de conocimiento al equipo del cliente.</w:t>
      </w:r>
    </w:p>
    <w:p>
      <w:pPr>
        <w:pStyle w:val="ListParagraph"/>
        <w:numPr>
          <w:ilvl w:val="0"/>
          <w:numId w:val="2"/>
        </w:numPr>
        <w:spacing w:after="80" w:line="300"/>
      </w:pPr>
      <w:r>
        <w:rPr>
          <w:rFonts w:ascii="Arial" w:cs="Arial" w:eastAsia="Arial" w:hAnsi="Arial"/>
          <w:color w:val="333333"/>
          <w:sz w:val="22"/>
          <w:szCs w:val="22"/>
        </w:rPr>
        <w:t xml:space="preserve">Capacitación para usuarios finales, administradores técnicos y responsables de contenido.</w:t>
      </w:r>
    </w:p>
    <w:p>
      <w:pPr>
        <w:pStyle w:val="Heading2"/>
        <w:spacing w:after="140" w:before="280"/>
      </w:pPr>
      <w:r>
        <w:rPr>
          <w:rFonts w:ascii="Arial" w:cs="Arial" w:eastAsia="Arial" w:hAnsi="Arial"/>
          <w:b/>
          <w:bCs/>
          <w:color w:val="107C10"/>
          <w:sz w:val="26"/>
          <w:szCs w:val="26"/>
        </w:rPr>
        <w:t xml:space="preserve">4.3 Casos de uso adicionales para fases posteriores</w:t>
      </w:r>
    </w:p>
    <w:p>
      <w:pPr>
        <w:spacing w:after="120" w:before="0" w:line="300"/>
      </w:pPr>
      <w:r>
        <w:rPr>
          <w:rFonts w:ascii="Arial" w:cs="Arial" w:eastAsia="Arial" w:hAnsi="Arial"/>
          <w:color w:val="333333"/>
          <w:sz w:val="22"/>
          <w:szCs w:val="22"/>
        </w:rPr>
        <w:t xml:space="preserve">Los siguientes casos de uso quedan preparados para incorporarse posteriormente aprovechando la fundación construida:</w:t>
      </w:r>
    </w:p>
    <w:p>
      <w:pPr>
        <w:pStyle w:val="ListParagraph"/>
        <w:numPr>
          <w:ilvl w:val="0"/>
          <w:numId w:val="2"/>
        </w:numPr>
        <w:spacing w:after="80" w:line="300"/>
      </w:pPr>
      <w:r>
        <w:rPr>
          <w:rFonts w:ascii="Arial" w:cs="Arial" w:eastAsia="Arial" w:hAnsi="Arial"/>
          <w:color w:val="333333"/>
          <w:sz w:val="22"/>
          <w:szCs w:val="22"/>
        </w:rPr>
        <w:t xml:space="preserve">Analista de tendencias con reportes narrativos periódicos automatizados.</w:t>
      </w:r>
    </w:p>
    <w:p>
      <w:pPr>
        <w:pStyle w:val="ListParagraph"/>
        <w:numPr>
          <w:ilvl w:val="0"/>
          <w:numId w:val="2"/>
        </w:numPr>
        <w:spacing w:after="80" w:line="300"/>
      </w:pPr>
      <w:r>
        <w:rPr>
          <w:rFonts w:ascii="Arial" w:cs="Arial" w:eastAsia="Arial" w:hAnsi="Arial"/>
          <w:color w:val="333333"/>
          <w:sz w:val="22"/>
          <w:szCs w:val="22"/>
        </w:rPr>
        <w:t xml:space="preserve">Bot de atención al cliente en el sitio web y en la app móvil.</w:t>
      </w:r>
    </w:p>
    <w:p>
      <w:pPr>
        <w:pStyle w:val="ListParagraph"/>
        <w:numPr>
          <w:ilvl w:val="0"/>
          <w:numId w:val="2"/>
        </w:numPr>
        <w:spacing w:after="80" w:line="300"/>
      </w:pPr>
      <w:r>
        <w:rPr>
          <w:rFonts w:ascii="Arial" w:cs="Arial" w:eastAsia="Arial" w:hAnsi="Arial"/>
          <w:color w:val="333333"/>
          <w:sz w:val="22"/>
          <w:szCs w:val="22"/>
        </w:rPr>
        <w:t xml:space="preserve">Extracción y análisis de sentimiento sobre reseñas de productos.</w:t>
      </w:r>
    </w:p>
    <w:p>
      <w:pPr>
        <w:pStyle w:val="ListParagraph"/>
        <w:numPr>
          <w:ilvl w:val="0"/>
          <w:numId w:val="2"/>
        </w:numPr>
        <w:spacing w:after="80" w:line="300"/>
      </w:pPr>
      <w:r>
        <w:rPr>
          <w:rFonts w:ascii="Arial" w:cs="Arial" w:eastAsia="Arial" w:hAnsi="Arial"/>
          <w:color w:val="333333"/>
          <w:sz w:val="22"/>
          <w:szCs w:val="22"/>
        </w:rPr>
        <w:t xml:space="preserve">Generador de resúmenes ejecutivos para dirección con periodicidad configurable.</w:t>
      </w:r>
    </w:p>
    <w:p>
      <w:pPr>
        <w:pStyle w:val="ListParagraph"/>
        <w:numPr>
          <w:ilvl w:val="0"/>
          <w:numId w:val="2"/>
        </w:numPr>
        <w:spacing w:after="80" w:line="300"/>
      </w:pPr>
      <w:r>
        <w:rPr>
          <w:rFonts w:ascii="Arial" w:cs="Arial" w:eastAsia="Arial" w:hAnsi="Arial"/>
          <w:color w:val="333333"/>
          <w:sz w:val="22"/>
          <w:szCs w:val="22"/>
        </w:rPr>
        <w:t xml:space="preserve">Asistente para gerentes de tienda con datos localizados.</w:t>
      </w:r>
    </w:p>
    <w:p>
      <w:pPr>
        <w:pStyle w:val="ListParagraph"/>
        <w:numPr>
          <w:ilvl w:val="0"/>
          <w:numId w:val="2"/>
        </w:numPr>
        <w:spacing w:after="80" w:line="300"/>
      </w:pPr>
      <w:r>
        <w:rPr>
          <w:rFonts w:ascii="Arial" w:cs="Arial" w:eastAsia="Arial" w:hAnsi="Arial"/>
          <w:color w:val="333333"/>
          <w:sz w:val="22"/>
          <w:szCs w:val="22"/>
        </w:rPr>
        <w:t xml:space="preserve">Detección de anomalías en ventas y patrones de fraude.</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5. Fuera de Alcance</w:t>
      </w:r>
    </w:p>
    <w:p>
      <w:pPr>
        <w:spacing w:after="120" w:before="0" w:line="300"/>
      </w:pPr>
      <w:r>
        <w:rPr>
          <w:rFonts w:ascii="Arial" w:cs="Arial" w:eastAsia="Arial" w:hAnsi="Arial"/>
          <w:color w:val="333333"/>
          <w:sz w:val="22"/>
          <w:szCs w:val="22"/>
        </w:rPr>
        <w:t xml:space="preserve">Para preservar el foco y controlar el esfuerzo del piloto, los siguientes elementos no están incluidos en la propuesta actual y se abordarán, de ser necesario, en fases posteriores mediante acuerdos específicos.</w:t>
      </w:r>
    </w:p>
    <w:p>
      <w:pPr>
        <w:pStyle w:val="ListParagraph"/>
        <w:numPr>
          <w:ilvl w:val="0"/>
          <w:numId w:val="2"/>
        </w:numPr>
        <w:spacing w:after="80" w:line="300"/>
      </w:pPr>
      <w:r>
        <w:rPr>
          <w:rFonts w:ascii="Arial" w:cs="Arial" w:eastAsia="Arial" w:hAnsi="Arial"/>
          <w:color w:val="333333"/>
          <w:sz w:val="22"/>
          <w:szCs w:val="22"/>
        </w:rPr>
        <w:t xml:space="preserve">Fine-tuning de modelos con datos propios de Super Naturista. Se privilegia RAG durante el piloto por su menor costo, menor riesgo y mayor trazabilidad.</w:t>
      </w:r>
    </w:p>
    <w:p>
      <w:pPr>
        <w:pStyle w:val="ListParagraph"/>
        <w:numPr>
          <w:ilvl w:val="0"/>
          <w:numId w:val="2"/>
        </w:numPr>
        <w:spacing w:after="80" w:line="300"/>
      </w:pPr>
      <w:r>
        <w:rPr>
          <w:rFonts w:ascii="Arial" w:cs="Arial" w:eastAsia="Arial" w:hAnsi="Arial"/>
          <w:color w:val="333333"/>
          <w:sz w:val="22"/>
          <w:szCs w:val="22"/>
        </w:rPr>
        <w:t xml:space="preserve">Entrenamiento de modelos custom o embeddings especializados para el dominio.</w:t>
      </w:r>
    </w:p>
    <w:p>
      <w:pPr>
        <w:pStyle w:val="ListParagraph"/>
        <w:numPr>
          <w:ilvl w:val="0"/>
          <w:numId w:val="2"/>
        </w:numPr>
        <w:spacing w:after="80" w:line="300"/>
      </w:pPr>
      <w:r>
        <w:rPr>
          <w:rFonts w:ascii="Arial" w:cs="Arial" w:eastAsia="Arial" w:hAnsi="Arial"/>
          <w:color w:val="333333"/>
          <w:sz w:val="22"/>
          <w:szCs w:val="22"/>
        </w:rPr>
        <w:t xml:space="preserve">Implementación de casos de uso más allá de los dos incluidos explícitamente en el alcance.</w:t>
      </w:r>
    </w:p>
    <w:p>
      <w:pPr>
        <w:pStyle w:val="ListParagraph"/>
        <w:numPr>
          <w:ilvl w:val="0"/>
          <w:numId w:val="2"/>
        </w:numPr>
        <w:spacing w:after="80" w:line="300"/>
      </w:pPr>
      <w:r>
        <w:rPr>
          <w:rFonts w:ascii="Arial" w:cs="Arial" w:eastAsia="Arial" w:hAnsi="Arial"/>
          <w:color w:val="333333"/>
          <w:sz w:val="22"/>
          <w:szCs w:val="22"/>
        </w:rPr>
        <w:t xml:space="preserve">Modificaciones al ERP Intelisis o desarrollos dentro del ERP.</w:t>
      </w:r>
    </w:p>
    <w:p>
      <w:pPr>
        <w:pStyle w:val="ListParagraph"/>
        <w:numPr>
          <w:ilvl w:val="0"/>
          <w:numId w:val="2"/>
        </w:numPr>
        <w:spacing w:after="80" w:line="300"/>
      </w:pPr>
      <w:r>
        <w:rPr>
          <w:rFonts w:ascii="Arial" w:cs="Arial" w:eastAsia="Arial" w:hAnsi="Arial"/>
          <w:color w:val="333333"/>
          <w:sz w:val="22"/>
          <w:szCs w:val="22"/>
        </w:rPr>
        <w:t xml:space="preserve">Migración del ERP a la nube o sustitución del mismo.</w:t>
      </w:r>
    </w:p>
    <w:p>
      <w:pPr>
        <w:pStyle w:val="ListParagraph"/>
        <w:numPr>
          <w:ilvl w:val="0"/>
          <w:numId w:val="2"/>
        </w:numPr>
        <w:spacing w:after="80" w:line="300"/>
      </w:pPr>
      <w:r>
        <w:rPr>
          <w:rFonts w:ascii="Arial" w:cs="Arial" w:eastAsia="Arial" w:hAnsi="Arial"/>
          <w:color w:val="333333"/>
          <w:sz w:val="22"/>
          <w:szCs w:val="22"/>
        </w:rPr>
        <w:t xml:space="preserve">Integración con canales de mensajería externos (WhatsApp, Facebook Messenger, etc.) durante el piloto.</w:t>
      </w:r>
    </w:p>
    <w:p>
      <w:pPr>
        <w:pStyle w:val="ListParagraph"/>
        <w:numPr>
          <w:ilvl w:val="0"/>
          <w:numId w:val="2"/>
        </w:numPr>
        <w:spacing w:after="80" w:line="300"/>
      </w:pPr>
      <w:r>
        <w:rPr>
          <w:rFonts w:ascii="Arial" w:cs="Arial" w:eastAsia="Arial" w:hAnsi="Arial"/>
          <w:color w:val="333333"/>
          <w:sz w:val="22"/>
          <w:szCs w:val="22"/>
        </w:rPr>
        <w:t xml:space="preserve">Traducción de contenido a otros idiomas más allá de español.</w:t>
      </w:r>
    </w:p>
    <w:p>
      <w:pPr>
        <w:pStyle w:val="ListParagraph"/>
        <w:numPr>
          <w:ilvl w:val="0"/>
          <w:numId w:val="2"/>
        </w:numPr>
        <w:spacing w:after="80" w:line="300"/>
      </w:pPr>
      <w:r>
        <w:rPr>
          <w:rFonts w:ascii="Arial" w:cs="Arial" w:eastAsia="Arial" w:hAnsi="Arial"/>
          <w:color w:val="333333"/>
          <w:sz w:val="22"/>
          <w:szCs w:val="22"/>
        </w:rPr>
        <w:t xml:space="preserve">Análisis de imagen o video más allá del OCR sobre documentos.</w:t>
      </w:r>
    </w:p>
    <w:p>
      <w:pPr>
        <w:pStyle w:val="ListParagraph"/>
        <w:numPr>
          <w:ilvl w:val="0"/>
          <w:numId w:val="2"/>
        </w:numPr>
        <w:spacing w:after="80" w:line="300"/>
      </w:pPr>
      <w:r>
        <w:rPr>
          <w:rFonts w:ascii="Arial" w:cs="Arial" w:eastAsia="Arial" w:hAnsi="Arial"/>
          <w:color w:val="333333"/>
          <w:sz w:val="22"/>
          <w:szCs w:val="22"/>
        </w:rPr>
        <w:t xml:space="preserve">Servicios de voz (speech-to-text, text-to-speech) para interacción hablada.</w:t>
      </w:r>
    </w:p>
    <w:p>
      <w:pPr>
        <w:pStyle w:val="ListParagraph"/>
        <w:numPr>
          <w:ilvl w:val="0"/>
          <w:numId w:val="2"/>
        </w:numPr>
        <w:spacing w:after="80" w:line="300"/>
      </w:pPr>
      <w:r>
        <w:rPr>
          <w:rFonts w:ascii="Arial" w:cs="Arial" w:eastAsia="Arial" w:hAnsi="Arial"/>
          <w:color w:val="333333"/>
          <w:sz w:val="22"/>
          <w:szCs w:val="22"/>
        </w:rPr>
        <w:t xml:space="preserve">Compra de licencias de Microsoft 365, Azure o servicios de terceros; estos gastos son responsabilidad de Super Naturista.</w:t>
      </w:r>
    </w:p>
    <w:p>
      <w:pPr>
        <w:pStyle w:val="ListParagraph"/>
        <w:numPr>
          <w:ilvl w:val="0"/>
          <w:numId w:val="2"/>
        </w:numPr>
        <w:spacing w:after="80" w:line="300"/>
      </w:pPr>
      <w:r>
        <w:rPr>
          <w:rFonts w:ascii="Arial" w:cs="Arial" w:eastAsia="Arial" w:hAnsi="Arial"/>
          <w:color w:val="333333"/>
          <w:sz w:val="22"/>
          <w:szCs w:val="22"/>
        </w:rPr>
        <w:t xml:space="preserve">Adquisición o renovación de hardware, licencias del sistema operativo o del SQL Server local.</w:t>
      </w:r>
    </w:p>
    <w:p>
      <w:pPr>
        <w:pStyle w:val="ListParagraph"/>
        <w:numPr>
          <w:ilvl w:val="0"/>
          <w:numId w:val="2"/>
        </w:numPr>
        <w:spacing w:after="80" w:line="300"/>
      </w:pPr>
      <w:r>
        <w:rPr>
          <w:rFonts w:ascii="Arial" w:cs="Arial" w:eastAsia="Arial" w:hAnsi="Arial"/>
          <w:color w:val="333333"/>
          <w:sz w:val="22"/>
          <w:szCs w:val="22"/>
        </w:rPr>
        <w:t xml:space="preserve">Servicios de soporte 24×7 posteriores al go-live del piloto (se cotizan por separado como servicio recurrente).</w:t>
      </w:r>
    </w:p>
    <w:p>
      <w:pPr>
        <w:pStyle w:val="ListParagraph"/>
        <w:numPr>
          <w:ilvl w:val="0"/>
          <w:numId w:val="2"/>
        </w:numPr>
        <w:spacing w:after="80" w:line="300"/>
      </w:pPr>
      <w:r>
        <w:rPr>
          <w:rFonts w:ascii="Arial" w:cs="Arial" w:eastAsia="Arial" w:hAnsi="Arial"/>
          <w:color w:val="333333"/>
          <w:sz w:val="22"/>
          <w:szCs w:val="22"/>
        </w:rPr>
        <w:t xml:space="preserve">Auditoría de cumplimiento formal (ISO, SOC, PCI, etc.); se seguirán las mejores prácticas pero no se emite certificación.</w:t>
      </w:r>
    </w:p>
    <w:p>
      <w:pPr>
        <w:pStyle w:val="ListParagraph"/>
        <w:numPr>
          <w:ilvl w:val="0"/>
          <w:numId w:val="2"/>
        </w:numPr>
        <w:spacing w:after="80" w:line="300"/>
      </w:pPr>
      <w:r>
        <w:rPr>
          <w:rFonts w:ascii="Arial" w:cs="Arial" w:eastAsia="Arial" w:hAnsi="Arial"/>
          <w:color w:val="333333"/>
          <w:sz w:val="22"/>
          <w:szCs w:val="22"/>
        </w:rPr>
        <w:t xml:space="preserve">Migración o depuración masiva de datos históricos con calidad deficiente en la fuente.</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6. Requerimientos Técnicos</w:t>
      </w:r>
    </w:p>
    <w:p>
      <w:pPr>
        <w:pStyle w:val="Heading2"/>
        <w:spacing w:after="140" w:before="280"/>
      </w:pPr>
      <w:r>
        <w:rPr>
          <w:rFonts w:ascii="Arial" w:cs="Arial" w:eastAsia="Arial" w:hAnsi="Arial"/>
          <w:b/>
          <w:bCs/>
          <w:color w:val="107C10"/>
          <w:sz w:val="26"/>
          <w:szCs w:val="26"/>
        </w:rPr>
        <w:t xml:space="preserve">6.1 Del cliente</w:t>
      </w:r>
    </w:p>
    <w:p>
      <w:pPr>
        <w:pStyle w:val="ListParagraph"/>
        <w:numPr>
          <w:ilvl w:val="0"/>
          <w:numId w:val="2"/>
        </w:numPr>
        <w:spacing w:after="80" w:line="300"/>
      </w:pPr>
      <w:r>
        <w:rPr>
          <w:rFonts w:ascii="Arial" w:cs="Arial" w:eastAsia="Arial" w:hAnsi="Arial"/>
          <w:b/>
          <w:bCs/>
          <w:color w:val="333333"/>
          <w:sz w:val="22"/>
          <w:szCs w:val="22"/>
        </w:rPr>
        <w:t xml:space="preserve">Suscripción de Azure: </w:t>
      </w:r>
      <w:r>
        <w:rPr>
          <w:rFonts w:ascii="Arial" w:cs="Arial" w:eastAsia="Arial" w:hAnsi="Arial"/>
          <w:color w:val="333333"/>
          <w:sz w:val="22"/>
          <w:szCs w:val="22"/>
        </w:rPr>
        <w:t xml:space="preserve">activa, con permisos de Owner sobre la suscripción para configurar los recursos.</w:t>
      </w:r>
    </w:p>
    <w:p>
      <w:pPr>
        <w:pStyle w:val="ListParagraph"/>
        <w:numPr>
          <w:ilvl w:val="0"/>
          <w:numId w:val="2"/>
        </w:numPr>
        <w:spacing w:after="80" w:line="300"/>
      </w:pPr>
      <w:r>
        <w:rPr>
          <w:rFonts w:ascii="Arial" w:cs="Arial" w:eastAsia="Arial" w:hAnsi="Arial"/>
          <w:b/>
          <w:bCs/>
          <w:color w:val="333333"/>
          <w:sz w:val="22"/>
          <w:szCs w:val="22"/>
        </w:rPr>
        <w:t xml:space="preserve">Cuota de Azure OpenAI: </w:t>
      </w:r>
      <w:r>
        <w:rPr>
          <w:rFonts w:ascii="Arial" w:cs="Arial" w:eastAsia="Arial" w:hAnsi="Arial"/>
          <w:color w:val="333333"/>
          <w:sz w:val="22"/>
          <w:szCs w:val="22"/>
        </w:rPr>
        <w:t xml:space="preserve">aprobada por Microsoft. El proceso de solicitud toma típicamente 1 a 3 días hábiles y forma parte de las primeras actividades del proyecto.</w:t>
      </w:r>
    </w:p>
    <w:p>
      <w:pPr>
        <w:pStyle w:val="ListParagraph"/>
        <w:numPr>
          <w:ilvl w:val="0"/>
          <w:numId w:val="2"/>
        </w:numPr>
        <w:spacing w:after="80" w:line="300"/>
      </w:pPr>
      <w:r>
        <w:rPr>
          <w:rFonts w:ascii="Arial" w:cs="Arial" w:eastAsia="Arial" w:hAnsi="Arial"/>
          <w:b/>
          <w:bCs/>
          <w:color w:val="333333"/>
          <w:sz w:val="22"/>
          <w:szCs w:val="22"/>
        </w:rPr>
        <w:t xml:space="preserve">Tenant de Microsoft Entra ID: </w:t>
      </w:r>
      <w:r>
        <w:rPr>
          <w:rFonts w:ascii="Arial" w:cs="Arial" w:eastAsia="Arial" w:hAnsi="Arial"/>
          <w:color w:val="333333"/>
          <w:sz w:val="22"/>
          <w:szCs w:val="22"/>
        </w:rPr>
        <w:t xml:space="preserve">activo y administrado; opcionalmente con licencias P1 para habilitar Conditional Access y MFA en el piloto.</w:t>
      </w:r>
    </w:p>
    <w:p>
      <w:pPr>
        <w:pStyle w:val="ListParagraph"/>
        <w:numPr>
          <w:ilvl w:val="0"/>
          <w:numId w:val="2"/>
        </w:numPr>
        <w:spacing w:after="80" w:line="300"/>
      </w:pPr>
      <w:r>
        <w:rPr>
          <w:rFonts w:ascii="Arial" w:cs="Arial" w:eastAsia="Arial" w:hAnsi="Arial"/>
          <w:b/>
          <w:bCs/>
          <w:color w:val="333333"/>
          <w:sz w:val="22"/>
          <w:szCs w:val="22"/>
        </w:rPr>
        <w:t xml:space="preserve">Acceso al SQL Server del ERP: </w:t>
      </w:r>
      <w:r>
        <w:rPr>
          <w:rFonts w:ascii="Arial" w:cs="Arial" w:eastAsia="Arial" w:hAnsi="Arial"/>
          <w:color w:val="333333"/>
          <w:sz w:val="22"/>
          <w:szCs w:val="22"/>
        </w:rPr>
        <w:t xml:space="preserve">usuario de solo lectura sobre las tablas relevantes (ventas, inventarios, productos, proveedores, tiendas). Acceso desde la red del cliente hacia el ambiente Azure.</w:t>
      </w:r>
    </w:p>
    <w:p>
      <w:pPr>
        <w:pStyle w:val="ListParagraph"/>
        <w:numPr>
          <w:ilvl w:val="0"/>
          <w:numId w:val="2"/>
        </w:numPr>
        <w:spacing w:after="80" w:line="300"/>
      </w:pPr>
      <w:r>
        <w:rPr>
          <w:rFonts w:ascii="Arial" w:cs="Arial" w:eastAsia="Arial" w:hAnsi="Arial"/>
          <w:b/>
          <w:bCs/>
          <w:color w:val="333333"/>
          <w:sz w:val="22"/>
          <w:szCs w:val="22"/>
        </w:rPr>
        <w:t xml:space="preserve">Servidor Windows: </w:t>
      </w:r>
      <w:r>
        <w:rPr>
          <w:rFonts w:ascii="Arial" w:cs="Arial" w:eastAsia="Arial" w:hAnsi="Arial"/>
          <w:color w:val="333333"/>
          <w:sz w:val="22"/>
          <w:szCs w:val="22"/>
        </w:rPr>
        <w:t xml:space="preserve">con salida a internet HTTPS para alojar el Self-hosted Integration Runtime (mínimo 4 vCPU, 8 GB RAM, disco 100 GB).</w:t>
      </w:r>
    </w:p>
    <w:p>
      <w:pPr>
        <w:pStyle w:val="ListParagraph"/>
        <w:numPr>
          <w:ilvl w:val="0"/>
          <w:numId w:val="2"/>
        </w:numPr>
        <w:spacing w:after="80" w:line="300"/>
      </w:pPr>
      <w:r>
        <w:rPr>
          <w:rFonts w:ascii="Arial" w:cs="Arial" w:eastAsia="Arial" w:hAnsi="Arial"/>
          <w:b/>
          <w:bCs/>
          <w:color w:val="333333"/>
          <w:sz w:val="22"/>
          <w:szCs w:val="22"/>
        </w:rPr>
        <w:t xml:space="preserve">Repositorio Git: </w:t>
      </w:r>
      <w:r>
        <w:rPr>
          <w:rFonts w:ascii="Arial" w:cs="Arial" w:eastAsia="Arial" w:hAnsi="Arial"/>
          <w:color w:val="333333"/>
          <w:sz w:val="22"/>
          <w:szCs w:val="22"/>
        </w:rPr>
        <w:t xml:space="preserve">accesible por ambas partes (Azure DevOps, GitHub o equivalente) para versionamiento del código.</w:t>
      </w:r>
    </w:p>
    <w:p>
      <w:pPr>
        <w:pStyle w:val="ListParagraph"/>
        <w:numPr>
          <w:ilvl w:val="0"/>
          <w:numId w:val="2"/>
        </w:numPr>
        <w:spacing w:after="80" w:line="300"/>
      </w:pPr>
      <w:r>
        <w:rPr>
          <w:rFonts w:ascii="Arial" w:cs="Arial" w:eastAsia="Arial" w:hAnsi="Arial"/>
          <w:b/>
          <w:bCs/>
          <w:color w:val="333333"/>
          <w:sz w:val="22"/>
          <w:szCs w:val="22"/>
        </w:rPr>
        <w:t xml:space="preserve">Documentos y datos de muestra: </w:t>
      </w:r>
      <w:r>
        <w:rPr>
          <w:rFonts w:ascii="Arial" w:cs="Arial" w:eastAsia="Arial" w:hAnsi="Arial"/>
          <w:color w:val="333333"/>
          <w:sz w:val="22"/>
          <w:szCs w:val="22"/>
        </w:rPr>
        <w:t xml:space="preserve">un conjunto representativo de catálogos de proveedores, contratos y reseñas para las pruebas.</w:t>
      </w:r>
    </w:p>
    <w:p>
      <w:pPr>
        <w:pStyle w:val="ListParagraph"/>
        <w:numPr>
          <w:ilvl w:val="0"/>
          <w:numId w:val="2"/>
        </w:numPr>
        <w:spacing w:after="80" w:line="300"/>
      </w:pPr>
      <w:r>
        <w:rPr>
          <w:rFonts w:ascii="Arial" w:cs="Arial" w:eastAsia="Arial" w:hAnsi="Arial"/>
          <w:b/>
          <w:bCs/>
          <w:color w:val="333333"/>
          <w:sz w:val="22"/>
          <w:szCs w:val="22"/>
        </w:rPr>
        <w:t xml:space="preserve">Correo corporativo y accesos: </w:t>
      </w:r>
      <w:r>
        <w:rPr>
          <w:rFonts w:ascii="Arial" w:cs="Arial" w:eastAsia="Arial" w:hAnsi="Arial"/>
          <w:color w:val="333333"/>
          <w:sz w:val="22"/>
          <w:szCs w:val="22"/>
        </w:rPr>
        <w:t xml:space="preserve">para los usuarios que participarán como testers del asistente.</w:t>
      </w:r>
    </w:p>
    <w:p>
      <w:pPr>
        <w:pStyle w:val="ListParagraph"/>
        <w:numPr>
          <w:ilvl w:val="0"/>
          <w:numId w:val="2"/>
        </w:numPr>
        <w:spacing w:after="80" w:line="300"/>
      </w:pPr>
      <w:r>
        <w:rPr>
          <w:rFonts w:ascii="Arial" w:cs="Arial" w:eastAsia="Arial" w:hAnsi="Arial"/>
          <w:b/>
          <w:bCs/>
          <w:color w:val="333333"/>
          <w:sz w:val="22"/>
          <w:szCs w:val="22"/>
        </w:rPr>
        <w:t xml:space="preserve">Espacio de trabajo colaborativo: </w:t>
      </w:r>
      <w:r>
        <w:rPr>
          <w:rFonts w:ascii="Arial" w:cs="Arial" w:eastAsia="Arial" w:hAnsi="Arial"/>
          <w:color w:val="333333"/>
          <w:sz w:val="22"/>
          <w:szCs w:val="22"/>
        </w:rPr>
        <w:t xml:space="preserve">Microsoft Teams o similar para sesiones periódicas y comunicación durante el proyecto.</w:t>
      </w:r>
    </w:p>
    <w:p>
      <w:pPr>
        <w:pStyle w:val="Heading2"/>
        <w:spacing w:after="140" w:before="280"/>
      </w:pPr>
      <w:r>
        <w:rPr>
          <w:rFonts w:ascii="Arial" w:cs="Arial" w:eastAsia="Arial" w:hAnsi="Arial"/>
          <w:b/>
          <w:bCs/>
          <w:color w:val="107C10"/>
          <w:sz w:val="26"/>
          <w:szCs w:val="26"/>
        </w:rPr>
        <w:t xml:space="preserve">6.2 De la infraestructura Azure a desplegar</w:t>
      </w:r>
    </w:p>
    <w:p>
      <w:pPr>
        <w:pStyle w:val="ListParagraph"/>
        <w:numPr>
          <w:ilvl w:val="0"/>
          <w:numId w:val="2"/>
        </w:numPr>
        <w:spacing w:after="80" w:line="300"/>
      </w:pPr>
      <w:r>
        <w:rPr>
          <w:rFonts w:ascii="Arial" w:cs="Arial" w:eastAsia="Arial" w:hAnsi="Arial"/>
          <w:color w:val="333333"/>
          <w:sz w:val="22"/>
          <w:szCs w:val="22"/>
        </w:rPr>
        <w:t xml:space="preserve">Suscripción Azure con las regiones habilitadas para Azure OpenAI (típicamente East US 2, Sweden Central o similar).</w:t>
      </w:r>
    </w:p>
    <w:p>
      <w:pPr>
        <w:pStyle w:val="ListParagraph"/>
        <w:numPr>
          <w:ilvl w:val="0"/>
          <w:numId w:val="2"/>
        </w:numPr>
        <w:spacing w:after="80" w:line="300"/>
      </w:pPr>
      <w:r>
        <w:rPr>
          <w:rFonts w:ascii="Arial" w:cs="Arial" w:eastAsia="Arial" w:hAnsi="Arial"/>
          <w:color w:val="333333"/>
          <w:sz w:val="22"/>
          <w:szCs w:val="22"/>
        </w:rPr>
        <w:t xml:space="preserve">Grupo de recursos dedicado para el piloto (con etiquetado aprobado).</w:t>
      </w:r>
    </w:p>
    <w:p>
      <w:pPr>
        <w:pStyle w:val="ListParagraph"/>
        <w:numPr>
          <w:ilvl w:val="0"/>
          <w:numId w:val="2"/>
        </w:numPr>
        <w:spacing w:after="80" w:line="300"/>
      </w:pPr>
      <w:r>
        <w:rPr>
          <w:rFonts w:ascii="Arial" w:cs="Arial" w:eastAsia="Arial" w:hAnsi="Arial"/>
          <w:color w:val="333333"/>
          <w:sz w:val="22"/>
          <w:szCs w:val="22"/>
        </w:rPr>
        <w:t xml:space="preserve">Instancia de Azure OpenAI Service con los modelos aprobados por cuota.</w:t>
      </w:r>
    </w:p>
    <w:p>
      <w:pPr>
        <w:pStyle w:val="ListParagraph"/>
        <w:numPr>
          <w:ilvl w:val="0"/>
          <w:numId w:val="2"/>
        </w:numPr>
        <w:spacing w:after="80" w:line="300"/>
      </w:pPr>
      <w:r>
        <w:rPr>
          <w:rFonts w:ascii="Arial" w:cs="Arial" w:eastAsia="Arial" w:hAnsi="Arial"/>
          <w:color w:val="333333"/>
          <w:sz w:val="22"/>
          <w:szCs w:val="22"/>
        </w:rPr>
        <w:t xml:space="preserve">Instancia de Azure AI Search (nivel Basic para el piloto, escalable a S1 en producción).</w:t>
      </w:r>
    </w:p>
    <w:p>
      <w:pPr>
        <w:pStyle w:val="ListParagraph"/>
        <w:numPr>
          <w:ilvl w:val="0"/>
          <w:numId w:val="2"/>
        </w:numPr>
        <w:spacing w:after="80" w:line="300"/>
      </w:pPr>
      <w:r>
        <w:rPr>
          <w:rFonts w:ascii="Arial" w:cs="Arial" w:eastAsia="Arial" w:hAnsi="Arial"/>
          <w:color w:val="333333"/>
          <w:sz w:val="22"/>
          <w:szCs w:val="22"/>
        </w:rPr>
        <w:t xml:space="preserve">Azure Data Lake Storage Gen2 con containers para bronze, silver y gold.</w:t>
      </w:r>
    </w:p>
    <w:p>
      <w:pPr>
        <w:pStyle w:val="ListParagraph"/>
        <w:numPr>
          <w:ilvl w:val="0"/>
          <w:numId w:val="2"/>
        </w:numPr>
        <w:spacing w:after="80" w:line="300"/>
      </w:pPr>
      <w:r>
        <w:rPr>
          <w:rFonts w:ascii="Arial" w:cs="Arial" w:eastAsia="Arial" w:hAnsi="Arial"/>
          <w:color w:val="333333"/>
          <w:sz w:val="22"/>
          <w:szCs w:val="22"/>
        </w:rPr>
        <w:t xml:space="preserve">Azure Data Factory para orquestación de la ingesta.</w:t>
      </w:r>
    </w:p>
    <w:p>
      <w:pPr>
        <w:pStyle w:val="ListParagraph"/>
        <w:numPr>
          <w:ilvl w:val="0"/>
          <w:numId w:val="2"/>
        </w:numPr>
        <w:spacing w:after="80" w:line="300"/>
      </w:pPr>
      <w:r>
        <w:rPr>
          <w:rFonts w:ascii="Arial" w:cs="Arial" w:eastAsia="Arial" w:hAnsi="Arial"/>
          <w:color w:val="333333"/>
          <w:sz w:val="22"/>
          <w:szCs w:val="22"/>
        </w:rPr>
        <w:t xml:space="preserve">Azure Functions o Container Apps para la orquestación de la aplicación de IA.</w:t>
      </w:r>
    </w:p>
    <w:p>
      <w:pPr>
        <w:pStyle w:val="ListParagraph"/>
        <w:numPr>
          <w:ilvl w:val="0"/>
          <w:numId w:val="2"/>
        </w:numPr>
        <w:spacing w:after="80" w:line="300"/>
      </w:pPr>
      <w:r>
        <w:rPr>
          <w:rFonts w:ascii="Arial" w:cs="Arial" w:eastAsia="Arial" w:hAnsi="Arial"/>
          <w:color w:val="333333"/>
          <w:sz w:val="22"/>
          <w:szCs w:val="22"/>
        </w:rPr>
        <w:t xml:space="preserve">Azure Key Vault para gestión de secretos.</w:t>
      </w:r>
    </w:p>
    <w:p>
      <w:pPr>
        <w:pStyle w:val="ListParagraph"/>
        <w:numPr>
          <w:ilvl w:val="0"/>
          <w:numId w:val="2"/>
        </w:numPr>
        <w:spacing w:after="80" w:line="300"/>
      </w:pPr>
      <w:r>
        <w:rPr>
          <w:rFonts w:ascii="Arial" w:cs="Arial" w:eastAsia="Arial" w:hAnsi="Arial"/>
          <w:color w:val="333333"/>
          <w:sz w:val="22"/>
          <w:szCs w:val="22"/>
        </w:rPr>
        <w:t xml:space="preserve">Application Insights y Log Analytics Workspace para observabilidad.</w:t>
      </w:r>
    </w:p>
    <w:p>
      <w:pPr>
        <w:pStyle w:val="ListParagraph"/>
        <w:numPr>
          <w:ilvl w:val="0"/>
          <w:numId w:val="2"/>
        </w:numPr>
        <w:spacing w:after="80" w:line="300"/>
      </w:pPr>
      <w:r>
        <w:rPr>
          <w:rFonts w:ascii="Arial" w:cs="Arial" w:eastAsia="Arial" w:hAnsi="Arial"/>
          <w:color w:val="333333"/>
          <w:sz w:val="22"/>
          <w:szCs w:val="22"/>
        </w:rPr>
        <w:t xml:space="preserve">Azure Content Safety para filtrado de entrada y salida de contenido.</w:t>
      </w:r>
    </w:p>
    <w:p>
      <w:pPr>
        <w:pStyle w:val="ListParagraph"/>
        <w:numPr>
          <w:ilvl w:val="0"/>
          <w:numId w:val="2"/>
        </w:numPr>
        <w:spacing w:after="80" w:line="300"/>
      </w:pPr>
      <w:r>
        <w:rPr>
          <w:rFonts w:ascii="Arial" w:cs="Arial" w:eastAsia="Arial" w:hAnsi="Arial"/>
          <w:color w:val="333333"/>
          <w:sz w:val="22"/>
          <w:szCs w:val="22"/>
        </w:rPr>
        <w:t xml:space="preserve">Azure App Service para hospedar la aplicación web de chat.</w:t>
      </w:r>
    </w:p>
    <w:p>
      <w:pPr>
        <w:pStyle w:val="Heading2"/>
        <w:spacing w:after="140" w:before="280"/>
      </w:pPr>
      <w:r>
        <w:rPr>
          <w:rFonts w:ascii="Arial" w:cs="Arial" w:eastAsia="Arial" w:hAnsi="Arial"/>
          <w:b/>
          <w:bCs/>
          <w:color w:val="107C10"/>
          <w:sz w:val="26"/>
          <w:szCs w:val="26"/>
        </w:rPr>
        <w:t xml:space="preserve">6.3 Ambientes</w:t>
      </w:r>
    </w:p>
    <w:p>
      <w:pPr>
        <w:spacing w:after="120" w:before="0" w:line="300"/>
      </w:pPr>
      <w:r>
        <w:rPr>
          <w:rFonts w:ascii="Arial" w:cs="Arial" w:eastAsia="Arial" w:hAnsi="Arial"/>
          <w:color w:val="333333"/>
          <w:sz w:val="22"/>
          <w:szCs w:val="22"/>
        </w:rPr>
        <w:t xml:space="preserve">Se establecen dos ambientes desde el inicio, con separación por suscripción o grupo de recursos:</w:t>
      </w:r>
    </w:p>
    <w:p>
      <w:pPr>
        <w:pStyle w:val="ListParagraph"/>
        <w:numPr>
          <w:ilvl w:val="0"/>
          <w:numId w:val="2"/>
        </w:numPr>
        <w:spacing w:after="80" w:line="300"/>
      </w:pPr>
      <w:r>
        <w:rPr>
          <w:rFonts w:ascii="Arial" w:cs="Arial" w:eastAsia="Arial" w:hAnsi="Arial"/>
          <w:b/>
          <w:bCs/>
          <w:color w:val="333333"/>
          <w:sz w:val="22"/>
          <w:szCs w:val="22"/>
        </w:rPr>
        <w:t xml:space="preserve">Desarrollo/QA: </w:t>
      </w:r>
      <w:r>
        <w:rPr>
          <w:rFonts w:ascii="Arial" w:cs="Arial" w:eastAsia="Arial" w:hAnsi="Arial"/>
          <w:color w:val="333333"/>
          <w:sz w:val="22"/>
          <w:szCs w:val="22"/>
        </w:rPr>
        <w:t xml:space="preserve">para experimentación, ajuste de prompts, pruebas de integración y validación con usuarios internos.</w:t>
      </w:r>
    </w:p>
    <w:p>
      <w:pPr>
        <w:pStyle w:val="ListParagraph"/>
        <w:numPr>
          <w:ilvl w:val="0"/>
          <w:numId w:val="2"/>
        </w:numPr>
        <w:spacing w:after="80" w:line="300"/>
      </w:pPr>
      <w:r>
        <w:rPr>
          <w:rFonts w:ascii="Arial" w:cs="Arial" w:eastAsia="Arial" w:hAnsi="Arial"/>
          <w:b/>
          <w:bCs/>
          <w:color w:val="333333"/>
          <w:sz w:val="22"/>
          <w:szCs w:val="22"/>
        </w:rPr>
        <w:t xml:space="preserve">Producción (piloto): </w:t>
      </w:r>
      <w:r>
        <w:rPr>
          <w:rFonts w:ascii="Arial" w:cs="Arial" w:eastAsia="Arial" w:hAnsi="Arial"/>
          <w:color w:val="333333"/>
          <w:sz w:val="22"/>
          <w:szCs w:val="22"/>
        </w:rPr>
        <w:t xml:space="preserve">ambiente estable donde los usuarios finales del piloto interactúan con la solución. Datos reales, políticas de acceso más estrictas.</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7. Requerimientos Humanos</w:t>
      </w:r>
    </w:p>
    <w:p>
      <w:pPr>
        <w:pStyle w:val="Heading2"/>
        <w:spacing w:after="140" w:before="280"/>
      </w:pPr>
      <w:r>
        <w:rPr>
          <w:rFonts w:ascii="Arial" w:cs="Arial" w:eastAsia="Arial" w:hAnsi="Arial"/>
          <w:b/>
          <w:bCs/>
          <w:color w:val="107C10"/>
          <w:sz w:val="26"/>
          <w:szCs w:val="26"/>
        </w:rPr>
        <w:t xml:space="preserve">7.1 Equipo de Super Naturista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Rol</w:t>
            </w:r>
          </w:p>
        </w:tc>
        <w:tc>
          <w:tcPr>
            <w:tcW w:type="dxa" w:w="24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Dedicación estimada</w:t>
            </w:r>
          </w:p>
        </w:tc>
        <w:tc>
          <w:tcPr>
            <w:tcW w:type="dxa" w:w="43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Responsabilidades principales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Patrocinador ejecutivo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~4 horas / semana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Valida el rumbo estratégico, remueve bloqueos y aprueba decisiones clave.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Product Owner (Compras/Operaciones)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~10-12 horas / semana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Prioriza casos de uso, valida requerimientos funcionales, aprueba entregables.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Data Steward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~6-8 horas / semana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Provee acceso a las tablas del ERP, aclara definiciones de negocio, revisa calidad de datos.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Administrador de TI / Infraestructura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~4-6 horas / semana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Habilita accesos, configura VPN o SHIR, resuelve temas de red y firewall.</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Usuarios piloto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~2-3 horas / semana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3 a 5 personas del área de compras y gerencia de tienda que probarán y darán retroalimentación.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Responsable de seguridad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 horas / semana</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Revisa políticas, valida el manejo de datos sensibles y aprueba configuraciones de acceso.</w:t>
            </w:r>
          </w:p>
        </w:tc>
      </w:tr>
    </w:tbl>
    <w:p>
      <w:pPr>
        <w:spacing w:after="200"/>
      </w:pPr>
      <w:r>
        <w:t xml:space="preserve"/>
      </w:r>
    </w:p>
    <w:p>
      <w:pPr>
        <w:pStyle w:val="Heading2"/>
        <w:spacing w:after="140" w:before="280"/>
      </w:pPr>
      <w:r>
        <w:rPr>
          <w:rFonts w:ascii="Arial" w:cs="Arial" w:eastAsia="Arial" w:hAnsi="Arial"/>
          <w:b/>
          <w:bCs/>
          <w:color w:val="107C10"/>
          <w:sz w:val="26"/>
          <w:szCs w:val="26"/>
        </w:rPr>
        <w:t xml:space="preserve">7.2 Equipo del consultor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Rol</w:t>
            </w:r>
          </w:p>
        </w:tc>
        <w:tc>
          <w:tcPr>
            <w:tcW w:type="dxa" w:w="24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Dedicación</w:t>
            </w:r>
          </w:p>
        </w:tc>
        <w:tc>
          <w:tcPr>
            <w:tcW w:type="dxa" w:w="43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Responsabilidades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Project Manager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30%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Coordina el proyecto, gestiona riesgos, controla plan, comunica avances.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Arquitecto de soluciones IA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40% las primeras 3 semanas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Define la arquitectura, decide patrones RAG/routing, valida decisiones técnicas.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AI Engineer / Prompt Engineer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100% (senior)</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Diseña e itera prompts, orquestación, evaluaciones. Rol crítico del proyecto.</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Data Engineer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80%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Ingesta desde SQL Server, procesamiento en el Data Lake, vectorización.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Full-Stack Developer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80%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Desarrollo de la app web, integración con Teams, backend en Functions/Container Apps.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DevOps / MLOps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Pipelines CI/CD, monitoreo, alertas, gestión de costos.</w:t>
            </w:r>
          </w:p>
        </w:tc>
      </w:tr>
    </w:tbl>
    <w:p>
      <w:pPr>
        <w:spacing w:after="200"/>
      </w:pPr>
      <w:r>
        <w:t xml:space="preserve"/>
      </w:r>
    </w:p>
    <w:p>
      <w:pPr>
        <w:spacing w:after="120" w:before="0" w:line="300"/>
      </w:pPr>
      <w:r>
        <w:rPr>
          <w:rFonts w:ascii="Arial" w:cs="Arial" w:eastAsia="Arial" w:hAnsi="Arial"/>
          <w:i/>
          <w:iCs/>
          <w:color w:val="333333"/>
          <w:sz w:val="22"/>
          <w:szCs w:val="22"/>
        </w:rPr>
        <w:t xml:space="preserve">El equipo se ajusta a las particularidades de una fase de Discovery inicial (perfiles concentrados) y a la fase de construcción (más manos técnicas). En caso de agregar casos de uso adicionales al piloto, el equipo se dimensiona proporcionalmente.</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8. Plan de Trabajo</w:t>
      </w:r>
    </w:p>
    <w:p>
      <w:pPr>
        <w:spacing w:after="120" w:before="0" w:line="300"/>
      </w:pPr>
      <w:r>
        <w:rPr>
          <w:rFonts w:ascii="Arial" w:cs="Arial" w:eastAsia="Arial" w:hAnsi="Arial"/>
          <w:color w:val="333333"/>
          <w:sz w:val="22"/>
          <w:szCs w:val="22"/>
        </w:rPr>
        <w:t xml:space="preserve">El piloto se ejecuta en 8 semanas efectivas de trabajo. El cronograma es orientativo y se ajusta con base en la disponibilidad de accesos, aprobación de cuotas y ritmo de validación con el cliente.</w:t>
      </w:r>
    </w:p>
    <w:p>
      <w:pPr>
        <w:pStyle w:val="Heading2"/>
        <w:spacing w:after="140" w:before="280"/>
      </w:pPr>
      <w:r>
        <w:rPr>
          <w:rFonts w:ascii="Arial" w:cs="Arial" w:eastAsia="Arial" w:hAnsi="Arial"/>
          <w:b/>
          <w:bCs/>
          <w:color w:val="107C10"/>
          <w:sz w:val="26"/>
          <w:szCs w:val="26"/>
        </w:rPr>
        <w:t xml:space="preserve">8.1 Fases y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Semana</w:t>
            </w:r>
          </w:p>
        </w:tc>
        <w:tc>
          <w:tcPr>
            <w:tcW w:type="dxa" w:w="26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Fase</w:t>
            </w:r>
          </w:p>
        </w:tc>
        <w:tc>
          <w:tcPr>
            <w:tcW w:type="dxa" w:w="55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Actividades principales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1</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Discovery y habilitación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Kickoff. Solicitud de cuota Azure OpenAI. Entendimiento de casos de uso. Inventario de fuentes de datos. Definición de métricas de éxito y set de evaluación.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2</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Arquitectura y setup</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Diseño de arquitectura detallada. Configuración de red y accesos. Habilitación de recursos base en Azure. Instalación del Self-hosted Integration Runtime.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3</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Ingesta y preparación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Extracción de tablas del ERP al Data Lake. Diseño de la estructura bronze/silver. Ingesta de documentos de proveedores de muestra. Procesamiento con Document Intelligence.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4</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Vectorización y RAG</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Diseño del índice en AI Search. Estrategia de chunking. Generación de embeddings. Enriquecimiento con metadatos. Pruebas de recuperación de contexto.</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5</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Orquestación e IA</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Despliegue de modelos GPT-4o y mini. Diseño del prompt de sistema. Orquestación con Semantic Kernel. Herramientas para consultas SQL parametrizadas. Content Safety.</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6</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Interfaz de usuario</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Desarrollo de la aplicación web de chat. Bot para Microsoft Teams. Integración con Entra ID para autenticación. Historial conversacional en Cosmos DB.</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7</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Pruebas y ajuste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Ejecución del set de evaluación. Iteración de prompts. Pruebas con usuarios piloto. Ajustes por retroalimentación. Optimización de costos.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8</w:t>
            </w:r>
          </w:p>
        </w:tc>
        <w:tc>
          <w:tcPr>
            <w:tcW w:type="dxa" w:w="26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Go-live y capacitación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Puesta en producción del piloto. Sesiones de capacitación a usuarios y equipo técnico. Entrega de documentación. Runbook operativo. Retrospectiva.</w:t>
            </w:r>
          </w:p>
        </w:tc>
      </w:tr>
    </w:tbl>
    <w:p>
      <w:pPr>
        <w:spacing w:after="200"/>
      </w:pPr>
      <w:r>
        <w:t xml:space="preserve"/>
      </w:r>
    </w:p>
    <w:p>
      <w:pPr>
        <w:pStyle w:val="Heading2"/>
        <w:spacing w:after="140" w:before="280"/>
      </w:pPr>
      <w:r>
        <w:rPr>
          <w:rFonts w:ascii="Arial" w:cs="Arial" w:eastAsia="Arial" w:hAnsi="Arial"/>
          <w:b/>
          <w:bCs/>
          <w:color w:val="107C10"/>
          <w:sz w:val="26"/>
          <w:szCs w:val="26"/>
        </w:rPr>
        <w:t xml:space="preserve">8.2 Hitos y aprobaciones</w:t>
      </w:r>
    </w:p>
    <w:p>
      <w:pPr>
        <w:pStyle w:val="ListParagraph"/>
        <w:numPr>
          <w:ilvl w:val="0"/>
          <w:numId w:val="2"/>
        </w:numPr>
        <w:spacing w:after="80" w:line="300"/>
      </w:pPr>
      <w:r>
        <w:rPr>
          <w:rFonts w:ascii="Arial" w:cs="Arial" w:eastAsia="Arial" w:hAnsi="Arial"/>
          <w:b/>
          <w:bCs/>
          <w:color w:val="333333"/>
          <w:sz w:val="22"/>
          <w:szCs w:val="22"/>
        </w:rPr>
        <w:t xml:space="preserve">Hito 1 (fin de semana 2): </w:t>
      </w:r>
      <w:r>
        <w:rPr>
          <w:rFonts w:ascii="Arial" w:cs="Arial" w:eastAsia="Arial" w:hAnsi="Arial"/>
          <w:color w:val="333333"/>
          <w:sz w:val="22"/>
          <w:szCs w:val="22"/>
        </w:rPr>
        <w:t xml:space="preserve">arquitectura aprobada, cuota Azure OpenAI concedida, accesos habilitados.</w:t>
      </w:r>
    </w:p>
    <w:p>
      <w:pPr>
        <w:pStyle w:val="ListParagraph"/>
        <w:numPr>
          <w:ilvl w:val="0"/>
          <w:numId w:val="2"/>
        </w:numPr>
        <w:spacing w:after="80" w:line="300"/>
      </w:pPr>
      <w:r>
        <w:rPr>
          <w:rFonts w:ascii="Arial" w:cs="Arial" w:eastAsia="Arial" w:hAnsi="Arial"/>
          <w:b/>
          <w:bCs/>
          <w:color w:val="333333"/>
          <w:sz w:val="22"/>
          <w:szCs w:val="22"/>
        </w:rPr>
        <w:t xml:space="preserve">Hito 2 (fin de semana 4): </w:t>
      </w:r>
      <w:r>
        <w:rPr>
          <w:rFonts w:ascii="Arial" w:cs="Arial" w:eastAsia="Arial" w:hAnsi="Arial"/>
          <w:color w:val="333333"/>
          <w:sz w:val="22"/>
          <w:szCs w:val="22"/>
        </w:rPr>
        <w:t xml:space="preserve">ingesta funcionando, índice inicial en AI Search, primeras consultas de recuperación validadas.</w:t>
      </w:r>
    </w:p>
    <w:p>
      <w:pPr>
        <w:pStyle w:val="ListParagraph"/>
        <w:numPr>
          <w:ilvl w:val="0"/>
          <w:numId w:val="2"/>
        </w:numPr>
        <w:spacing w:after="80" w:line="300"/>
      </w:pPr>
      <w:r>
        <w:rPr>
          <w:rFonts w:ascii="Arial" w:cs="Arial" w:eastAsia="Arial" w:hAnsi="Arial"/>
          <w:b/>
          <w:bCs/>
          <w:color w:val="333333"/>
          <w:sz w:val="22"/>
          <w:szCs w:val="22"/>
        </w:rPr>
        <w:t xml:space="preserve">Hito 3 (fin de semana 6): </w:t>
      </w:r>
      <w:r>
        <w:rPr>
          <w:rFonts w:ascii="Arial" w:cs="Arial" w:eastAsia="Arial" w:hAnsi="Arial"/>
          <w:color w:val="333333"/>
          <w:sz w:val="22"/>
          <w:szCs w:val="22"/>
        </w:rPr>
        <w:t xml:space="preserve">asistente end-to-end operativo en ambiente de desarrollo con usuarios internos del proyecto.</w:t>
      </w:r>
    </w:p>
    <w:p>
      <w:pPr>
        <w:pStyle w:val="ListParagraph"/>
        <w:numPr>
          <w:ilvl w:val="0"/>
          <w:numId w:val="2"/>
        </w:numPr>
        <w:spacing w:after="80" w:line="300"/>
      </w:pPr>
      <w:r>
        <w:rPr>
          <w:rFonts w:ascii="Arial" w:cs="Arial" w:eastAsia="Arial" w:hAnsi="Arial"/>
          <w:b/>
          <w:bCs/>
          <w:color w:val="333333"/>
          <w:sz w:val="22"/>
          <w:szCs w:val="22"/>
        </w:rPr>
        <w:t xml:space="preserve">Hito 4 (fin de semana 8): </w:t>
      </w:r>
      <w:r>
        <w:rPr>
          <w:rFonts w:ascii="Arial" w:cs="Arial" w:eastAsia="Arial" w:hAnsi="Arial"/>
          <w:color w:val="333333"/>
          <w:sz w:val="22"/>
          <w:szCs w:val="22"/>
        </w:rPr>
        <w:t xml:space="preserve">go-live del piloto, usuarios finales usando la solución, métricas iniciales registradas.</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9. Entregables</w:t>
      </w:r>
    </w:p>
    <w:p>
      <w:pPr>
        <w:spacing w:after="120" w:before="0" w:line="300"/>
      </w:pPr>
      <w:r>
        <w:rPr>
          <w:rFonts w:ascii="Arial" w:cs="Arial" w:eastAsia="Arial" w:hAnsi="Arial"/>
          <w:color w:val="333333"/>
          <w:sz w:val="22"/>
          <w:szCs w:val="22"/>
        </w:rPr>
        <w:t xml:space="preserve">Al cierre del piloto, Super Naturista recibirá los siguientes entregables tangibles:</w:t>
      </w:r>
    </w:p>
    <w:p>
      <w:pPr>
        <w:pStyle w:val="Heading2"/>
        <w:spacing w:after="140" w:before="280"/>
      </w:pPr>
      <w:r>
        <w:rPr>
          <w:rFonts w:ascii="Arial" w:cs="Arial" w:eastAsia="Arial" w:hAnsi="Arial"/>
          <w:b/>
          <w:bCs/>
          <w:color w:val="107C10"/>
          <w:sz w:val="26"/>
          <w:szCs w:val="26"/>
        </w:rPr>
        <w:t xml:space="preserve">9.1 Entregables técnicos</w:t>
      </w:r>
    </w:p>
    <w:p>
      <w:pPr>
        <w:pStyle w:val="ListParagraph"/>
        <w:numPr>
          <w:ilvl w:val="0"/>
          <w:numId w:val="2"/>
        </w:numPr>
        <w:spacing w:after="80" w:line="300"/>
      </w:pPr>
      <w:r>
        <w:rPr>
          <w:rFonts w:ascii="Arial" w:cs="Arial" w:eastAsia="Arial" w:hAnsi="Arial"/>
          <w:color w:val="333333"/>
          <w:sz w:val="22"/>
          <w:szCs w:val="22"/>
        </w:rPr>
        <w:t xml:space="preserve">Ambiente Azure configurado con todos los servicios de la arquitectura, en dos ambientes (Dev y Prod).</w:t>
      </w:r>
    </w:p>
    <w:p>
      <w:pPr>
        <w:pStyle w:val="ListParagraph"/>
        <w:numPr>
          <w:ilvl w:val="0"/>
          <w:numId w:val="2"/>
        </w:numPr>
        <w:spacing w:after="80" w:line="300"/>
      </w:pPr>
      <w:r>
        <w:rPr>
          <w:rFonts w:ascii="Arial" w:cs="Arial" w:eastAsia="Arial" w:hAnsi="Arial"/>
          <w:color w:val="333333"/>
          <w:sz w:val="22"/>
          <w:szCs w:val="22"/>
        </w:rPr>
        <w:t xml:space="preserve">Pipeline de ingesta desde SQL Server y desde documentos operativo y programado.</w:t>
      </w:r>
    </w:p>
    <w:p>
      <w:pPr>
        <w:pStyle w:val="ListParagraph"/>
        <w:numPr>
          <w:ilvl w:val="0"/>
          <w:numId w:val="2"/>
        </w:numPr>
        <w:spacing w:after="80" w:line="300"/>
      </w:pPr>
      <w:r>
        <w:rPr>
          <w:rFonts w:ascii="Arial" w:cs="Arial" w:eastAsia="Arial" w:hAnsi="Arial"/>
          <w:color w:val="333333"/>
          <w:sz w:val="22"/>
          <w:szCs w:val="22"/>
        </w:rPr>
        <w:t xml:space="preserve">Índice de conocimiento en Azure AI Search con estrategia híbrida (vectorial + full-text).</w:t>
      </w:r>
    </w:p>
    <w:p>
      <w:pPr>
        <w:pStyle w:val="ListParagraph"/>
        <w:numPr>
          <w:ilvl w:val="0"/>
          <w:numId w:val="2"/>
        </w:numPr>
        <w:spacing w:after="80" w:line="300"/>
      </w:pPr>
      <w:r>
        <w:rPr>
          <w:rFonts w:ascii="Arial" w:cs="Arial" w:eastAsia="Arial" w:hAnsi="Arial"/>
          <w:color w:val="333333"/>
          <w:sz w:val="22"/>
          <w:szCs w:val="22"/>
        </w:rPr>
        <w:t xml:space="preserve">Modelos de Azure OpenAI desplegados con cuota asignada y configuración validada.</w:t>
      </w:r>
    </w:p>
    <w:p>
      <w:pPr>
        <w:pStyle w:val="ListParagraph"/>
        <w:numPr>
          <w:ilvl w:val="0"/>
          <w:numId w:val="2"/>
        </w:numPr>
        <w:spacing w:after="80" w:line="300"/>
      </w:pPr>
      <w:r>
        <w:rPr>
          <w:rFonts w:ascii="Arial" w:cs="Arial" w:eastAsia="Arial" w:hAnsi="Arial"/>
          <w:color w:val="333333"/>
          <w:sz w:val="22"/>
          <w:szCs w:val="22"/>
        </w:rPr>
        <w:t xml:space="preserve">Aplicación web de chat con autenticación integrada a Entra ID.</w:t>
      </w:r>
    </w:p>
    <w:p>
      <w:pPr>
        <w:pStyle w:val="ListParagraph"/>
        <w:numPr>
          <w:ilvl w:val="0"/>
          <w:numId w:val="2"/>
        </w:numPr>
        <w:spacing w:after="80" w:line="300"/>
      </w:pPr>
      <w:r>
        <w:rPr>
          <w:rFonts w:ascii="Arial" w:cs="Arial" w:eastAsia="Arial" w:hAnsi="Arial"/>
          <w:color w:val="333333"/>
          <w:sz w:val="22"/>
          <w:szCs w:val="22"/>
        </w:rPr>
        <w:t xml:space="preserve">Bot en Microsoft Teams con la misma funcionalidad que la app web.</w:t>
      </w:r>
    </w:p>
    <w:p>
      <w:pPr>
        <w:pStyle w:val="ListParagraph"/>
        <w:numPr>
          <w:ilvl w:val="0"/>
          <w:numId w:val="2"/>
        </w:numPr>
        <w:spacing w:after="80" w:line="300"/>
      </w:pPr>
      <w:r>
        <w:rPr>
          <w:rFonts w:ascii="Arial" w:cs="Arial" w:eastAsia="Arial" w:hAnsi="Arial"/>
          <w:color w:val="333333"/>
          <w:sz w:val="22"/>
          <w:szCs w:val="22"/>
        </w:rPr>
        <w:t xml:space="preserve">Orquestación de agentes en Semantic Kernel con las herramientas definidas.</w:t>
      </w:r>
    </w:p>
    <w:p>
      <w:pPr>
        <w:pStyle w:val="ListParagraph"/>
        <w:numPr>
          <w:ilvl w:val="0"/>
          <w:numId w:val="2"/>
        </w:numPr>
        <w:spacing w:after="80" w:line="300"/>
      </w:pPr>
      <w:r>
        <w:rPr>
          <w:rFonts w:ascii="Arial" w:cs="Arial" w:eastAsia="Arial" w:hAnsi="Arial"/>
          <w:color w:val="333333"/>
          <w:sz w:val="22"/>
          <w:szCs w:val="22"/>
        </w:rPr>
        <w:t xml:space="preserve">Pipelines CI/CD para la aplicación de IA.</w:t>
      </w:r>
    </w:p>
    <w:p>
      <w:pPr>
        <w:pStyle w:val="ListParagraph"/>
        <w:numPr>
          <w:ilvl w:val="0"/>
          <w:numId w:val="2"/>
        </w:numPr>
        <w:spacing w:after="80" w:line="300"/>
      </w:pPr>
      <w:r>
        <w:rPr>
          <w:rFonts w:ascii="Arial" w:cs="Arial" w:eastAsia="Arial" w:hAnsi="Arial"/>
          <w:color w:val="333333"/>
          <w:sz w:val="22"/>
          <w:szCs w:val="22"/>
        </w:rPr>
        <w:t xml:space="preserve">Configuración de Content Safety, monitoreo de calidad y control de costos.</w:t>
      </w:r>
    </w:p>
    <w:p>
      <w:pPr>
        <w:pStyle w:val="Heading2"/>
        <w:spacing w:after="140" w:before="280"/>
      </w:pPr>
      <w:r>
        <w:rPr>
          <w:rFonts w:ascii="Arial" w:cs="Arial" w:eastAsia="Arial" w:hAnsi="Arial"/>
          <w:b/>
          <w:bCs/>
          <w:color w:val="107C10"/>
          <w:sz w:val="26"/>
          <w:szCs w:val="26"/>
        </w:rPr>
        <w:t xml:space="preserve">9.2 Entregables documentales</w:t>
      </w:r>
    </w:p>
    <w:p>
      <w:pPr>
        <w:pStyle w:val="ListParagraph"/>
        <w:numPr>
          <w:ilvl w:val="0"/>
          <w:numId w:val="2"/>
        </w:numPr>
        <w:spacing w:after="80" w:line="300"/>
      </w:pPr>
      <w:r>
        <w:rPr>
          <w:rFonts w:ascii="Arial" w:cs="Arial" w:eastAsia="Arial" w:hAnsi="Arial"/>
          <w:color w:val="333333"/>
          <w:sz w:val="22"/>
          <w:szCs w:val="22"/>
        </w:rPr>
        <w:t xml:space="preserve">Documento de arquitectura detallada con diagramas actualizados.</w:t>
      </w:r>
    </w:p>
    <w:p>
      <w:pPr>
        <w:pStyle w:val="ListParagraph"/>
        <w:numPr>
          <w:ilvl w:val="0"/>
          <w:numId w:val="2"/>
        </w:numPr>
        <w:spacing w:after="80" w:line="300"/>
      </w:pPr>
      <w:r>
        <w:rPr>
          <w:rFonts w:ascii="Arial" w:cs="Arial" w:eastAsia="Arial" w:hAnsi="Arial"/>
          <w:color w:val="333333"/>
          <w:sz w:val="22"/>
          <w:szCs w:val="22"/>
        </w:rPr>
        <w:t xml:space="preserve">Diccionario de datos de las tablas del ERP integradas.</w:t>
      </w:r>
    </w:p>
    <w:p>
      <w:pPr>
        <w:pStyle w:val="ListParagraph"/>
        <w:numPr>
          <w:ilvl w:val="0"/>
          <w:numId w:val="2"/>
        </w:numPr>
        <w:spacing w:after="80" w:line="300"/>
      </w:pPr>
      <w:r>
        <w:rPr>
          <w:rFonts w:ascii="Arial" w:cs="Arial" w:eastAsia="Arial" w:hAnsi="Arial"/>
          <w:color w:val="333333"/>
          <w:sz w:val="22"/>
          <w:szCs w:val="22"/>
        </w:rPr>
        <w:t xml:space="preserve">Catálogo de prompts (system, few-shot, ejemplos).</w:t>
      </w:r>
    </w:p>
    <w:p>
      <w:pPr>
        <w:pStyle w:val="ListParagraph"/>
        <w:numPr>
          <w:ilvl w:val="0"/>
          <w:numId w:val="2"/>
        </w:numPr>
        <w:spacing w:after="80" w:line="300"/>
      </w:pPr>
      <w:r>
        <w:rPr>
          <w:rFonts w:ascii="Arial" w:cs="Arial" w:eastAsia="Arial" w:hAnsi="Arial"/>
          <w:color w:val="333333"/>
          <w:sz w:val="22"/>
          <w:szCs w:val="22"/>
        </w:rPr>
        <w:t xml:space="preserve">Set de evaluación con 50-100 preguntas y respuestas de referencia para pruebas de regresión.</w:t>
      </w:r>
    </w:p>
    <w:p>
      <w:pPr>
        <w:pStyle w:val="ListParagraph"/>
        <w:numPr>
          <w:ilvl w:val="0"/>
          <w:numId w:val="2"/>
        </w:numPr>
        <w:spacing w:after="80" w:line="300"/>
      </w:pPr>
      <w:r>
        <w:rPr>
          <w:rFonts w:ascii="Arial" w:cs="Arial" w:eastAsia="Arial" w:hAnsi="Arial"/>
          <w:color w:val="333333"/>
          <w:sz w:val="22"/>
          <w:szCs w:val="22"/>
        </w:rPr>
        <w:t xml:space="preserve">Playbook operativo: cómo agregar contenido, cómo iterar prompts, cómo revisar costos.</w:t>
      </w:r>
    </w:p>
    <w:p>
      <w:pPr>
        <w:pStyle w:val="ListParagraph"/>
        <w:numPr>
          <w:ilvl w:val="0"/>
          <w:numId w:val="2"/>
        </w:numPr>
        <w:spacing w:after="80" w:line="300"/>
      </w:pPr>
      <w:r>
        <w:rPr>
          <w:rFonts w:ascii="Arial" w:cs="Arial" w:eastAsia="Arial" w:hAnsi="Arial"/>
          <w:color w:val="333333"/>
          <w:sz w:val="22"/>
          <w:szCs w:val="22"/>
        </w:rPr>
        <w:t xml:space="preserve">Runbook de contingencia con procedimientos ante fallas comunes.</w:t>
      </w:r>
    </w:p>
    <w:p>
      <w:pPr>
        <w:pStyle w:val="ListParagraph"/>
        <w:numPr>
          <w:ilvl w:val="0"/>
          <w:numId w:val="2"/>
        </w:numPr>
        <w:spacing w:after="80" w:line="300"/>
      </w:pPr>
      <w:r>
        <w:rPr>
          <w:rFonts w:ascii="Arial" w:cs="Arial" w:eastAsia="Arial" w:hAnsi="Arial"/>
          <w:color w:val="333333"/>
          <w:sz w:val="22"/>
          <w:szCs w:val="22"/>
        </w:rPr>
        <w:t xml:space="preserve">Guía de administración para el equipo interno de TI.</w:t>
      </w:r>
    </w:p>
    <w:p>
      <w:pPr>
        <w:pStyle w:val="ListParagraph"/>
        <w:numPr>
          <w:ilvl w:val="0"/>
          <w:numId w:val="2"/>
        </w:numPr>
        <w:spacing w:after="80" w:line="300"/>
      </w:pPr>
      <w:r>
        <w:rPr>
          <w:rFonts w:ascii="Arial" w:cs="Arial" w:eastAsia="Arial" w:hAnsi="Arial"/>
          <w:color w:val="333333"/>
          <w:sz w:val="22"/>
          <w:szCs w:val="22"/>
        </w:rPr>
        <w:t xml:space="preserve">Manual de usuario final con casos de uso y buenas prácticas para formular preguntas.</w:t>
      </w:r>
    </w:p>
    <w:p>
      <w:pPr>
        <w:pStyle w:val="Heading2"/>
        <w:spacing w:after="140" w:before="280"/>
      </w:pPr>
      <w:r>
        <w:rPr>
          <w:rFonts w:ascii="Arial" w:cs="Arial" w:eastAsia="Arial" w:hAnsi="Arial"/>
          <w:b/>
          <w:bCs/>
          <w:color w:val="107C10"/>
          <w:sz w:val="26"/>
          <w:szCs w:val="26"/>
        </w:rPr>
        <w:t xml:space="preserve">9.3 Transferencia de conocimiento</w:t>
      </w:r>
    </w:p>
    <w:p>
      <w:pPr>
        <w:pStyle w:val="ListParagraph"/>
        <w:numPr>
          <w:ilvl w:val="0"/>
          <w:numId w:val="2"/>
        </w:numPr>
        <w:spacing w:after="80" w:line="300"/>
      </w:pPr>
      <w:r>
        <w:rPr>
          <w:rFonts w:ascii="Arial" w:cs="Arial" w:eastAsia="Arial" w:hAnsi="Arial"/>
          <w:color w:val="333333"/>
          <w:sz w:val="22"/>
          <w:szCs w:val="22"/>
        </w:rPr>
        <w:t xml:space="preserve">Sesiones de capacitación (8-12 horas total) para el equipo técnico del cliente.</w:t>
      </w:r>
    </w:p>
    <w:p>
      <w:pPr>
        <w:pStyle w:val="ListParagraph"/>
        <w:numPr>
          <w:ilvl w:val="0"/>
          <w:numId w:val="2"/>
        </w:numPr>
        <w:spacing w:after="80" w:line="300"/>
      </w:pPr>
      <w:r>
        <w:rPr>
          <w:rFonts w:ascii="Arial" w:cs="Arial" w:eastAsia="Arial" w:hAnsi="Arial"/>
          <w:color w:val="333333"/>
          <w:sz w:val="22"/>
          <w:szCs w:val="22"/>
        </w:rPr>
        <w:t xml:space="preserve">Sesión introductoria (2 horas) para usuarios finales.</w:t>
      </w:r>
    </w:p>
    <w:p>
      <w:pPr>
        <w:pStyle w:val="ListParagraph"/>
        <w:numPr>
          <w:ilvl w:val="0"/>
          <w:numId w:val="2"/>
        </w:numPr>
        <w:spacing w:after="80" w:line="300"/>
      </w:pPr>
      <w:r>
        <w:rPr>
          <w:rFonts w:ascii="Arial" w:cs="Arial" w:eastAsia="Arial" w:hAnsi="Arial"/>
          <w:color w:val="333333"/>
          <w:sz w:val="22"/>
          <w:szCs w:val="22"/>
        </w:rPr>
        <w:t xml:space="preserve">Sesión ejecutiva (1 hora) para dirección y patrocinadores.</w:t>
      </w:r>
    </w:p>
    <w:p>
      <w:pPr>
        <w:pStyle w:val="ListParagraph"/>
        <w:numPr>
          <w:ilvl w:val="0"/>
          <w:numId w:val="2"/>
        </w:numPr>
        <w:spacing w:after="80" w:line="300"/>
      </w:pPr>
      <w:r>
        <w:rPr>
          <w:rFonts w:ascii="Arial" w:cs="Arial" w:eastAsia="Arial" w:hAnsi="Arial"/>
          <w:color w:val="333333"/>
          <w:sz w:val="22"/>
          <w:szCs w:val="22"/>
        </w:rPr>
        <w:t xml:space="preserve">Grabaciones de las sesiones disponibles para consulta posterior.</w:t>
      </w:r>
    </w:p>
    <w:p>
      <w:pPr>
        <w:pStyle w:val="ListParagraph"/>
        <w:numPr>
          <w:ilvl w:val="0"/>
          <w:numId w:val="2"/>
        </w:numPr>
        <w:spacing w:after="80" w:line="300"/>
      </w:pPr>
      <w:r>
        <w:rPr>
          <w:rFonts w:ascii="Arial" w:cs="Arial" w:eastAsia="Arial" w:hAnsi="Arial"/>
          <w:color w:val="333333"/>
          <w:sz w:val="22"/>
          <w:szCs w:val="22"/>
        </w:rPr>
        <w:t xml:space="preserve">Bolsa de horas de acompañamiento post go-live durante 4 semanas.</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10. Supuestos</w:t>
      </w:r>
    </w:p>
    <w:p>
      <w:pPr>
        <w:spacing w:after="120" w:before="0" w:line="300"/>
      </w:pPr>
      <w:r>
        <w:rPr>
          <w:rFonts w:ascii="Arial" w:cs="Arial" w:eastAsia="Arial" w:hAnsi="Arial"/>
          <w:color w:val="333333"/>
          <w:sz w:val="22"/>
          <w:szCs w:val="22"/>
        </w:rPr>
        <w:t xml:space="preserve">La presente propuesta se elabora bajo los siguientes supuestos. Cambios significativos en cualquiera de ellos pueden implicar ajustes en alcance, tiempo y costo.</w:t>
      </w:r>
    </w:p>
    <w:p>
      <w:pPr>
        <w:pStyle w:val="ListParagraph"/>
        <w:numPr>
          <w:ilvl w:val="0"/>
          <w:numId w:val="3"/>
        </w:numPr>
        <w:spacing w:after="80" w:line="300"/>
      </w:pPr>
      <w:r>
        <w:rPr>
          <w:rFonts w:ascii="Arial" w:cs="Arial" w:eastAsia="Arial" w:hAnsi="Arial"/>
          <w:color w:val="333333"/>
          <w:sz w:val="22"/>
          <w:szCs w:val="22"/>
        </w:rPr>
        <w:t xml:space="preserve">Super Naturista provee la suscripción de Azure con permisos suficientes y asume los costos de infraestructura en la nube; los costos indicados en la calculadora son referenciales.</w:t>
      </w:r>
    </w:p>
    <w:p>
      <w:pPr>
        <w:pStyle w:val="ListParagraph"/>
        <w:numPr>
          <w:ilvl w:val="0"/>
          <w:numId w:val="3"/>
        </w:numPr>
        <w:spacing w:after="80" w:line="300"/>
      </w:pPr>
      <w:r>
        <w:rPr>
          <w:rFonts w:ascii="Arial" w:cs="Arial" w:eastAsia="Arial" w:hAnsi="Arial"/>
          <w:color w:val="333333"/>
          <w:sz w:val="22"/>
          <w:szCs w:val="22"/>
        </w:rPr>
        <w:t xml:space="preserve">La solicitud de cuota de Azure OpenAI se atiende en los tiempos habituales de Microsoft (1 a 5 días hábiles). Retrasos mayores impactan el cronograma.</w:t>
      </w:r>
    </w:p>
    <w:p>
      <w:pPr>
        <w:pStyle w:val="ListParagraph"/>
        <w:numPr>
          <w:ilvl w:val="0"/>
          <w:numId w:val="3"/>
        </w:numPr>
        <w:spacing w:after="80" w:line="300"/>
      </w:pPr>
      <w:r>
        <w:rPr>
          <w:rFonts w:ascii="Arial" w:cs="Arial" w:eastAsia="Arial" w:hAnsi="Arial"/>
          <w:color w:val="333333"/>
          <w:sz w:val="22"/>
          <w:szCs w:val="22"/>
        </w:rPr>
        <w:t xml:space="preserve">El acceso al SQL Server del ERP se concede en modo lectura sobre las tablas requeridas, dentro de las primeras dos semanas del proyecto.</w:t>
      </w:r>
    </w:p>
    <w:p>
      <w:pPr>
        <w:pStyle w:val="ListParagraph"/>
        <w:numPr>
          <w:ilvl w:val="0"/>
          <w:numId w:val="3"/>
        </w:numPr>
        <w:spacing w:after="80" w:line="300"/>
      </w:pPr>
      <w:r>
        <w:rPr>
          <w:rFonts w:ascii="Arial" w:cs="Arial" w:eastAsia="Arial" w:hAnsi="Arial"/>
          <w:color w:val="333333"/>
          <w:sz w:val="22"/>
          <w:szCs w:val="22"/>
        </w:rPr>
        <w:t xml:space="preserve">Los documentos de muestra provistos por el cliente son representativos de los formatos reales que se manejarán en producción.</w:t>
      </w:r>
    </w:p>
    <w:p>
      <w:pPr>
        <w:pStyle w:val="ListParagraph"/>
        <w:numPr>
          <w:ilvl w:val="0"/>
          <w:numId w:val="3"/>
        </w:numPr>
        <w:spacing w:after="80" w:line="300"/>
      </w:pPr>
      <w:r>
        <w:rPr>
          <w:rFonts w:ascii="Arial" w:cs="Arial" w:eastAsia="Arial" w:hAnsi="Arial"/>
          <w:color w:val="333333"/>
          <w:sz w:val="22"/>
          <w:szCs w:val="22"/>
        </w:rPr>
        <w:t xml:space="preserve">El cliente designa formalmente al Product Owner y a los usuarios piloto en la primera semana del proyecto.</w:t>
      </w:r>
    </w:p>
    <w:p>
      <w:pPr>
        <w:pStyle w:val="ListParagraph"/>
        <w:numPr>
          <w:ilvl w:val="0"/>
          <w:numId w:val="3"/>
        </w:numPr>
        <w:spacing w:after="80" w:line="300"/>
      </w:pPr>
      <w:r>
        <w:rPr>
          <w:rFonts w:ascii="Arial" w:cs="Arial" w:eastAsia="Arial" w:hAnsi="Arial"/>
          <w:color w:val="333333"/>
          <w:sz w:val="22"/>
          <w:szCs w:val="22"/>
        </w:rPr>
        <w:t xml:space="preserve">Los usuarios piloto asignan el tiempo comprometido para participar en pruebas y validaciones (~2-3 horas por semana durante las últimas 3 semanas).</w:t>
      </w:r>
    </w:p>
    <w:p>
      <w:pPr>
        <w:pStyle w:val="ListParagraph"/>
        <w:numPr>
          <w:ilvl w:val="0"/>
          <w:numId w:val="3"/>
        </w:numPr>
        <w:spacing w:after="80" w:line="300"/>
      </w:pPr>
      <w:r>
        <w:rPr>
          <w:rFonts w:ascii="Arial" w:cs="Arial" w:eastAsia="Arial" w:hAnsi="Arial"/>
          <w:color w:val="333333"/>
          <w:sz w:val="22"/>
          <w:szCs w:val="22"/>
        </w:rPr>
        <w:t xml:space="preserve">La calidad de los datos en el ERP es suficiente para el piloto; no se contempla un proyecto de saneamiento de datos históricos.</w:t>
      </w:r>
    </w:p>
    <w:p>
      <w:pPr>
        <w:pStyle w:val="ListParagraph"/>
        <w:numPr>
          <w:ilvl w:val="0"/>
          <w:numId w:val="3"/>
        </w:numPr>
        <w:spacing w:after="80" w:line="300"/>
      </w:pPr>
      <w:r>
        <w:rPr>
          <w:rFonts w:ascii="Arial" w:cs="Arial" w:eastAsia="Arial" w:hAnsi="Arial"/>
          <w:color w:val="333333"/>
          <w:sz w:val="22"/>
          <w:szCs w:val="22"/>
        </w:rPr>
        <w:t xml:space="preserve">Se acepta que en las primeras semanas hay iteración de prompts y ajustes al comportamiento del asistente; esto forma parte natural del proyecto.</w:t>
      </w:r>
    </w:p>
    <w:p>
      <w:pPr>
        <w:pStyle w:val="ListParagraph"/>
        <w:numPr>
          <w:ilvl w:val="0"/>
          <w:numId w:val="3"/>
        </w:numPr>
        <w:spacing w:after="80" w:line="300"/>
      </w:pPr>
      <w:r>
        <w:rPr>
          <w:rFonts w:ascii="Arial" w:cs="Arial" w:eastAsia="Arial" w:hAnsi="Arial"/>
          <w:color w:val="333333"/>
          <w:sz w:val="22"/>
          <w:szCs w:val="22"/>
        </w:rPr>
        <w:t xml:space="preserve">Las respuestas del asistente se apoyan en los datos disponibles; el asistente no inventa información fuera de su base de conocimiento y así lo declara cuando corresponde.</w:t>
      </w:r>
    </w:p>
    <w:p>
      <w:pPr>
        <w:pStyle w:val="ListParagraph"/>
        <w:numPr>
          <w:ilvl w:val="0"/>
          <w:numId w:val="3"/>
        </w:numPr>
        <w:spacing w:after="80" w:line="300"/>
      </w:pPr>
      <w:r>
        <w:rPr>
          <w:rFonts w:ascii="Arial" w:cs="Arial" w:eastAsia="Arial" w:hAnsi="Arial"/>
          <w:color w:val="333333"/>
          <w:sz w:val="22"/>
          <w:szCs w:val="22"/>
        </w:rPr>
        <w:t xml:space="preserve">El cliente acepta que Azure OpenAI aplica filtros de contenido responsables (Content Safety) que pueden ocasionalmente rechazar contenido legítimo; se ajustan los umbrales durante el piloto.</w:t>
      </w:r>
    </w:p>
    <w:p>
      <w:pPr>
        <w:pStyle w:val="ListParagraph"/>
        <w:numPr>
          <w:ilvl w:val="0"/>
          <w:numId w:val="3"/>
        </w:numPr>
        <w:spacing w:after="80" w:line="300"/>
      </w:pPr>
      <w:r>
        <w:rPr>
          <w:rFonts w:ascii="Arial" w:cs="Arial" w:eastAsia="Arial" w:hAnsi="Arial"/>
          <w:color w:val="333333"/>
          <w:sz w:val="22"/>
          <w:szCs w:val="22"/>
        </w:rPr>
        <w:t xml:space="preserve">La política de manejo de datos y de acceso al asistente es definida y aprobada por el cliente durante la primera fase.</w:t>
      </w:r>
    </w:p>
    <w:p>
      <w:pPr>
        <w:pStyle w:val="ListParagraph"/>
        <w:numPr>
          <w:ilvl w:val="0"/>
          <w:numId w:val="3"/>
        </w:numPr>
        <w:spacing w:after="80" w:line="300"/>
      </w:pPr>
      <w:r>
        <w:rPr>
          <w:rFonts w:ascii="Arial" w:cs="Arial" w:eastAsia="Arial" w:hAnsi="Arial"/>
          <w:color w:val="333333"/>
          <w:sz w:val="22"/>
          <w:szCs w:val="22"/>
        </w:rPr>
        <w:t xml:space="preserve">El personal técnico del cliente asignado al proyecto tiene conocimientos básicos de Azure; si se requiere capacitación adicional se acordará por separado.</w:t>
      </w:r>
    </w:p>
    <w:p>
      <w:pPr>
        <w:pStyle w:val="ListParagraph"/>
        <w:numPr>
          <w:ilvl w:val="0"/>
          <w:numId w:val="3"/>
        </w:numPr>
        <w:spacing w:after="80" w:line="300"/>
      </w:pPr>
      <w:r>
        <w:rPr>
          <w:rFonts w:ascii="Arial" w:cs="Arial" w:eastAsia="Arial" w:hAnsi="Arial"/>
          <w:color w:val="333333"/>
          <w:sz w:val="22"/>
          <w:szCs w:val="22"/>
        </w:rPr>
        <w:t xml:space="preserve">El proyecto se ejecuta bajo modalidad remota principalmente, con visitas presenciales acordadas si son necesarias.</w:t>
      </w:r>
    </w:p>
    <w:p>
      <w:pPr>
        <w:pStyle w:val="ListParagraph"/>
        <w:numPr>
          <w:ilvl w:val="0"/>
          <w:numId w:val="3"/>
        </w:numPr>
        <w:spacing w:after="80" w:line="300"/>
      </w:pPr>
      <w:r>
        <w:rPr>
          <w:rFonts w:ascii="Arial" w:cs="Arial" w:eastAsia="Arial" w:hAnsi="Arial"/>
          <w:color w:val="333333"/>
          <w:sz w:val="22"/>
          <w:szCs w:val="22"/>
        </w:rPr>
        <w:t xml:space="preserve">El cliente responde retroalimentación en un plazo máximo de 3 días hábiles para no impactar el ritmo del proyecto.</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11. Estimación de Costos Azure</w:t>
      </w:r>
    </w:p>
    <w:p>
      <w:pPr>
        <w:spacing w:after="120" w:before="0" w:line="300"/>
      </w:pPr>
      <w:r>
        <w:rPr>
          <w:rFonts w:ascii="Arial" w:cs="Arial" w:eastAsia="Arial" w:hAnsi="Arial"/>
          <w:color w:val="333333"/>
          <w:sz w:val="22"/>
          <w:szCs w:val="22"/>
        </w:rPr>
        <w:t xml:space="preserve">A continuación se presenta la estimación de costos de la infraestructura Azure para tres escenarios. Los costos son referenciales, en dólares americanos, con precios de junio 2026 en despliegue Global Standard PAYG.</w:t>
      </w:r>
    </w:p>
    <w:p>
      <w:pPr>
        <w:pStyle w:val="Heading2"/>
        <w:spacing w:after="140" w:before="280"/>
      </w:pPr>
      <w:r>
        <w:rPr>
          <w:rFonts w:ascii="Arial" w:cs="Arial" w:eastAsia="Arial" w:hAnsi="Arial"/>
          <w:b/>
          <w:bCs/>
          <w:color w:val="107C10"/>
          <w:sz w:val="26"/>
          <w:szCs w:val="26"/>
        </w:rPr>
        <w:t xml:space="preserve">11.1 Precios de referencia (Azure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Modelo</w:t>
            </w:r>
          </w:p>
        </w:tc>
        <w:tc>
          <w:tcPr>
            <w:tcW w:type="dxa" w:w="24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Entrada (por 1M tokens)</w:t>
            </w:r>
          </w:p>
        </w:tc>
        <w:tc>
          <w:tcPr>
            <w:tcW w:type="dxa" w:w="228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Salida (por 1M tokens)</w:t>
            </w:r>
          </w:p>
        </w:tc>
        <w:tc>
          <w:tcPr>
            <w:tcW w:type="dxa" w:w="228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Uso típico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GPT-4o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$2.50</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$10.00</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Respuestas al usuario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GPT-4o mini</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$0.15</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$0.60</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Clasificación, extracción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text-embedding-3-large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$0.13</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n/a</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Vectorización de documentos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text-embedding-3-small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$0.02</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n/a</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Vectorización económica</w:t>
            </w:r>
          </w:p>
        </w:tc>
      </w:tr>
    </w:tbl>
    <w:p>
      <w:pPr>
        <w:spacing w:after="200"/>
      </w:pPr>
      <w:r>
        <w:t xml:space="preserve"/>
      </w:r>
    </w:p>
    <w:p>
      <w:pPr>
        <w:pStyle w:val="Heading2"/>
        <w:spacing w:after="140" w:before="280"/>
      </w:pPr>
      <w:r>
        <w:rPr>
          <w:rFonts w:ascii="Arial" w:cs="Arial" w:eastAsia="Arial" w:hAnsi="Arial"/>
          <w:b/>
          <w:bCs/>
          <w:color w:val="107C10"/>
          <w:sz w:val="26"/>
          <w:szCs w:val="26"/>
        </w:rPr>
        <w:t xml:space="preserve">11.2 Precios de referencia (Azure AI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Precio mensual aprox.</w:t>
            </w:r>
          </w:p>
        </w:tc>
        <w:tc>
          <w:tcPr>
            <w:tcW w:type="dxa" w:w="20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Almacenamiento</w:t>
            </w:r>
          </w:p>
        </w:tc>
        <w:tc>
          <w:tcPr>
            <w:tcW w:type="dxa" w:w="33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Uso típico</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Free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$0</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50 MB</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Demos y pruebas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Basic</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~$75</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15 GB</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Piloto y proyectos pequeños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Standard S1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~$250</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160 GB por SU</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Producción para PyMEs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Standard S2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~$1,000</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2 TB por SU</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Volumen alto de datos</w:t>
            </w:r>
          </w:p>
        </w:tc>
      </w:tr>
    </w:tbl>
    <w:p>
      <w:pPr>
        <w:spacing w:after="200"/>
      </w:pPr>
      <w:r>
        <w:t xml:space="preserve"/>
      </w:r>
    </w:p>
    <w:p>
      <w:pPr>
        <w:pStyle w:val="Heading2"/>
        <w:spacing w:after="140" w:before="280"/>
      </w:pPr>
      <w:r>
        <w:rPr>
          <w:rFonts w:ascii="Arial" w:cs="Arial" w:eastAsia="Arial" w:hAnsi="Arial"/>
          <w:b/>
          <w:bCs/>
          <w:color w:val="107C10"/>
          <w:sz w:val="26"/>
          <w:szCs w:val="26"/>
        </w:rPr>
        <w:t xml:space="preserve">11.3 Escenarios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980"/>
        <w:gridCol w:w="1980"/>
      </w:tblGrid>
      <w:tr>
        <w:tc>
          <w:tcPr>
            <w:tcW w:type="dxa" w:w="18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Escenario</w:t>
            </w:r>
          </w:p>
        </w:tc>
        <w:tc>
          <w:tcPr>
            <w:tcW w:type="dxa" w:w="36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Configuración</w:t>
            </w:r>
          </w:p>
        </w:tc>
        <w:tc>
          <w:tcPr>
            <w:tcW w:type="dxa" w:w="198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Costo mensual</w:t>
            </w:r>
          </w:p>
        </w:tc>
        <w:tc>
          <w:tcPr>
            <w:tcW w:type="dxa" w:w="198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Costo anual</w:t>
            </w:r>
          </w:p>
        </w:tc>
      </w:tr>
      <w:tr>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Piloto</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GPT-4o mini + GPT-4o (uso limitado), AI Search Basic, Data Lake pequeño, ~4M tokens/mes.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~$290 - 550</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~$3,500 - 6,600</w:t>
            </w:r>
          </w:p>
        </w:tc>
      </w:tr>
      <w:tr>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Producción Inicial</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Mezcla GPT-4o + mini, AI Search S1, Data Lake, monitoreo completo, ~40M tokens/mes.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~$1,900 - 3,000</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~$22,800 - 36,000</w:t>
            </w:r>
          </w:p>
        </w:tc>
      </w:tr>
      <w:tr>
        <w:tc>
          <w:tcPr>
            <w:tcW w:type="dxa" w:w="1800"/>
            <w:tcBorders>
              <w:top w:val="single" w:color="CCCCCC" w:sz="4"/>
              <w:left w:val="single" w:color="CCCCCC" w:sz="4"/>
              <w:bottom w:val="single" w:color="CCCCCC" w:sz="4"/>
              <w:right w:val="single" w:color="CCCCCC" w:sz="4"/>
            </w:tcBorders>
            <w:shd w:fill="F3F4F6" w:val="clear"/>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Producción a Escala</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Uso intensivo con routing GPT-4o/mini, AI Search S2, ~180M tokens/mes o PTU parcial, Content Safety, Purview.</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~$4,800 - 9,000</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b/>
                <w:bCs/>
                <w:color w:val="333333"/>
                <w:sz w:val="20"/>
                <w:szCs w:val="20"/>
              </w:rPr>
              <w:t xml:space="preserve">~$57,600 - 108,000</w:t>
            </w:r>
          </w:p>
        </w:tc>
      </w:tr>
    </w:tbl>
    <w:p>
      <w:pPr>
        <w:spacing w:after="200"/>
      </w:pPr>
      <w:r>
        <w:t xml:space="preserve"/>
      </w:r>
    </w:p>
    <w:p>
      <w:pPr>
        <w:spacing w:after="120" w:before="0" w:line="300"/>
      </w:pPr>
      <w:r>
        <w:rPr>
          <w:rFonts w:ascii="Arial" w:cs="Arial" w:eastAsia="Arial" w:hAnsi="Arial"/>
          <w:i/>
          <w:iCs/>
          <w:color w:val="333333"/>
          <w:sz w:val="22"/>
          <w:szCs w:val="22"/>
        </w:rPr>
        <w:t xml:space="preserve">El detalle desglosado por componente y las fórmulas parametrizadas se entregan en el archivo complementario "Calculadora Azure OpenAI — Super Naturista.xlsx". Los rangos reflejan la variabilidad natural del consumo por token: con buen diseño de prompts, cacheo y routing entre modelos, el costo se ubica en la banda baja del rango; con prompts extensos, respuestas verbosas y ausencia de caché, se acerca a la banda alta.</w:t>
      </w:r>
    </w:p>
    <w:p>
      <w:pPr>
        <w:pStyle w:val="Heading2"/>
        <w:spacing w:after="140" w:before="280"/>
      </w:pPr>
      <w:r>
        <w:rPr>
          <w:rFonts w:ascii="Arial" w:cs="Arial" w:eastAsia="Arial" w:hAnsi="Arial"/>
          <w:b/>
          <w:bCs/>
          <w:color w:val="107C10"/>
          <w:sz w:val="26"/>
          <w:szCs w:val="26"/>
        </w:rPr>
        <w:t xml:space="preserve">11.4 Palancas de optimización de costo</w:t>
      </w:r>
    </w:p>
    <w:p>
      <w:pPr>
        <w:pStyle w:val="ListParagraph"/>
        <w:numPr>
          <w:ilvl w:val="0"/>
          <w:numId w:val="2"/>
        </w:numPr>
        <w:spacing w:after="80" w:line="300"/>
      </w:pPr>
      <w:r>
        <w:rPr>
          <w:rFonts w:ascii="Arial" w:cs="Arial" w:eastAsia="Arial" w:hAnsi="Arial"/>
          <w:b/>
          <w:bCs/>
          <w:color w:val="333333"/>
          <w:sz w:val="22"/>
          <w:szCs w:val="22"/>
        </w:rPr>
        <w:t xml:space="preserve">Routing de modelos: </w:t>
      </w:r>
      <w:r>
        <w:rPr>
          <w:rFonts w:ascii="Arial" w:cs="Arial" w:eastAsia="Arial" w:hAnsi="Arial"/>
          <w:color w:val="333333"/>
          <w:sz w:val="22"/>
          <w:szCs w:val="22"/>
        </w:rPr>
        <w:t xml:space="preserve">enviar tareas simples (clasificación, extracción) a GPT-4o mini y solo las respuestas al usuario final a GPT-4o. Ahorro típico: 40-70%.</w:t>
      </w:r>
    </w:p>
    <w:p>
      <w:pPr>
        <w:pStyle w:val="ListParagraph"/>
        <w:numPr>
          <w:ilvl w:val="0"/>
          <w:numId w:val="2"/>
        </w:numPr>
        <w:spacing w:after="80" w:line="300"/>
      </w:pPr>
      <w:r>
        <w:rPr>
          <w:rFonts w:ascii="Arial" w:cs="Arial" w:eastAsia="Arial" w:hAnsi="Arial"/>
          <w:b/>
          <w:bCs/>
          <w:color w:val="333333"/>
          <w:sz w:val="22"/>
          <w:szCs w:val="22"/>
        </w:rPr>
        <w:t xml:space="preserve">Prompt caching: </w:t>
      </w:r>
      <w:r>
        <w:rPr>
          <w:rFonts w:ascii="Arial" w:cs="Arial" w:eastAsia="Arial" w:hAnsi="Arial"/>
          <w:color w:val="333333"/>
          <w:sz w:val="22"/>
          <w:szCs w:val="22"/>
        </w:rPr>
        <w:t xml:space="preserve">Azure OpenAI descuenta 50-90% los tokens de entrada que se repiten en llamadas consecutivas. Normalizar el prompt de sistema y few-shots para maximizar cache hits.</w:t>
      </w:r>
    </w:p>
    <w:p>
      <w:pPr>
        <w:pStyle w:val="ListParagraph"/>
        <w:numPr>
          <w:ilvl w:val="0"/>
          <w:numId w:val="2"/>
        </w:numPr>
        <w:spacing w:after="80" w:line="300"/>
      </w:pPr>
      <w:r>
        <w:rPr>
          <w:rFonts w:ascii="Arial" w:cs="Arial" w:eastAsia="Arial" w:hAnsi="Arial"/>
          <w:b/>
          <w:bCs/>
          <w:color w:val="333333"/>
          <w:sz w:val="22"/>
          <w:szCs w:val="22"/>
        </w:rPr>
        <w:t xml:space="preserve">Límite de output tokens: </w:t>
      </w:r>
      <w:r>
        <w:rPr>
          <w:rFonts w:ascii="Arial" w:cs="Arial" w:eastAsia="Arial" w:hAnsi="Arial"/>
          <w:color w:val="333333"/>
          <w:sz w:val="22"/>
          <w:szCs w:val="22"/>
        </w:rPr>
        <w:t xml:space="preserve">los tokens de salida cuestan 4 veces más que los de entrada. Instruir al modelo para ser conciso y usar max_tokens.</w:t>
      </w:r>
    </w:p>
    <w:p>
      <w:pPr>
        <w:pStyle w:val="ListParagraph"/>
        <w:numPr>
          <w:ilvl w:val="0"/>
          <w:numId w:val="2"/>
        </w:numPr>
        <w:spacing w:after="80" w:line="300"/>
      </w:pPr>
      <w:r>
        <w:rPr>
          <w:rFonts w:ascii="Arial" w:cs="Arial" w:eastAsia="Arial" w:hAnsi="Arial"/>
          <w:b/>
          <w:bCs/>
          <w:color w:val="333333"/>
          <w:sz w:val="22"/>
          <w:szCs w:val="22"/>
        </w:rPr>
        <w:t xml:space="preserve">Batch API: </w:t>
      </w:r>
      <w:r>
        <w:rPr>
          <w:rFonts w:ascii="Arial" w:cs="Arial" w:eastAsia="Arial" w:hAnsi="Arial"/>
          <w:color w:val="333333"/>
          <w:sz w:val="22"/>
          <w:szCs w:val="22"/>
        </w:rPr>
        <w:t xml:space="preserve">para procesamientos asincrónicos (documentos masivos), 50% de descuento sobre el precio estándar.</w:t>
      </w:r>
    </w:p>
    <w:p>
      <w:pPr>
        <w:pStyle w:val="ListParagraph"/>
        <w:numPr>
          <w:ilvl w:val="0"/>
          <w:numId w:val="2"/>
        </w:numPr>
        <w:spacing w:after="80" w:line="300"/>
      </w:pPr>
      <w:r>
        <w:rPr>
          <w:rFonts w:ascii="Arial" w:cs="Arial" w:eastAsia="Arial" w:hAnsi="Arial"/>
          <w:b/>
          <w:bCs/>
          <w:color w:val="333333"/>
          <w:sz w:val="22"/>
          <w:szCs w:val="22"/>
        </w:rPr>
        <w:t xml:space="preserve">PTU cuando corresponda: </w:t>
      </w:r>
      <w:r>
        <w:rPr>
          <w:rFonts w:ascii="Arial" w:cs="Arial" w:eastAsia="Arial" w:hAnsi="Arial"/>
          <w:color w:val="333333"/>
          <w:sz w:val="22"/>
          <w:szCs w:val="22"/>
        </w:rPr>
        <w:t xml:space="preserve">a partir de ~150M tokens/mes sostenidos en GPT-4o, PTU sale más económico y ofrece latencia predecible.</w:t>
      </w:r>
    </w:p>
    <w:p>
      <w:pPr>
        <w:pStyle w:val="ListParagraph"/>
        <w:numPr>
          <w:ilvl w:val="0"/>
          <w:numId w:val="2"/>
        </w:numPr>
        <w:spacing w:after="80" w:line="300"/>
      </w:pPr>
      <w:r>
        <w:rPr>
          <w:rFonts w:ascii="Arial" w:cs="Arial" w:eastAsia="Arial" w:hAnsi="Arial"/>
          <w:b/>
          <w:bCs/>
          <w:color w:val="333333"/>
          <w:sz w:val="22"/>
          <w:szCs w:val="22"/>
        </w:rPr>
        <w:t xml:space="preserve">Presupuestos y alertas: </w:t>
      </w:r>
      <w:r>
        <w:rPr>
          <w:rFonts w:ascii="Arial" w:cs="Arial" w:eastAsia="Arial" w:hAnsi="Arial"/>
          <w:color w:val="333333"/>
          <w:sz w:val="22"/>
          <w:szCs w:val="22"/>
        </w:rPr>
        <w:t xml:space="preserve">Azure Cost Management con alertas al 50%, 75% y 100% del budget mensual.</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12.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Riesgo</w:t>
            </w:r>
          </w:p>
        </w:tc>
        <w:tc>
          <w:tcPr>
            <w:tcW w:type="dxa" w:w="160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Impacto</w:t>
            </w:r>
          </w:p>
        </w:tc>
        <w:tc>
          <w:tcPr>
            <w:tcW w:type="dxa" w:w="5160"/>
            <w:tcBorders>
              <w:top w:val="single" w:color="CCCCCC" w:sz="4"/>
              <w:left w:val="single" w:color="CCCCCC" w:sz="4"/>
              <w:bottom w:val="single" w:color="CCCCCC" w:sz="4"/>
              <w:right w:val="single" w:color="CCCCCC" w:sz="4"/>
            </w:tcBorders>
            <w:shd w:fill="0F6CBD" w:val="clear"/>
            <w:tcMar>
              <w:top w:type="dxa" w:w="100"/>
              <w:left w:type="dxa" w:w="140"/>
              <w:bottom w:type="dxa" w:w="100"/>
              <w:right w:type="dxa" w:w="140"/>
            </w:tcMar>
            <w:vAlign w:val="center"/>
          </w:tcPr>
          <w:p>
            <w:pPr>
              <w:spacing w:after="0" w:line="280"/>
              <w:jc w:val="center"/>
            </w:pPr>
            <w:r>
              <w:rPr>
                <w:rFonts w:ascii="Arial" w:cs="Arial" w:eastAsia="Arial" w:hAnsi="Arial"/>
                <w:b/>
                <w:bCs/>
                <w:color w:val="FFFFFF"/>
                <w:sz w:val="20"/>
                <w:szCs w:val="20"/>
              </w:rPr>
              <w:t xml:space="preserve">Mitigación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Alucinaciones del modelo (respuestas inventadas)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C2410C"/>
                <w:sz w:val="20"/>
                <w:szCs w:val="20"/>
              </w:rPr>
              <w:t xml:space="preserve">Alto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RAG estricto: el modelo responde solo con base en el contexto recuperado. Instrucciones de "di que no sabes si no está en las fuentes". Set de evaluación con casos difíciles.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Costos por token fuera de control</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C2410C"/>
                <w:sz w:val="20"/>
                <w:szCs w:val="20"/>
              </w:rPr>
              <w:t xml:space="preserve">Alto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Budgets con alertas, límite por usuario/día, routing entre modelos, prompt caching, dashboards de costo por caso de uso.</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Prompt injection (intento de manipular al modelo)</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Medio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Content Safety, separación estricta entre instrucciones del sistema y datos, validación de salidas, autenticación de usuarios.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Fuga de información sensible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C2410C"/>
                <w:sz w:val="20"/>
                <w:szCs w:val="20"/>
              </w:rPr>
              <w:t xml:space="preserve">Alto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Private Endpoints, cifrado en tránsito y reposo, sin fine-tuning con datos sensibles, RBAC estricto, mascaramiento de PII.</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Baja adopción por usuarios finales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Medio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Involucrar a usuarios desde semana 1, iterar con retroalimentación, capacitación práctica, comunicar valor con casos concretos.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Retraso en la aprobación de cuota Azure OpenAI</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Medio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Solicitar cuota al inicio del proyecto. Escalar con Microsoft si hay demoras. Trabajar en paralelo en fundación mientras se espera.</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Calidad de datos en el ERP</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Medio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Data steward valida definiciones. Documentar limitaciones. Priorizar tablas maestras limpias para el piloto.</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b/>
                <w:bCs/>
                <w:color w:val="333333"/>
                <w:sz w:val="20"/>
                <w:szCs w:val="20"/>
              </w:rPr>
              <w:t xml:space="preserve">Cambio en precios de Azure OpenAI</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jc w:val="center"/>
            </w:pPr>
            <w:r>
              <w:rPr>
                <w:rFonts w:ascii="Arial" w:cs="Arial" w:eastAsia="Arial" w:hAnsi="Arial"/>
                <w:color w:val="333333"/>
                <w:sz w:val="20"/>
                <w:szCs w:val="20"/>
              </w:rPr>
              <w:t xml:space="preserve">Bajo</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line="280"/>
            </w:pPr>
            <w:r>
              <w:rPr>
                <w:rFonts w:ascii="Arial" w:cs="Arial" w:eastAsia="Arial" w:hAnsi="Arial"/>
                <w:color w:val="333333"/>
                <w:sz w:val="20"/>
                <w:szCs w:val="20"/>
              </w:rPr>
              <w:t xml:space="preserve">Microsoft ha reducido precios de forma sostenida. Se monitorea en Azure Pricing y se ajusta la calculadora. Los rangos ya reflejan variabilidad.</w:t>
            </w:r>
          </w:p>
        </w:tc>
      </w:tr>
    </w:tbl>
    <w:p>
      <w:pPr>
        <w:spacing w:after="200"/>
      </w:pPr>
      <w:r>
        <w:t xml:space="preserve"/>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13. Beneficios Esperados</w:t>
      </w:r>
    </w:p>
    <w:p>
      <w:pPr>
        <w:pStyle w:val="Heading2"/>
        <w:spacing w:after="140" w:before="280"/>
      </w:pPr>
      <w:r>
        <w:rPr>
          <w:rFonts w:ascii="Arial" w:cs="Arial" w:eastAsia="Arial" w:hAnsi="Arial"/>
          <w:b/>
          <w:bCs/>
          <w:color w:val="107C10"/>
          <w:sz w:val="26"/>
          <w:szCs w:val="26"/>
        </w:rPr>
        <w:t xml:space="preserve">13.1 Beneficios cuantitativos</w:t>
      </w:r>
    </w:p>
    <w:p>
      <w:pPr>
        <w:pStyle w:val="ListParagraph"/>
        <w:numPr>
          <w:ilvl w:val="0"/>
          <w:numId w:val="2"/>
        </w:numPr>
        <w:spacing w:after="80" w:line="300"/>
      </w:pPr>
      <w:r>
        <w:rPr>
          <w:rFonts w:ascii="Arial" w:cs="Arial" w:eastAsia="Arial" w:hAnsi="Arial"/>
          <w:b/>
          <w:bCs/>
          <w:color w:val="333333"/>
          <w:sz w:val="22"/>
          <w:szCs w:val="22"/>
        </w:rPr>
        <w:t xml:space="preserve">Reducción del tiempo para obtener información: </w:t>
      </w:r>
      <w:r>
        <w:rPr>
          <w:rFonts w:ascii="Arial" w:cs="Arial" w:eastAsia="Arial" w:hAnsi="Arial"/>
          <w:color w:val="333333"/>
          <w:sz w:val="22"/>
          <w:szCs w:val="22"/>
        </w:rPr>
        <w:t xml:space="preserve">de días u horas a segundos para preguntas típicas de negocio.</w:t>
      </w:r>
    </w:p>
    <w:p>
      <w:pPr>
        <w:pStyle w:val="ListParagraph"/>
        <w:numPr>
          <w:ilvl w:val="0"/>
          <w:numId w:val="2"/>
        </w:numPr>
        <w:spacing w:after="80" w:line="300"/>
      </w:pPr>
      <w:r>
        <w:rPr>
          <w:rFonts w:ascii="Arial" w:cs="Arial" w:eastAsia="Arial" w:hAnsi="Arial"/>
          <w:b/>
          <w:bCs/>
          <w:color w:val="333333"/>
          <w:sz w:val="22"/>
          <w:szCs w:val="22"/>
        </w:rPr>
        <w:t xml:space="preserve">Reducción del tiempo de captura de catálogos de proveedores: </w:t>
      </w:r>
      <w:r>
        <w:rPr>
          <w:rFonts w:ascii="Arial" w:cs="Arial" w:eastAsia="Arial" w:hAnsi="Arial"/>
          <w:color w:val="333333"/>
          <w:sz w:val="22"/>
          <w:szCs w:val="22"/>
        </w:rPr>
        <w:t xml:space="preserve">hasta 70-80% para documentos con formato consistente.</w:t>
      </w:r>
    </w:p>
    <w:p>
      <w:pPr>
        <w:pStyle w:val="ListParagraph"/>
        <w:numPr>
          <w:ilvl w:val="0"/>
          <w:numId w:val="2"/>
        </w:numPr>
        <w:spacing w:after="80" w:line="300"/>
      </w:pPr>
      <w:r>
        <w:rPr>
          <w:rFonts w:ascii="Arial" w:cs="Arial" w:eastAsia="Arial" w:hAnsi="Arial"/>
          <w:b/>
          <w:bCs/>
          <w:color w:val="333333"/>
          <w:sz w:val="22"/>
          <w:szCs w:val="22"/>
        </w:rPr>
        <w:t xml:space="preserve">Liberación de horas del equipo de TI: </w:t>
      </w:r>
      <w:r>
        <w:rPr>
          <w:rFonts w:ascii="Arial" w:cs="Arial" w:eastAsia="Arial" w:hAnsi="Arial"/>
          <w:color w:val="333333"/>
          <w:sz w:val="22"/>
          <w:szCs w:val="22"/>
        </w:rPr>
        <w:t xml:space="preserve">estimado 15-30% menos solicitudes de reportes ad-hoc por parte del área comercial y de compras.</w:t>
      </w:r>
    </w:p>
    <w:p>
      <w:pPr>
        <w:pStyle w:val="ListParagraph"/>
        <w:numPr>
          <w:ilvl w:val="0"/>
          <w:numId w:val="2"/>
        </w:numPr>
        <w:spacing w:after="80" w:line="300"/>
      </w:pPr>
      <w:r>
        <w:rPr>
          <w:rFonts w:ascii="Arial" w:cs="Arial" w:eastAsia="Arial" w:hAnsi="Arial"/>
          <w:b/>
          <w:bCs/>
          <w:color w:val="333333"/>
          <w:sz w:val="22"/>
          <w:szCs w:val="22"/>
        </w:rPr>
        <w:t xml:space="preserve">Mejor rotación de inventario: </w:t>
      </w:r>
      <w:r>
        <w:rPr>
          <w:rFonts w:ascii="Arial" w:cs="Arial" w:eastAsia="Arial" w:hAnsi="Arial"/>
          <w:color w:val="333333"/>
          <w:sz w:val="22"/>
          <w:szCs w:val="22"/>
        </w:rPr>
        <w:t xml:space="preserve">con recomendaciones fundamentadas se busca reducir productos con sobre-stock y quiebres de stock, con impacto en el capital de trabajo y en ventas perdidas.</w:t>
      </w:r>
    </w:p>
    <w:p>
      <w:pPr>
        <w:pStyle w:val="Heading2"/>
        <w:spacing w:after="140" w:before="280"/>
      </w:pPr>
      <w:r>
        <w:rPr>
          <w:rFonts w:ascii="Arial" w:cs="Arial" w:eastAsia="Arial" w:hAnsi="Arial"/>
          <w:b/>
          <w:bCs/>
          <w:color w:val="107C10"/>
          <w:sz w:val="26"/>
          <w:szCs w:val="26"/>
        </w:rPr>
        <w:t xml:space="preserve">13.2 Beneficios cualitativos</w:t>
      </w:r>
    </w:p>
    <w:p>
      <w:pPr>
        <w:pStyle w:val="ListParagraph"/>
        <w:numPr>
          <w:ilvl w:val="0"/>
          <w:numId w:val="2"/>
        </w:numPr>
        <w:spacing w:after="80" w:line="300"/>
      </w:pPr>
      <w:r>
        <w:rPr>
          <w:rFonts w:ascii="Arial" w:cs="Arial" w:eastAsia="Arial" w:hAnsi="Arial"/>
          <w:color w:val="333333"/>
          <w:sz w:val="22"/>
          <w:szCs w:val="22"/>
        </w:rPr>
        <w:t xml:space="preserve">Empoderamiento de usuarios de negocio: pueden consultar y explorar sin depender de TI.</w:t>
      </w:r>
    </w:p>
    <w:p>
      <w:pPr>
        <w:pStyle w:val="ListParagraph"/>
        <w:numPr>
          <w:ilvl w:val="0"/>
          <w:numId w:val="2"/>
        </w:numPr>
        <w:spacing w:after="80" w:line="300"/>
      </w:pPr>
      <w:r>
        <w:rPr>
          <w:rFonts w:ascii="Arial" w:cs="Arial" w:eastAsia="Arial" w:hAnsi="Arial"/>
          <w:color w:val="333333"/>
          <w:sz w:val="22"/>
          <w:szCs w:val="22"/>
        </w:rPr>
        <w:t xml:space="preserve">Decisiones más informadas: análisis narrativo con explicación del "por qué" de las tendencias.</w:t>
      </w:r>
    </w:p>
    <w:p>
      <w:pPr>
        <w:pStyle w:val="ListParagraph"/>
        <w:numPr>
          <w:ilvl w:val="0"/>
          <w:numId w:val="2"/>
        </w:numPr>
        <w:spacing w:after="80" w:line="300"/>
      </w:pPr>
      <w:r>
        <w:rPr>
          <w:rFonts w:ascii="Arial" w:cs="Arial" w:eastAsia="Arial" w:hAnsi="Arial"/>
          <w:color w:val="333333"/>
          <w:sz w:val="22"/>
          <w:szCs w:val="22"/>
        </w:rPr>
        <w:t xml:space="preserve">Escalabilidad organizacional: nuevos casos de uso se agregan sobre la misma fundación tecnológica.</w:t>
      </w:r>
    </w:p>
    <w:p>
      <w:pPr>
        <w:pStyle w:val="ListParagraph"/>
        <w:numPr>
          <w:ilvl w:val="0"/>
          <w:numId w:val="2"/>
        </w:numPr>
        <w:spacing w:after="80" w:line="300"/>
      </w:pPr>
      <w:r>
        <w:rPr>
          <w:rFonts w:ascii="Arial" w:cs="Arial" w:eastAsia="Arial" w:hAnsi="Arial"/>
          <w:color w:val="333333"/>
          <w:sz w:val="22"/>
          <w:szCs w:val="22"/>
        </w:rPr>
        <w:t xml:space="preserve">Diferenciación competitiva: adopción temprana de IA generativa en el sector.</w:t>
      </w:r>
    </w:p>
    <w:p>
      <w:pPr>
        <w:pStyle w:val="ListParagraph"/>
        <w:numPr>
          <w:ilvl w:val="0"/>
          <w:numId w:val="2"/>
        </w:numPr>
        <w:spacing w:after="80" w:line="300"/>
      </w:pPr>
      <w:r>
        <w:rPr>
          <w:rFonts w:ascii="Arial" w:cs="Arial" w:eastAsia="Arial" w:hAnsi="Arial"/>
          <w:color w:val="333333"/>
          <w:sz w:val="22"/>
          <w:szCs w:val="22"/>
        </w:rPr>
        <w:t xml:space="preserve">Preparación para el futuro: la arquitectura se alinea con el rumbo de Microsoft y del mercado de IA.</w:t>
      </w:r>
    </w:p>
    <w:p>
      <w:pPr>
        <w:pStyle w:val="ListParagraph"/>
        <w:numPr>
          <w:ilvl w:val="0"/>
          <w:numId w:val="2"/>
        </w:numPr>
        <w:spacing w:after="80" w:line="300"/>
      </w:pPr>
      <w:r>
        <w:rPr>
          <w:rFonts w:ascii="Arial" w:cs="Arial" w:eastAsia="Arial" w:hAnsi="Arial"/>
          <w:color w:val="333333"/>
          <w:sz w:val="22"/>
          <w:szCs w:val="22"/>
        </w:rPr>
        <w:t xml:space="preserve">Cultura de datos: se refuerza el hábito de tomar decisiones basadas en información.</w:t>
      </w:r>
    </w:p>
    <w:p>
      <w:pPr>
        <w:pStyle w:val="Heading2"/>
        <w:spacing w:after="140" w:before="280"/>
      </w:pPr>
      <w:r>
        <w:rPr>
          <w:rFonts w:ascii="Arial" w:cs="Arial" w:eastAsia="Arial" w:hAnsi="Arial"/>
          <w:b/>
          <w:bCs/>
          <w:color w:val="107C10"/>
          <w:sz w:val="26"/>
          <w:szCs w:val="26"/>
        </w:rPr>
        <w:t xml:space="preserve">13.3 Retorno esperado</w:t>
      </w:r>
    </w:p>
    <w:p>
      <w:pPr>
        <w:spacing w:after="120" w:before="0" w:line="300"/>
      </w:pPr>
      <w:r>
        <w:rPr>
          <w:rFonts w:ascii="Arial" w:cs="Arial" w:eastAsia="Arial" w:hAnsi="Arial"/>
          <w:color w:val="333333"/>
          <w:sz w:val="22"/>
          <w:szCs w:val="22"/>
        </w:rPr>
        <w:t xml:space="preserve">Un piloto exitoso permite validar hipótesis específicas de valor con inversión acotada, antes de comprometerse a un despliegue mayor. La combinación de ahorro de tiempo, mejora en decisiones de compra y liberación de capacidad del equipo suele traducirse en payback en 6-12 meses cuando el proyecto se ejecuta con foco y con acompañamiento activo del negocio.</w:t>
      </w:r>
    </w:p>
    <w:p>
      <w:r>
        <w:br w:type="page"/>
      </w:r>
    </w:p>
    <w:p>
      <w:pPr>
        <w:pStyle w:val="Heading1"/>
        <w:pBdr>
          <w:bottom w:val="single" w:color="0F6CBD" w:sz="8" w:space="4"/>
        </w:pBdr>
        <w:spacing w:after="200" w:before="360"/>
      </w:pPr>
      <w:r>
        <w:rPr>
          <w:rFonts w:ascii="Arial" w:cs="Arial" w:eastAsia="Arial" w:hAnsi="Arial"/>
          <w:b/>
          <w:bCs/>
          <w:color w:val="0F6CBD"/>
          <w:sz w:val="32"/>
          <w:szCs w:val="32"/>
        </w:rPr>
        <w:t xml:space="preserve">14. Condiciones Comerciales</w:t>
      </w:r>
    </w:p>
    <w:p>
      <w:pPr>
        <w:pStyle w:val="Heading2"/>
        <w:spacing w:after="140" w:before="280"/>
      </w:pPr>
      <w:r>
        <w:rPr>
          <w:rFonts w:ascii="Arial" w:cs="Arial" w:eastAsia="Arial" w:hAnsi="Arial"/>
          <w:b/>
          <w:bCs/>
          <w:color w:val="107C10"/>
          <w:sz w:val="26"/>
          <w:szCs w:val="26"/>
        </w:rPr>
        <w:t xml:space="preserve">14.1 Modalidad</w:t>
      </w:r>
    </w:p>
    <w:p>
      <w:pPr>
        <w:spacing w:after="120" w:before="0" w:line="300"/>
      </w:pPr>
      <w:r>
        <w:rPr>
          <w:rFonts w:ascii="Arial" w:cs="Arial" w:eastAsia="Arial" w:hAnsi="Arial"/>
          <w:color w:val="333333"/>
          <w:sz w:val="22"/>
          <w:szCs w:val="22"/>
        </w:rPr>
        <w:t xml:space="preserve">Proyecto cerrado (fixed scope, fixed price) por el alcance del piloto descrito en la sección 4. El precio de los servicios profesionales se coordina en propuesta comercial complementaria.</w:t>
      </w:r>
    </w:p>
    <w:p>
      <w:pPr>
        <w:pStyle w:val="Heading2"/>
        <w:spacing w:after="140" w:before="280"/>
      </w:pPr>
      <w:r>
        <w:rPr>
          <w:rFonts w:ascii="Arial" w:cs="Arial" w:eastAsia="Arial" w:hAnsi="Arial"/>
          <w:b/>
          <w:bCs/>
          <w:color w:val="107C10"/>
          <w:sz w:val="26"/>
          <w:szCs w:val="26"/>
        </w:rPr>
        <w:t xml:space="preserve">14.2 Servicios NO incluidos en el precio de la consultoría</w:t>
      </w:r>
    </w:p>
    <w:p>
      <w:pPr>
        <w:pStyle w:val="ListParagraph"/>
        <w:numPr>
          <w:ilvl w:val="0"/>
          <w:numId w:val="2"/>
        </w:numPr>
        <w:spacing w:after="80" w:line="300"/>
      </w:pPr>
      <w:r>
        <w:rPr>
          <w:rFonts w:ascii="Arial" w:cs="Arial" w:eastAsia="Arial" w:hAnsi="Arial"/>
          <w:color w:val="333333"/>
          <w:sz w:val="22"/>
          <w:szCs w:val="22"/>
        </w:rPr>
        <w:t xml:space="preserve">Costos de infraestructura Azure (los cubre directamente Super Naturista con su suscripción).</w:t>
      </w:r>
    </w:p>
    <w:p>
      <w:pPr>
        <w:pStyle w:val="ListParagraph"/>
        <w:numPr>
          <w:ilvl w:val="0"/>
          <w:numId w:val="2"/>
        </w:numPr>
        <w:spacing w:after="80" w:line="300"/>
      </w:pPr>
      <w:r>
        <w:rPr>
          <w:rFonts w:ascii="Arial" w:cs="Arial" w:eastAsia="Arial" w:hAnsi="Arial"/>
          <w:color w:val="333333"/>
          <w:sz w:val="22"/>
          <w:szCs w:val="22"/>
        </w:rPr>
        <w:t xml:space="preserve">Licencias Microsoft 365, Power BI Pro u otras licencias de software del cliente.</w:t>
      </w:r>
    </w:p>
    <w:p>
      <w:pPr>
        <w:pStyle w:val="ListParagraph"/>
        <w:numPr>
          <w:ilvl w:val="0"/>
          <w:numId w:val="2"/>
        </w:numPr>
        <w:spacing w:after="80" w:line="300"/>
      </w:pPr>
      <w:r>
        <w:rPr>
          <w:rFonts w:ascii="Arial" w:cs="Arial" w:eastAsia="Arial" w:hAnsi="Arial"/>
          <w:color w:val="333333"/>
          <w:sz w:val="22"/>
          <w:szCs w:val="22"/>
        </w:rPr>
        <w:t xml:space="preserve">Hardware o adecuaciones en la infraestructura on-premise del cliente.</w:t>
      </w:r>
    </w:p>
    <w:p>
      <w:pPr>
        <w:pStyle w:val="ListParagraph"/>
        <w:numPr>
          <w:ilvl w:val="0"/>
          <w:numId w:val="2"/>
        </w:numPr>
        <w:spacing w:after="80" w:line="300"/>
      </w:pPr>
      <w:r>
        <w:rPr>
          <w:rFonts w:ascii="Arial" w:cs="Arial" w:eastAsia="Arial" w:hAnsi="Arial"/>
          <w:color w:val="333333"/>
          <w:sz w:val="22"/>
          <w:szCs w:val="22"/>
        </w:rPr>
        <w:t xml:space="preserve">Soporte post-piloto más allá del acompañamiento de 4 semanas.</w:t>
      </w:r>
    </w:p>
    <w:p>
      <w:pPr>
        <w:pStyle w:val="Heading2"/>
        <w:spacing w:after="140" w:before="280"/>
      </w:pPr>
      <w:r>
        <w:rPr>
          <w:rFonts w:ascii="Arial" w:cs="Arial" w:eastAsia="Arial" w:hAnsi="Arial"/>
          <w:b/>
          <w:bCs/>
          <w:color w:val="107C10"/>
          <w:sz w:val="26"/>
          <w:szCs w:val="26"/>
        </w:rPr>
        <w:t xml:space="preserve">14.3 Forma de pago</w:t>
      </w:r>
    </w:p>
    <w:p>
      <w:pPr>
        <w:spacing w:after="120" w:before="0" w:line="300"/>
      </w:pPr>
      <w:r>
        <w:rPr>
          <w:rFonts w:ascii="Arial" w:cs="Arial" w:eastAsia="Arial" w:hAnsi="Arial"/>
          <w:color w:val="333333"/>
          <w:sz w:val="22"/>
          <w:szCs w:val="22"/>
        </w:rPr>
        <w:t xml:space="preserve">Sujeta a acuerdo comercial. Sugerencia orientativa: 30% al inicio, 30% al Hito 2 (semana 4), 30% al Hito 3 (semana 6), 10% al cierre del piloto.</w:t>
      </w:r>
    </w:p>
    <w:p>
      <w:pPr>
        <w:pStyle w:val="Heading2"/>
        <w:spacing w:after="140" w:before="280"/>
      </w:pPr>
      <w:r>
        <w:rPr>
          <w:rFonts w:ascii="Arial" w:cs="Arial" w:eastAsia="Arial" w:hAnsi="Arial"/>
          <w:b/>
          <w:bCs/>
          <w:color w:val="107C10"/>
          <w:sz w:val="26"/>
          <w:szCs w:val="26"/>
        </w:rPr>
        <w:t xml:space="preserve">14.4 Propiedad intelectual</w:t>
      </w:r>
    </w:p>
    <w:p>
      <w:pPr>
        <w:pStyle w:val="ListParagraph"/>
        <w:numPr>
          <w:ilvl w:val="0"/>
          <w:numId w:val="2"/>
        </w:numPr>
        <w:spacing w:after="80" w:line="300"/>
      </w:pPr>
      <w:r>
        <w:rPr>
          <w:rFonts w:ascii="Arial" w:cs="Arial" w:eastAsia="Arial" w:hAnsi="Arial"/>
          <w:color w:val="333333"/>
          <w:sz w:val="22"/>
          <w:szCs w:val="22"/>
        </w:rPr>
        <w:t xml:space="preserve">Los desarrollos específicos para Super Naturista (código de la aplicación, prompts, orquestación) son propiedad del cliente.</w:t>
      </w:r>
    </w:p>
    <w:p>
      <w:pPr>
        <w:pStyle w:val="ListParagraph"/>
        <w:numPr>
          <w:ilvl w:val="0"/>
          <w:numId w:val="2"/>
        </w:numPr>
        <w:spacing w:after="80" w:line="300"/>
      </w:pPr>
      <w:r>
        <w:rPr>
          <w:rFonts w:ascii="Arial" w:cs="Arial" w:eastAsia="Arial" w:hAnsi="Arial"/>
          <w:color w:val="333333"/>
          <w:sz w:val="22"/>
          <w:szCs w:val="22"/>
        </w:rPr>
        <w:t xml:space="preserve">Frameworks, componentes reutilizables y metodologías del consultor permanecen como propiedad del consultor.</w:t>
      </w:r>
    </w:p>
    <w:p>
      <w:pPr>
        <w:pStyle w:val="ListParagraph"/>
        <w:numPr>
          <w:ilvl w:val="0"/>
          <w:numId w:val="2"/>
        </w:numPr>
        <w:spacing w:after="80" w:line="300"/>
      </w:pPr>
      <w:r>
        <w:rPr>
          <w:rFonts w:ascii="Arial" w:cs="Arial" w:eastAsia="Arial" w:hAnsi="Arial"/>
          <w:color w:val="333333"/>
          <w:sz w:val="22"/>
          <w:szCs w:val="22"/>
        </w:rPr>
        <w:t xml:space="preserve">Ambas partes se comprometen a la confidencialidad de la información compartida durante el proyecto.</w:t>
      </w:r>
    </w:p>
    <w:p>
      <w:pPr>
        <w:pStyle w:val="Heading2"/>
        <w:spacing w:after="140" w:before="280"/>
      </w:pPr>
      <w:r>
        <w:rPr>
          <w:rFonts w:ascii="Arial" w:cs="Arial" w:eastAsia="Arial" w:hAnsi="Arial"/>
          <w:b/>
          <w:bCs/>
          <w:color w:val="107C10"/>
          <w:sz w:val="26"/>
          <w:szCs w:val="26"/>
        </w:rPr>
        <w:t xml:space="preserve">14.5 Vigencia de la propuesta</w:t>
      </w:r>
    </w:p>
    <w:p>
      <w:pPr>
        <w:spacing w:after="120" w:before="0" w:line="300"/>
      </w:pPr>
      <w:r>
        <w:rPr>
          <w:rFonts w:ascii="Arial" w:cs="Arial" w:eastAsia="Arial" w:hAnsi="Arial"/>
          <w:color w:val="333333"/>
          <w:sz w:val="22"/>
          <w:szCs w:val="22"/>
        </w:rPr>
        <w:t xml:space="preserve">30 días naturales desde la fecha de emisión.</w:t>
      </w:r>
    </w:p>
    <w:p>
      <w:pPr>
        <w:pStyle w:val="Heading2"/>
        <w:spacing w:after="140" w:before="280"/>
      </w:pPr>
      <w:r>
        <w:rPr>
          <w:rFonts w:ascii="Arial" w:cs="Arial" w:eastAsia="Arial" w:hAnsi="Arial"/>
          <w:b/>
          <w:bCs/>
          <w:color w:val="107C10"/>
          <w:sz w:val="26"/>
          <w:szCs w:val="26"/>
        </w:rPr>
        <w:t xml:space="preserve">14.6 Cambios de alcance</w:t>
      </w:r>
    </w:p>
    <w:p>
      <w:pPr>
        <w:spacing w:after="120" w:before="0" w:line="300"/>
      </w:pPr>
      <w:r>
        <w:rPr>
          <w:rFonts w:ascii="Arial" w:cs="Arial" w:eastAsia="Arial" w:hAnsi="Arial"/>
          <w:color w:val="333333"/>
          <w:sz w:val="22"/>
          <w:szCs w:val="22"/>
        </w:rPr>
        <w:t xml:space="preserve">Cualquier modificación al alcance descrito en la sección 4 (nuevos casos de uso, integraciones adicionales, ampliaciones) se gestiona mediante una Solicitud de Cambio formal con el impacto correspondiente en tiempo y costo.</w:t>
      </w:r>
    </w:p>
    <w:p>
      <w:pPr>
        <w:spacing w:after="300"/>
      </w:pPr>
      <w:r>
        <w:t xml:space="preserve"/>
      </w:r>
    </w:p>
    <w:p>
      <w:pPr>
        <w:pStyle w:val="Heading2"/>
        <w:spacing w:after="140" w:before="280"/>
      </w:pPr>
      <w:r>
        <w:rPr>
          <w:rFonts w:ascii="Arial" w:cs="Arial" w:eastAsia="Arial" w:hAnsi="Arial"/>
          <w:b/>
          <w:bCs/>
          <w:color w:val="107C10"/>
          <w:sz w:val="26"/>
          <w:szCs w:val="26"/>
        </w:rPr>
        <w:t xml:space="preserve">Cierre</w:t>
      </w:r>
    </w:p>
    <w:p>
      <w:pPr>
        <w:spacing w:after="120" w:before="0" w:line="300"/>
      </w:pPr>
      <w:r>
        <w:rPr>
          <w:rFonts w:ascii="Arial" w:cs="Arial" w:eastAsia="Arial" w:hAnsi="Arial"/>
          <w:color w:val="333333"/>
          <w:sz w:val="22"/>
          <w:szCs w:val="22"/>
        </w:rPr>
        <w:t xml:space="preserve">Esta propuesta materializa una oportunidad de alto valor para Super Naturista: usar la IA generativa de manera responsable, controlada y con retorno demostrable, aprovechando la información ya existente en el ERP y en los canales digitales.</w:t>
      </w:r>
    </w:p>
    <w:p>
      <w:pPr>
        <w:spacing w:after="120" w:before="0" w:line="300"/>
      </w:pPr>
      <w:r>
        <w:rPr>
          <w:rFonts w:ascii="Arial" w:cs="Arial" w:eastAsia="Arial" w:hAnsi="Arial"/>
          <w:color w:val="333333"/>
          <w:sz w:val="22"/>
          <w:szCs w:val="22"/>
        </w:rPr>
        <w:t xml:space="preserve">Se propone iniciar con un piloto acotado que valide el enfoque, mida el impacto real en el negocio y prepare el terreno para casos de uso adicionales, todo dentro de una fundación técnica robusta y con foco en la sostenibilidad económica de la solución.</w:t>
      </w:r>
    </w:p>
    <w:p>
      <w:pPr>
        <w:spacing w:after="120" w:before="0" w:line="300"/>
      </w:pPr>
      <w:r>
        <w:rPr>
          <w:rFonts w:ascii="Arial" w:cs="Arial" w:eastAsia="Arial" w:hAnsi="Arial"/>
          <w:i/>
          <w:iCs/>
          <w:color w:val="333333"/>
          <w:sz w:val="22"/>
          <w:szCs w:val="22"/>
        </w:rPr>
        <w:t xml:space="preserve">Quedamos a disposición para responder cualquier consulta, revisar en conjunto y ajustar cualquier elemento que Super Naturista considere pertinente.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Confidencial   |   Super Naturista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CBD" w:sz="4" w:space="4"/>
      </w:pBdr>
      <w:jc w:val="right"/>
    </w:pPr>
    <w:r>
      <w:rPr>
        <w:rFonts w:ascii="Arial" w:cs="Arial" w:eastAsia="Arial" w:hAnsi="Arial"/>
        <w:i/>
        <w:iCs/>
        <w:color w:val="6B7280"/>
        <w:sz w:val="18"/>
        <w:szCs w:val="18"/>
      </w:rPr>
      <w:t xml:space="preserve">Propuesta Plataforma Azure OpenAI — Super Naturista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CB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07C1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Plataforma Azure OpenAI - Super Naturista</dc:title>
  <dc:creator>Equipo de Consultoría</dc:creator>
  <dc:description>Propuesta de servicios para plataforma inteligente basada en Azure OpenAI</dc:description>
  <cp:lastModifiedBy>Un-named</cp:lastModifiedBy>
  <cp:revision>1</cp:revision>
  <dcterms:created xsi:type="dcterms:W3CDTF">2026-07-05T21:26:45.985Z</dcterms:created>
  <dcterms:modified xsi:type="dcterms:W3CDTF">2026-07-05T21:26:45.994Z</dcterms:modified>
</cp:coreProperties>
</file>

<file path=docProps/custom.xml><?xml version="1.0" encoding="utf-8"?>
<Properties xmlns="http://schemas.openxmlformats.org/officeDocument/2006/custom-properties" xmlns:vt="http://schemas.openxmlformats.org/officeDocument/2006/docPropsVTypes"/>
</file>