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0"/>
        <w:jc w:val="center"/>
      </w:pPr>
      <w:r>
        <w:rPr>
          <w:rFonts w:ascii="Arial" w:cs="Arial" w:eastAsia="Arial" w:hAnsi="Arial"/>
          <w:b/>
          <w:bCs/>
          <w:color w:val="1F4E79"/>
          <w:sz w:val="36"/>
          <w:szCs w:val="36"/>
        </w:rPr>
        <w:t xml:space="preserve">PROPUESTA TÉCNICA DE SERVICIOS</w:t>
      </w:r>
    </w:p>
    <w:p>
      <w:pPr>
        <w:pBdr>
          <w:bottom w:val="single" w:color="2E75B6" w:sz="8" w:space="4"/>
        </w:pBdr>
        <w:spacing w:after="240" w:before="0"/>
        <w:jc w:val="center"/>
      </w:pPr>
      <w:r>
        <w:rPr>
          <w:rFonts w:ascii="Arial" w:cs="Arial" w:eastAsia="Arial" w:hAnsi="Arial"/>
          <w:color w:val="2E75B6"/>
          <w:sz w:val="30"/>
          <w:szCs w:val="30"/>
        </w:rPr>
        <w:t xml:space="preserve">Respaldo de NAS 70 TB en Microsoft Azure</w:t>
      </w:r>
    </w:p>
    <w:p>
      <w:pPr>
        <w:spacing w:before="720"/>
      </w:pPr>
    </w:p>
    <w:p>
      <w:pPr>
        <w:spacing w:after="60" w:before="0"/>
        <w:jc w:val="center"/>
      </w:pPr>
      <w:r>
        <w:rPr>
          <w:rFonts w:ascii="Arial" w:cs="Arial" w:eastAsia="Arial" w:hAnsi="Arial"/>
          <w:color w:val="595959"/>
          <w:sz w:val="22"/>
          <w:szCs w:val="22"/>
        </w:rPr>
        <w:t xml:space="preserve">Versión 1.0</w:t>
      </w:r>
    </w:p>
    <w:p>
      <w:pPr>
        <w:spacing w:after="60" w:before="0"/>
        <w:jc w:val="center"/>
      </w:pPr>
      <w:r>
        <w:rPr>
          <w:rFonts w:ascii="Arial" w:cs="Arial" w:eastAsia="Arial" w:hAnsi="Arial"/>
          <w:color w:val="595959"/>
          <w:sz w:val="22"/>
          <w:szCs w:val="22"/>
        </w:rPr>
        <w:t xml:space="preserve">Mayo 2025</w:t>
      </w:r>
    </w:p>
    <w:p>
      <w:pPr>
        <w:spacing w:after="60" w:before="0"/>
        <w:jc w:val="center"/>
      </w:pPr>
      <w:r>
        <w:rPr>
          <w:rFonts w:ascii="Arial" w:cs="Arial" w:eastAsia="Arial" w:hAnsi="Arial"/>
          <w:i/>
          <w:iCs/>
          <w:color w:val="595959"/>
          <w:sz w:val="20"/>
          <w:szCs w:val="20"/>
        </w:rPr>
        <w:t xml:space="preserve">Confidencial — Uso Interno</w:t>
      </w:r>
    </w:p>
    <w:p>
      <w:r>
        <w:br w:type="page"/>
      </w:r>
    </w:p>
    <w:p>
      <w:pPr>
        <w:pStyle w:val="Heading1"/>
        <w:spacing w:after="120" w:before="360"/>
      </w:pPr>
      <w:r>
        <w:rPr>
          <w:rFonts w:ascii="Arial" w:cs="Arial" w:eastAsia="Arial" w:hAnsi="Arial"/>
          <w:b/>
          <w:bCs/>
          <w:color w:val="1F4E79"/>
          <w:sz w:val="32"/>
          <w:szCs w:val="32"/>
        </w:rPr>
        <w:t xml:space="preserve">1. Situación Actual</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Un área de la organización opera una NAS (Network Attached Storage) de 70 TB de capacidad total, con acceso exclusivo a un solo usuario. Actualmente no existe una política formal de respaldo fuera del sitio (offsite backup), lo que expone a la organización a un riesgo de pérdida total de información ante:</w:t>
      </w:r>
    </w:p>
    <w:p>
      <w:pPr>
        <w:pStyle w:val="ListParagraph"/>
        <w:numPr>
          <w:ilvl w:val="0"/>
          <w:numId w:val="2"/>
        </w:numPr>
        <w:spacing w:after="60" w:before="40"/>
      </w:pPr>
      <w:r>
        <w:rPr>
          <w:rFonts w:ascii="Arial" w:cs="Arial" w:eastAsia="Arial" w:hAnsi="Arial"/>
          <w:color w:val="404040"/>
          <w:sz w:val="22"/>
          <w:szCs w:val="22"/>
        </w:rPr>
        <w:t xml:space="preserve">Fallo de hardware del dispositivo NAS</w:t>
      </w:r>
    </w:p>
    <w:p>
      <w:pPr>
        <w:pStyle w:val="ListParagraph"/>
        <w:numPr>
          <w:ilvl w:val="0"/>
          <w:numId w:val="2"/>
        </w:numPr>
        <w:spacing w:after="60" w:before="40"/>
      </w:pPr>
      <w:r>
        <w:rPr>
          <w:rFonts w:ascii="Arial" w:cs="Arial" w:eastAsia="Arial" w:hAnsi="Arial"/>
          <w:color w:val="404040"/>
          <w:sz w:val="22"/>
          <w:szCs w:val="22"/>
        </w:rPr>
        <w:t xml:space="preserve">Desastre natural (incendio, inundación, sismo)</w:t>
      </w:r>
    </w:p>
    <w:p>
      <w:pPr>
        <w:pStyle w:val="ListParagraph"/>
        <w:numPr>
          <w:ilvl w:val="0"/>
          <w:numId w:val="2"/>
        </w:numPr>
        <w:spacing w:after="60" w:before="40"/>
      </w:pPr>
      <w:r>
        <w:rPr>
          <w:rFonts w:ascii="Arial" w:cs="Arial" w:eastAsia="Arial" w:hAnsi="Arial"/>
          <w:color w:val="404040"/>
          <w:sz w:val="22"/>
          <w:szCs w:val="22"/>
        </w:rPr>
        <w:t xml:space="preserve">Ataque de ransomware o incidente de ciberseguridad</w:t>
      </w:r>
    </w:p>
    <w:p>
      <w:pPr>
        <w:pStyle w:val="ListParagraph"/>
        <w:numPr>
          <w:ilvl w:val="0"/>
          <w:numId w:val="2"/>
        </w:numPr>
        <w:spacing w:after="60" w:before="40"/>
      </w:pPr>
      <w:r>
        <w:rPr>
          <w:rFonts w:ascii="Arial" w:cs="Arial" w:eastAsia="Arial" w:hAnsi="Arial"/>
          <w:color w:val="404040"/>
          <w:sz w:val="22"/>
          <w:szCs w:val="22"/>
        </w:rPr>
        <w:t xml:space="preserve">Error humano (eliminación accidental de datos críticos</w:t>
      </w:r>
    </w:p>
    <w:p>
      <w:r>
        <w:t xml:space="preserve"/>
      </w:r>
    </w:p>
    <w:p>
      <w:pPr>
        <w:pStyle w:val="Heading2"/>
        <w:spacing w:after="100" w:before="280"/>
      </w:pPr>
      <w:r>
        <w:rPr>
          <w:rFonts w:ascii="Arial" w:cs="Arial" w:eastAsia="Arial" w:hAnsi="Arial"/>
          <w:b/>
          <w:bCs/>
          <w:color w:val="2E75B6"/>
          <w:sz w:val="26"/>
          <w:szCs w:val="26"/>
        </w:rPr>
        <w:t xml:space="preserve">1.1 Estado Actual de la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Riesgo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Dispositivo NAS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70 TB capacidad total, acceso de 1 usuario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Alto — punto único de falla</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Conectividad</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Red LAN interna, sin política offsite</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Alto — sin respaldo externo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Política de respaldo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definida / sin automatización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Crítico — sin RPO/RTO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Usuarios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 usuario propietario actualmente</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Medio — escalabilidad limitada</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Versionado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implementado</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Alto — sin historial de cambios</w:t>
            </w:r>
          </w:p>
        </w:tc>
      </w:tr>
    </w:tbl>
    <w:p>
      <w:r>
        <w:t xml:space="preserve"/>
      </w:r>
    </w:p>
    <w:p>
      <w:pPr>
        <w:pStyle w:val="Heading2"/>
        <w:spacing w:after="100" w:before="280"/>
      </w:pPr>
      <w:r>
        <w:rPr>
          <w:rFonts w:ascii="Arial" w:cs="Arial" w:eastAsia="Arial" w:hAnsi="Arial"/>
          <w:b/>
          <w:bCs/>
          <w:color w:val="2E75B6"/>
          <w:sz w:val="26"/>
          <w:szCs w:val="26"/>
        </w:rPr>
        <w:t xml:space="preserve">1.2 Escenarios Propuestos</w:t>
      </w:r>
    </w:p>
    <w:p>
      <w:pPr>
        <w:spacing w:after="120" w:before="60"/>
      </w:pPr>
      <w:r>
        <w:rPr>
          <w:rFonts w:ascii="Arial" w:cs="Arial" w:eastAsia="Arial" w:hAnsi="Arial"/>
          <w:color w:val="404040"/>
          <w:sz w:val="22"/>
          <w:szCs w:val="22"/>
        </w:rPr>
        <w:t xml:space="preserve">Se analizan dos escenarios complementarios: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50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5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Recomendación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Escenario 1</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Backup completo gestionado con Azure Backup (Recovery Services Vault). La NAS se convierte en fuente primaria y Azure en repositorio de recuperación.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Recomendado para entornos con cumplimiento normativo</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Escenario 2</w:t>
            </w:r>
          </w:p>
        </w:tc>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La NAS continúa como storage activo. Un script automatizado realiza incrementales diarios (~1 TB) hacia Azure Blob Storage. Copia inicial cubre los últimos 5 años.</w:t>
            </w:r>
          </w:p>
        </w:tc>
        <w:tc>
          <w:tcPr>
            <w:tcW w:type="dxa" w:w="25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Recomendado por costo y control operativo</w:t>
            </w:r>
          </w:p>
        </w:tc>
      </w:tr>
    </w:tbl>
    <w:p>
      <w:r>
        <w:br w:type="page"/>
      </w:r>
    </w:p>
    <w:p>
      <w:pPr>
        <w:pStyle w:val="Heading1"/>
        <w:spacing w:after="120" w:before="360"/>
      </w:pPr>
      <w:r>
        <w:rPr>
          <w:rFonts w:ascii="Arial" w:cs="Arial" w:eastAsia="Arial" w:hAnsi="Arial"/>
          <w:b/>
          <w:bCs/>
          <w:color w:val="1F4E79"/>
          <w:sz w:val="32"/>
          <w:szCs w:val="32"/>
        </w:rPr>
        <w:t xml:space="preserve">2. Arquitectura de la Solución</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La arquitectura propuesta integra la infraestructura local (NAS + usuarios) con Microsoft Azure mediante una conexión VPN segura, habilitando acceso controlado para 20 usuarios: 10 en red local y 10 mediante VPN remota.</w:t>
      </w:r>
    </w:p>
    <w:p>
      <w:r>
        <w:t xml:space="preserve"/>
      </w:r>
    </w:p>
    <w:p>
      <w:pPr>
        <w:pStyle w:val="Heading2"/>
        <w:spacing w:after="100" w:before="280"/>
      </w:pPr>
      <w:r>
        <w:rPr>
          <w:rFonts w:ascii="Arial" w:cs="Arial" w:eastAsia="Arial" w:hAnsi="Arial"/>
          <w:b/>
          <w:bCs/>
          <w:color w:val="2E75B6"/>
          <w:sz w:val="26"/>
          <w:szCs w:val="26"/>
        </w:rPr>
        <w:t xml:space="preserve">2.1 Diagrama de Arquitectura — Descripción por Capas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left w:type="dxa" w:w="180"/>
              <w:bottom w:type="dxa" w:w="120"/>
              <w:right w:type="dxa" w:w="120"/>
            </w:tcMar>
          </w:tcPr>
          <w:p>
            <w:pPr>
              <w:spacing w:after="40" w:before="40"/>
            </w:pPr>
            <w:r>
              <w:rPr>
                <w:rFonts w:ascii="Arial" w:cs="Arial" w:eastAsia="Arial" w:hAnsi="Arial"/>
                <w:b/>
                <w:bCs/>
                <w:color w:val="1F4E79"/>
                <w:sz w:val="20"/>
                <w:szCs w:val="20"/>
              </w:rPr>
              <w:t xml:space="preserve">ℹ NOTA: El diagrama a continuación se describe por capas. Se recomienda complementar con</w:t>
            </w:r>
          </w:p>
          <w:p>
            <w:pPr>
              <w:spacing w:after="40" w:before="40"/>
            </w:pPr>
            <w:r>
              <w:rPr>
                <w:rFonts w:ascii="Arial" w:cs="Arial" w:eastAsia="Arial" w:hAnsi="Arial"/>
                <w:b w:val="false"/>
                <w:bCs w:val="false"/>
                <w:color w:val="1F4E79"/>
                <w:sz w:val="20"/>
                <w:szCs w:val="20"/>
              </w:rPr>
              <w:t xml:space="preserve">   un diagrama visual en Visio o Draw.io usando los componentes listados en cada capa.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4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Componentes</w:t>
            </w:r>
          </w:p>
        </w:tc>
        <w:tc>
          <w:tcPr>
            <w:tcW w:type="dxa" w:w="3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Capa 1 — On-Premise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NAS 70 TB · Servidor de backup (MARS/AzCopy) · Switch LAN · Usuarios locales (10)</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Fuente primaria de datos y procesamiento de backup local</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Capa 2 — VPN Gateway</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VPN Gateway (SKU VpnGw1) · IPSec/IKEv2 · Túnel S2S · Clientes P2S (OpenVPN / IKEv2)</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Conectividad segura entre on-premise y Azure para usuarios remotos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Capa 3 — Azure Network</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Virtual Network (VNet) · Subredes: GatewaySubnet, BackupSubnet, UsersSubnet · NSG · Azure Firewall (opcional)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Segmentación y control de tráfico en la nube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Capa 4 — Acceso de Usuarios</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AD / Entra ID · RBAC · MFA · Conditional Access · Azure Files (share)</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Autenticación, autorización y acceso a datos desde cualquier ubicación</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Capa 5 — Almacenamiento</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Blob Storage (Hot/Cool/Archive) · Recovery Services Vault · Azure Files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Repositorio de respaldo, datos activos y recuperación ante desastre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Capa 6 — Gestión</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Monitor · Log Analytics · Backup Center · Alertas por correo</w:t>
            </w:r>
          </w:p>
        </w:tc>
        <w:tc>
          <w:tcPr>
            <w:tcW w:type="dxa" w:w="3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Monitoreo, alertas y auditoría de toda la solución</w:t>
            </w:r>
          </w:p>
        </w:tc>
      </w:tr>
    </w:tbl>
    <w:p>
      <w:r>
        <w:t xml:space="preserve"/>
      </w:r>
    </w:p>
    <w:p>
      <w:pPr>
        <w:pStyle w:val="Heading2"/>
        <w:spacing w:after="100" w:before="280"/>
      </w:pPr>
      <w:r>
        <w:rPr>
          <w:rFonts w:ascii="Arial" w:cs="Arial" w:eastAsia="Arial" w:hAnsi="Arial"/>
          <w:b/>
          <w:bCs/>
          <w:color w:val="2E75B6"/>
          <w:sz w:val="26"/>
          <w:szCs w:val="26"/>
        </w:rPr>
        <w:t xml:space="preserve">2.2 Flujo de Datos</w:t>
      </w:r>
    </w:p>
    <w:p>
      <w:pPr>
        <w:spacing w:after="120" w:before="60"/>
      </w:pPr>
      <w:r>
        <w:rPr>
          <w:rFonts w:ascii="Arial" w:cs="Arial" w:eastAsia="Arial" w:hAnsi="Arial"/>
          <w:color w:val="404040"/>
          <w:sz w:val="22"/>
          <w:szCs w:val="22"/>
        </w:rPr>
        <w:t xml:space="preserve">El flujo de datos opera en dos modos: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40"/>
        <w:gridCol w:w="2640"/>
        <w:gridCol w:w="208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Modo</w:t>
            </w:r>
          </w:p>
        </w:tc>
        <w:tc>
          <w:tcPr>
            <w:tcW w:type="dxa" w:w="26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Origen</w:t>
            </w:r>
          </w:p>
        </w:tc>
        <w:tc>
          <w:tcPr>
            <w:tcW w:type="dxa" w:w="26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Destino</w:t>
            </w:r>
          </w:p>
        </w:tc>
        <w:tc>
          <w:tcPr>
            <w:tcW w:type="dxa" w:w="20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Frecuencia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Backup inicial (seed)</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NAS local (5 años de datos ~30–50 TB)</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Blob Storage (Cool/Archive)</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Una sola vez (semanas 3–5)</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Backup incremental diario</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Archivos modificados (~1 TB/día)</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Blob Storage (Hot → Cool)</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Diario, ventana nocturna 22:00–06:00</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Acceso usuario local</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PC local → LAN → NAS</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NAS / Azure Files</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Tiempo real, sin VPN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Acceso usuario remoto</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PC remota → VPN (P2S) → Azure VNet</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Files / NAS vía S2S</w:t>
            </w:r>
          </w:p>
        </w:tc>
        <w:tc>
          <w:tcPr>
            <w:tcW w:type="dxa" w:w="2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Tiempo real, con autenticación MFA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Restore de archivos</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Blob Storage / Recovery Vault</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NAS local o PC del usuario</w:t>
            </w:r>
          </w:p>
        </w:tc>
        <w:tc>
          <w:tcPr>
            <w:tcW w:type="dxa" w:w="2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Bajo demanda</w:t>
            </w:r>
          </w:p>
        </w:tc>
      </w:tr>
    </w:tbl>
    <w:p>
      <w:r>
        <w:t xml:space="preserve"/>
      </w:r>
    </w:p>
    <w:p>
      <w:pPr>
        <w:pStyle w:val="Heading2"/>
        <w:spacing w:after="100" w:before="280"/>
      </w:pPr>
      <w:r>
        <w:rPr>
          <w:rFonts w:ascii="Arial" w:cs="Arial" w:eastAsia="Arial" w:hAnsi="Arial"/>
          <w:b/>
          <w:bCs/>
          <w:color w:val="2E75B6"/>
          <w:sz w:val="26"/>
          <w:szCs w:val="26"/>
        </w:rPr>
        <w:t xml:space="preserve">2.3 Conectividad VPN — Tipos de Conexión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1800"/>
        <w:gridCol w:w="1160"/>
      </w:tblGrid>
      <w:tr>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VPN</w:t>
            </w:r>
          </w:p>
        </w:tc>
        <w:tc>
          <w:tcPr>
            <w:tcW w:type="dxa" w:w="4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Usuarios Aplicables</w:t>
            </w:r>
          </w:p>
        </w:tc>
        <w:tc>
          <w:tcPr>
            <w:tcW w:type="dxa" w:w="1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Site-to-Site (S2S)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Túnel permanente entre el router/firewall on-premise y el Azure VPN Gateway. Todo el tráfico hacia Azure pasa cifrado de manera transparente.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Usuarios locales (red corporativa)</w:t>
            </w:r>
          </w:p>
        </w:tc>
        <w:tc>
          <w:tcPr>
            <w:tcW w:type="dxa" w:w="1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IPSec/IKEv2</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Point-to-Site (P2S)</w:t>
            </w:r>
          </w:p>
        </w:tc>
        <w:tc>
          <w:tcPr>
            <w:tcW w:type="dxa" w:w="4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Conexión individual desde la PC/laptop del usuario remoto hacia el Azure VPN Gateway. Requiere instalación de cliente VPN.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Usuarios remotos (10 usuarios externos)</w:t>
            </w:r>
          </w:p>
        </w:tc>
        <w:tc>
          <w:tcPr>
            <w:tcW w:type="dxa" w:w="1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OpenVPN o IKEv2</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FFF2CC" w:val="clear"/>
            <w:tcMar>
              <w:top w:type="dxa" w:w="120"/>
              <w:left w:type="dxa" w:w="180"/>
              <w:bottom w:type="dxa" w:w="120"/>
              <w:right w:type="dxa" w:w="120"/>
            </w:tcMar>
          </w:tcPr>
          <w:p>
            <w:pPr>
              <w:spacing w:after="40" w:before="40"/>
            </w:pPr>
            <w:r>
              <w:rPr>
                <w:rFonts w:ascii="Arial" w:cs="Arial" w:eastAsia="Arial" w:hAnsi="Arial"/>
                <w:b/>
                <w:bCs/>
                <w:color w:val="7B4400"/>
                <w:sz w:val="20"/>
                <w:szCs w:val="20"/>
              </w:rPr>
              <w:t xml:space="preserve">⚠  Requisito S2S: Se necesita un dispositivo de red compatible (router/firewall) en la</w:t>
            </w:r>
          </w:p>
          <w:p>
            <w:pPr>
              <w:spacing w:after="40" w:before="40"/>
            </w:pPr>
            <w:r>
              <w:rPr>
                <w:rFonts w:ascii="Arial" w:cs="Arial" w:eastAsia="Arial" w:hAnsi="Arial"/>
                <w:b w:val="false"/>
                <w:bCs w:val="false"/>
                <w:color w:val="7B4400"/>
                <w:sz w:val="20"/>
                <w:szCs w:val="20"/>
              </w:rPr>
              <w:t xml:space="preserve">   organización con soporte para IPSec/IKEv2 y una IP pública estática o dinámica.</w:t>
            </w:r>
          </w:p>
          <w:p>
            <w:pPr>
              <w:spacing w:after="40" w:before="40"/>
            </w:pPr>
            <w:r>
              <w:rPr>
                <w:rFonts w:ascii="Arial" w:cs="Arial" w:eastAsia="Arial" w:hAnsi="Arial"/>
                <w:b w:val="false"/>
                <w:bCs w:val="false"/>
                <w:color w:val="7B4400"/>
                <w:sz w:val="20"/>
                <w:szCs w:val="20"/>
              </w:rPr>
              <w:t xml:space="preserve">   Marcas compatibles: Cisco, Fortinet, Palo Alto, pfSense, SonicWall, entre otros.</w:t>
            </w:r>
          </w:p>
        </w:tc>
      </w:tr>
    </w:tbl>
    <w:p>
      <w:r>
        <w:br w:type="page"/>
      </w:r>
    </w:p>
    <w:p>
      <w:pPr>
        <w:pStyle w:val="Heading1"/>
        <w:spacing w:after="120" w:before="360"/>
      </w:pPr>
      <w:r>
        <w:rPr>
          <w:rFonts w:ascii="Arial" w:cs="Arial" w:eastAsia="Arial" w:hAnsi="Arial"/>
          <w:b/>
          <w:bCs/>
          <w:color w:val="1F4E79"/>
          <w:sz w:val="32"/>
          <w:szCs w:val="32"/>
        </w:rPr>
        <w:t xml:space="preserve">3. Control de Acceso y Perfiles de Usuario</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Se definen 20 usuarios con tres perfiles de acceso basados en el principio de mínimo privilegio (Least Privilege). La autenticación se gestiona mediante Azure Active Directory / Entra ID con MFA obligatorio para usuarios remotos.</w:t>
      </w:r>
    </w:p>
    <w:p>
      <w:r>
        <w:t xml:space="preserve"/>
      </w:r>
    </w:p>
    <w:p>
      <w:pPr>
        <w:pStyle w:val="Heading2"/>
        <w:spacing w:after="100" w:before="280"/>
      </w:pPr>
      <w:r>
        <w:rPr>
          <w:rFonts w:ascii="Arial" w:cs="Arial" w:eastAsia="Arial" w:hAnsi="Arial"/>
          <w:b/>
          <w:bCs/>
          <w:color w:val="2E75B6"/>
          <w:sz w:val="26"/>
          <w:szCs w:val="26"/>
        </w:rPr>
        <w:t xml:space="preserve">3.1 Matriz de Perfiles de Acceso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000"/>
        <w:gridCol w:w="1200"/>
        <w:gridCol w:w="960"/>
      </w:tblGrid>
      <w:tr>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Usuarios</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Permisos NAS local</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Permisos Azure Files</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Azure Backup</w:t>
            </w:r>
          </w:p>
        </w:tc>
        <w:tc>
          <w:tcPr>
            <w:tcW w:type="dxa" w:w="9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Gestión Azure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Administrador (Admin)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 usuarios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Lectura, escritura, eliminación, gestión de permisos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Control total (RBAC: Owner)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Configurar, restaurar, eliminar respaldos</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Acceso total a portal y consola</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Lectura (Read-Only)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 usuarios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Solo lectura de archivos y carpetas asignadas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Storage Blob Data Reader</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Visualizar estado de backups</w:t>
            </w:r>
          </w:p>
        </w:tc>
        <w:tc>
          <w:tcPr>
            <w:tcW w:type="dxa" w:w="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Sin acceso al portal Azure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Lectura y Escritura (R/W)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 usuarios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Leer y escribir en carpetas asignadas, sin eliminar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Storage Blob Data Contributor</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Sin acceso</w:t>
            </w:r>
          </w:p>
        </w:tc>
        <w:tc>
          <w:tcPr>
            <w:tcW w:type="dxa" w:w="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Sin acceso al portal Azure</w:t>
            </w:r>
          </w:p>
        </w:tc>
      </w:tr>
    </w:tbl>
    <w:p>
      <w:r>
        <w:t xml:space="preserve"/>
      </w:r>
    </w:p>
    <w:p>
      <w:pPr>
        <w:pStyle w:val="Heading2"/>
        <w:spacing w:after="100" w:before="280"/>
      </w:pPr>
      <w:r>
        <w:rPr>
          <w:rFonts w:ascii="Arial" w:cs="Arial" w:eastAsia="Arial" w:hAnsi="Arial"/>
          <w:b/>
          <w:bCs/>
          <w:color w:val="2E75B6"/>
          <w:sz w:val="26"/>
          <w:szCs w:val="26"/>
        </w:rPr>
        <w:t xml:space="preserve">3.2 Roles RBAC en Azure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 Azure RBAC</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Perfiles Asignados</w:t>
            </w:r>
          </w:p>
        </w:tc>
        <w:tc>
          <w:tcPr>
            <w:tcW w:type="dxa" w:w="4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Owner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Control total sobre recursos Azure en el scope asignado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Storage Blob Data Contributor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R/W (10)</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Leer, escribir y eliminar blobs y contenedores en Blob Storage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Storage Blob Data Reader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Read-Only (8)</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Solo lectura de blobs y contenedores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Backup Contributor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(2)</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Gestionar Recovery Services Vault y políticas de backup</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Network Contributor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(2)</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Gestionar VPN Gateway y configuración de red virtual</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Reader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Read-Only (8)</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Visualizar recursos sin posibilidad de modificarlos</w:t>
            </w:r>
          </w:p>
        </w:tc>
      </w:tr>
    </w:tbl>
    <w:p>
      <w:r>
        <w:t xml:space="preserve"/>
      </w:r>
    </w:p>
    <w:p>
      <w:pPr>
        <w:pStyle w:val="Heading2"/>
        <w:spacing w:after="100" w:before="280"/>
      </w:pPr>
      <w:r>
        <w:rPr>
          <w:rFonts w:ascii="Arial" w:cs="Arial" w:eastAsia="Arial" w:hAnsi="Arial"/>
          <w:b/>
          <w:bCs/>
          <w:color w:val="2E75B6"/>
          <w:sz w:val="26"/>
          <w:szCs w:val="26"/>
        </w:rPr>
        <w:t xml:space="preserve">3.3 Políticas de Seguridad de Acceso</w:t>
      </w:r>
    </w:p>
    <w:p>
      <w:pPr>
        <w:pStyle w:val="ListParagraph"/>
        <w:numPr>
          <w:ilvl w:val="0"/>
          <w:numId w:val="2"/>
        </w:numPr>
        <w:spacing w:after="60" w:before="40"/>
      </w:pPr>
      <w:r>
        <w:rPr>
          <w:rFonts w:ascii="Arial" w:cs="Arial" w:eastAsia="Arial" w:hAnsi="Arial"/>
          <w:color w:val="404040"/>
          <w:sz w:val="22"/>
          <w:szCs w:val="22"/>
        </w:rPr>
        <w:t xml:space="preserve">MFA (Autenticación Multifactor): Obligatorio para todos los usuarios que acceden mediante VPN P2S y al portal de Azure.</w:t>
      </w:r>
    </w:p>
    <w:p>
      <w:pPr>
        <w:pStyle w:val="ListParagraph"/>
        <w:numPr>
          <w:ilvl w:val="0"/>
          <w:numId w:val="2"/>
        </w:numPr>
        <w:spacing w:after="60" w:before="40"/>
      </w:pPr>
      <w:r>
        <w:rPr>
          <w:rFonts w:ascii="Arial" w:cs="Arial" w:eastAsia="Arial" w:hAnsi="Arial"/>
          <w:color w:val="404040"/>
          <w:sz w:val="22"/>
          <w:szCs w:val="22"/>
        </w:rPr>
        <w:t xml:space="preserve">Conditional Access: Bloquear acceso desde países no autorizados. Requerir dispositivo administrado (Intune) para perfiles Admin.</w:t>
      </w:r>
    </w:p>
    <w:p>
      <w:pPr>
        <w:pStyle w:val="ListParagraph"/>
        <w:numPr>
          <w:ilvl w:val="0"/>
          <w:numId w:val="2"/>
        </w:numPr>
        <w:spacing w:after="60" w:before="40"/>
      </w:pPr>
      <w:r>
        <w:rPr>
          <w:rFonts w:ascii="Arial" w:cs="Arial" w:eastAsia="Arial" w:hAnsi="Arial"/>
          <w:color w:val="404040"/>
          <w:sz w:val="22"/>
          <w:szCs w:val="22"/>
        </w:rPr>
        <w:t xml:space="preserve">Privileged Identity Management (PIM): Los roles Admin se activan bajo demanda con aprobación y tiempo limitado (Just-in-Time).</w:t>
      </w:r>
    </w:p>
    <w:p>
      <w:pPr>
        <w:pStyle w:val="ListParagraph"/>
        <w:numPr>
          <w:ilvl w:val="0"/>
          <w:numId w:val="2"/>
        </w:numPr>
        <w:spacing w:after="60" w:before="40"/>
      </w:pPr>
      <w:r>
        <w:rPr>
          <w:rFonts w:ascii="Arial" w:cs="Arial" w:eastAsia="Arial" w:hAnsi="Arial"/>
          <w:color w:val="404040"/>
          <w:sz w:val="22"/>
          <w:szCs w:val="22"/>
        </w:rPr>
        <w:t xml:space="preserve">Revisión periódica de accesos: Auditoría trimestral de Access Reviews en Azure AD para validar vigencia de permisos.</w:t>
      </w:r>
    </w:p>
    <w:p>
      <w:pPr>
        <w:pStyle w:val="ListParagraph"/>
        <w:numPr>
          <w:ilvl w:val="0"/>
          <w:numId w:val="2"/>
        </w:numPr>
        <w:spacing w:after="60" w:before="40"/>
      </w:pPr>
      <w:r>
        <w:rPr>
          <w:rFonts w:ascii="Arial" w:cs="Arial" w:eastAsia="Arial" w:hAnsi="Arial"/>
          <w:color w:val="404040"/>
          <w:sz w:val="22"/>
          <w:szCs w:val="22"/>
        </w:rPr>
        <w:t xml:space="preserve">Contraseñas y rotación: Política de contraseñas complejas (14 caracteres, rotación cada 90 días).</w:t>
      </w:r>
    </w:p>
    <w:p>
      <w:r>
        <w:t xml:space="preserve"/>
      </w:r>
    </w:p>
    <w:p>
      <w:pPr>
        <w:pStyle w:val="Heading2"/>
        <w:spacing w:after="100" w:before="280"/>
      </w:pPr>
      <w:r>
        <w:rPr>
          <w:rFonts w:ascii="Arial" w:cs="Arial" w:eastAsia="Arial" w:hAnsi="Arial"/>
          <w:b/>
          <w:bCs/>
          <w:color w:val="2E75B6"/>
          <w:sz w:val="26"/>
          <w:szCs w:val="26"/>
        </w:rPr>
        <w:t xml:space="preserve">3.4 Distribución de Usuarios por Tipo de Conexión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400"/>
        <w:gridCol w:w="2400"/>
        <w:gridCol w:w="1260"/>
      </w:tblGrid>
      <w:tr>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Tipo de Usuario</w:t>
            </w:r>
          </w:p>
        </w:tc>
        <w:tc>
          <w:tcPr>
            <w:tcW w:type="dxa" w:w="9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Conexión</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Perfil Aplicable</w:t>
            </w:r>
          </w:p>
        </w:tc>
        <w:tc>
          <w:tcPr>
            <w:tcW w:type="dxa" w:w="12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Autenticación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Usuarios locales (LAN)</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Red corporativa + VPN S2S (transparente)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(1), R/W (6), Read (3)</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AD + SSO corporativo</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Usuarios remotos (VPN)</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VPN P2S (OpenVPN/IKEv2 desde PC personal o laptop)</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(1), R/W (4), Read (5)</w:t>
            </w:r>
          </w:p>
        </w:tc>
        <w:tc>
          <w:tcPr>
            <w:tcW w:type="dxa" w:w="12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AD + MFA obligatorio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 Admin, 10 R/W, 8 Read-Only</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w:t>
            </w:r>
          </w:p>
        </w:tc>
      </w:tr>
    </w:tbl>
    <w:p>
      <w:r>
        <w:br w:type="page"/>
      </w:r>
    </w:p>
    <w:p>
      <w:pPr>
        <w:pStyle w:val="Heading1"/>
        <w:spacing w:after="120" w:before="360"/>
      </w:pPr>
      <w:r>
        <w:rPr>
          <w:rFonts w:ascii="Arial" w:cs="Arial" w:eastAsia="Arial" w:hAnsi="Arial"/>
          <w:b/>
          <w:bCs/>
          <w:color w:val="1F4E79"/>
          <w:sz w:val="32"/>
          <w:szCs w:val="32"/>
        </w:rPr>
        <w:t xml:space="preserve">4. Requerimientos Técnicos y Humanos</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4.1 Requerimientos Técnicos — On-Premise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1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Especificación Mínima Requerida</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Enlace a internet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100 Mbps dedicados (subida real, no nominal). Ideal: 200 Mbps o superior.</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Dispositivo de red (S2S)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Router/firewall compatible con IPSec/IKEv2 e IP pública estática o DDNS.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Servidor de backup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Windows Server 2016+ o Linux (Ubuntu 20.04+). 4 GB RAM, 100 GB disco para caché.</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NAS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SMB 2.0+ o NFS v3+ activo. Acceso al sistema de archivos completo para el agente.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Software de backup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MARS Agent (Windows) o AzCopy / Rclone (Linux) para Escenario 2.</w:t>
            </w:r>
          </w:p>
        </w:tc>
      </w:tr>
    </w:tbl>
    <w:p>
      <w:r>
        <w:t xml:space="preserve"/>
      </w:r>
    </w:p>
    <w:p>
      <w:pPr>
        <w:pStyle w:val="Heading2"/>
        <w:spacing w:after="100" w:before="280"/>
      </w:pPr>
      <w:r>
        <w:rPr>
          <w:rFonts w:ascii="Arial" w:cs="Arial" w:eastAsia="Arial" w:hAnsi="Arial"/>
          <w:b/>
          <w:bCs/>
          <w:color w:val="2E75B6"/>
          <w:sz w:val="26"/>
          <w:szCs w:val="26"/>
        </w:rPr>
        <w:t xml:space="preserve">4.2 Requerimientos Técnicos —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Recurso Azure</w:t>
            </w:r>
          </w:p>
        </w:tc>
        <w:tc>
          <w:tcPr>
            <w:tcW w:type="dxa" w:w="6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Suscripción Azure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Activa, con permisos de Owner en el Resource Group del proyecto.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Virtual Network (VNet)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Con 3 subredes: GatewaySubnet (/27), BackupSubnet (/24), UsersSubnet (/24).</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VPN Gateway</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SKU VpnGw1 (hasta 650 Mbps). Activa tanto S2S como P2S en el mismo gateway.</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Recovery Services Vault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Para Escenario 1 (Azure Backup). GRS (Geo-Redundant Storage) activado.</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Blob Storage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Para Escenario 2. Cuenta GPv2, tiers Hot/Cool/Archive habilitados.</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Files (opcional)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Para acceso compartido de los 20 usuarios. Tier Transaction Optimized.</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AD / Entra ID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Plan P1 mínimo para Conditional Access. Plan P2 para PIM.</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Azure Monitor + Log Analytics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Workspace para centralizar logs de backup, VPN y accesos.</w:t>
            </w:r>
          </w:p>
        </w:tc>
      </w:tr>
    </w:tbl>
    <w:p>
      <w:r>
        <w:t xml:space="preserve"/>
      </w:r>
    </w:p>
    <w:p>
      <w:pPr>
        <w:pStyle w:val="Heading2"/>
        <w:spacing w:after="100" w:before="280"/>
      </w:pPr>
      <w:r>
        <w:rPr>
          <w:rFonts w:ascii="Arial" w:cs="Arial" w:eastAsia="Arial" w:hAnsi="Arial"/>
          <w:b/>
          <w:bCs/>
          <w:color w:val="2E75B6"/>
          <w:sz w:val="26"/>
          <w:szCs w:val="26"/>
        </w:rPr>
        <w:t xml:space="preserve">4.3 Requerimientos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1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Dedicación</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7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Responsabilidades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Ingeniero Azure Cloud</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40–80 hrs (implementación)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Semanas 1–6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Aprovisionamiento de recursos, VPN, RBAC, políticas de backup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Administrador de Sistemas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20–30 hrs (implementación) + 4 hrs/mes (operación)</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Todo el proyecto</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Configuración on-premise, agente de backup, script, monitoreo</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Propietario de datos (usuario NAS)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8 hrs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Semanas 1 y 7</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Validación de permisos, prueba de restore, aprobación de accesos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Responsable de Seguridad TI</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 hrs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Semanas 1 y 8</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Revisión de políticas RBAC, Conditional Access, auditoría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Patrocinador / Gerente de Área</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4 hrs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1 y cierre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Aprobación de presupuesto, definición de política de retención</w:t>
            </w:r>
          </w:p>
        </w:tc>
      </w:tr>
    </w:tbl>
    <w:p>
      <w:r>
        <w:br w:type="page"/>
      </w:r>
    </w:p>
    <w:p>
      <w:pPr>
        <w:pStyle w:val="Heading1"/>
        <w:spacing w:after="120" w:before="360"/>
      </w:pPr>
      <w:r>
        <w:rPr>
          <w:rFonts w:ascii="Arial" w:cs="Arial" w:eastAsia="Arial" w:hAnsi="Arial"/>
          <w:b/>
          <w:bCs/>
          <w:color w:val="1F4E79"/>
          <w:sz w:val="32"/>
          <w:szCs w:val="32"/>
        </w:rPr>
        <w:t xml:space="preserve">5. Alcances y Fuera de Alcance</w:t>
      </w:r>
    </w:p>
    <w:p>
      <w:pPr>
        <w:pBdr>
          <w:bottom w:val="single" w:color="2E75B6" w:sz="6" w:space="1"/>
        </w:pBdr>
        <w:spacing w:after="0"/>
      </w:pPr>
    </w:p>
    <w:p>
      <w:r>
        <w:t xml:space="preserve"/>
      </w:r>
    </w:p>
    <w:p>
      <w:pPr>
        <w:pStyle w:val="Heading2"/>
        <w:spacing w:after="100" w:before="280"/>
      </w:pPr>
      <w:r>
        <w:rPr>
          <w:rFonts w:ascii="Arial" w:cs="Arial" w:eastAsia="Arial" w:hAnsi="Arial"/>
          <w:b/>
          <w:bCs/>
          <w:color w:val="2E75B6"/>
          <w:sz w:val="26"/>
          <w:szCs w:val="26"/>
        </w:rPr>
        <w:t xml:space="preserve">5.1 Dentro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6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Diseño de arquitectura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Diagrama de solución, flujo de datos y decisiones de diseño documentadas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Aprovisionamiento Azure</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VNet, subredes, VPN Gateway (S2S + P2S), Storage Account, Recovery Vault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Configuración VPN S2S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Túnel IPSec entre on-premise y Azure VPN Gateway</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Configuración VPN P2S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Certificados, perfil de cliente VPN para 10 usuarios remotos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Gestión de identidades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AD, 20 usuarios, 3 perfiles RBAC, MFA, Conditional Access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Copia inicial (seed backup)</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Transferencia de datos de los últimos 5 años a Azure Blob Storage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Política de backup incremental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Script diario (~1 TB), versionado, retención configurable (30/90/365 días)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Alertas y monitoreo</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Monitor, Log Analytics, notificaciones por correo al Admin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Prueba de restore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Validación de integridad y recuperación de muestra representativa de datos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Documentación técnica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Runbook de operación, diagrama final, inventario de recursos Azure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Capacitación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Sesión de 4 hrs con administrador TI y usuario propietario</w:t>
            </w:r>
          </w:p>
        </w:tc>
      </w:tr>
    </w:tbl>
    <w:p>
      <w:r>
        <w:t xml:space="preserve"/>
      </w:r>
    </w:p>
    <w:p>
      <w:pPr>
        <w:pStyle w:val="Heading2"/>
        <w:spacing w:after="100" w:before="280"/>
      </w:pPr>
      <w:r>
        <w:rPr>
          <w:rFonts w:ascii="Arial" w:cs="Arial" w:eastAsia="Arial" w:hAnsi="Arial"/>
          <w:b/>
          <w:bCs/>
          <w:color w:val="2E75B6"/>
          <w:sz w:val="26"/>
          <w:szCs w:val="26"/>
        </w:rPr>
        <w:t xml:space="preserve">5.2 Fuera del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Observación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Migración de flujo de trabajo a nube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se modifica el uso diario de la NAS como storage activo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Reemplazo de la NAS física</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El hardware existente se mantiene como está</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Adquisición de hardware adicional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Servidores, dispositivos VPN on-premise, cables o switches</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Restore masivo de los 70 TB completos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Solo se incluye prueba de restore de muestra. Restore total es bajo demanda.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Licenciamiento Microsoft 365 / Office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No se adquieren ni configuran licencias de productividad</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Antivirus y seguridad endpoint</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Protección de dispositivos de usuarios finales fuera del scope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Conexión ExpressRoute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Solo se implementa VPN; ExpressRoute requiere contrato con ISP dedicado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Soporte a otras áreas</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La solución cubre únicamente el área dueña de la NAS de 70 TB</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9</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Auditoría de cumplimiento normativo</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GDPR, HIPAA, ISO 27001 u otros marcos requieren proyecto separado</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10</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CI/CD del script de backup</w:t>
            </w:r>
          </w:p>
        </w:tc>
        <w:tc>
          <w:tcPr>
            <w:tcW w:type="dxa" w:w="6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El script se entrega funcional; su integración en pipelines DevOps está fuera de scope</w:t>
            </w:r>
          </w:p>
        </w:tc>
      </w:tr>
    </w:tbl>
    <w:p>
      <w:r>
        <w:br w:type="page"/>
      </w:r>
    </w:p>
    <w:p>
      <w:pPr>
        <w:pStyle w:val="Heading1"/>
        <w:spacing w:after="120" w:before="360"/>
      </w:pPr>
      <w:r>
        <w:rPr>
          <w:rFonts w:ascii="Arial" w:cs="Arial" w:eastAsia="Arial" w:hAnsi="Arial"/>
          <w:b/>
          <w:bCs/>
          <w:color w:val="1F4E79"/>
          <w:sz w:val="32"/>
          <w:szCs w:val="32"/>
        </w:rPr>
        <w:t xml:space="preserve">6. Supuestos del Proyecto</w:t>
      </w:r>
    </w:p>
    <w:p>
      <w:pPr>
        <w:pBdr>
          <w:bottom w:val="single" w:color="2E75B6" w:sz="6" w:space="1"/>
        </w:pBdr>
        <w:spacing w:after="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left w:type="dxa" w:w="180"/>
              <w:bottom w:type="dxa" w:w="120"/>
              <w:right w:type="dxa" w:w="120"/>
            </w:tcMar>
          </w:tcPr>
          <w:p>
            <w:pPr>
              <w:spacing w:after="40" w:before="40"/>
            </w:pPr>
            <w:r>
              <w:rPr>
                <w:rFonts w:ascii="Arial" w:cs="Arial" w:eastAsia="Arial" w:hAnsi="Arial"/>
                <w:b/>
                <w:bCs/>
                <w:color w:val="1F4E79"/>
                <w:sz w:val="20"/>
                <w:szCs w:val="20"/>
              </w:rPr>
              <w:t xml:space="preserve">ℹ  Los siguientes supuestos son la base de la estimación de costos y tiempos.</w:t>
            </w:r>
          </w:p>
          <w:p>
            <w:pPr>
              <w:spacing w:after="40" w:before="40"/>
            </w:pPr>
            <w:r>
              <w:rPr>
                <w:rFonts w:ascii="Arial" w:cs="Arial" w:eastAsia="Arial" w:hAnsi="Arial"/>
                <w:b w:val="false"/>
                <w:bCs w:val="false"/>
                <w:color w:val="1F4E79"/>
                <w:sz w:val="20"/>
                <w:szCs w:val="20"/>
              </w:rPr>
              <w:t xml:space="preserve">   Cualquier variación deberá ser evaluada y podrá impactar en el alcance o presupuesto.</w:t>
            </w:r>
          </w:p>
        </w:tc>
      </w:tr>
    </w:tbl>
    <w:p>
      <w:r>
        <w:t xml:space="preserve"/>
      </w:r>
    </w:p>
    <w:p>
      <w:pPr>
        <w:pStyle w:val="Heading2"/>
        <w:spacing w:after="100" w:before="280"/>
      </w:pPr>
      <w:r>
        <w:rPr>
          <w:rFonts w:ascii="Arial" w:cs="Arial" w:eastAsia="Arial" w:hAnsi="Arial"/>
          <w:b/>
          <w:bCs/>
          <w:color w:val="2E75B6"/>
          <w:sz w:val="26"/>
          <w:szCs w:val="26"/>
        </w:rPr>
        <w:t xml:space="preserve">6.1 Supuestos Técnicos</w:t>
      </w:r>
    </w:p>
    <w:p>
      <w:pPr>
        <w:pStyle w:val="ListParagraph"/>
        <w:numPr>
          <w:ilvl w:val="0"/>
          <w:numId w:val="2"/>
        </w:numPr>
        <w:spacing w:after="60" w:before="40"/>
      </w:pPr>
      <w:r>
        <w:rPr>
          <w:rFonts w:ascii="Arial" w:cs="Arial" w:eastAsia="Arial" w:hAnsi="Arial"/>
          <w:color w:val="404040"/>
          <w:sz w:val="22"/>
          <w:szCs w:val="22"/>
        </w:rPr>
        <w:t xml:space="preserve">El enlace a internet disponible tiene al menos 100 Mbps de subida real (no nominal contratado).</w:t>
      </w:r>
    </w:p>
    <w:p>
      <w:pPr>
        <w:pStyle w:val="ListParagraph"/>
        <w:numPr>
          <w:ilvl w:val="0"/>
          <w:numId w:val="2"/>
        </w:numPr>
        <w:spacing w:after="60" w:before="40"/>
      </w:pPr>
      <w:r>
        <w:rPr>
          <w:rFonts w:ascii="Arial" w:cs="Arial" w:eastAsia="Arial" w:hAnsi="Arial"/>
          <w:color w:val="404040"/>
          <w:sz w:val="22"/>
          <w:szCs w:val="22"/>
        </w:rPr>
        <w:t xml:space="preserve">Los datos en la NAS son accesibles vía SMB o NFS sin restricciones de red o sistema de archivos.</w:t>
      </w:r>
    </w:p>
    <w:p>
      <w:pPr>
        <w:pStyle w:val="ListParagraph"/>
        <w:numPr>
          <w:ilvl w:val="0"/>
          <w:numId w:val="2"/>
        </w:numPr>
        <w:spacing w:after="60" w:before="40"/>
      </w:pPr>
      <w:r>
        <w:rPr>
          <w:rFonts w:ascii="Arial" w:cs="Arial" w:eastAsia="Arial" w:hAnsi="Arial"/>
          <w:color w:val="404040"/>
          <w:sz w:val="22"/>
          <w:szCs w:val="22"/>
        </w:rPr>
        <w:t xml:space="preserve">La organización dispone de un dispositivo de red (router/firewall) compatible con IPSec/IKEv2 para la VPN S2S.</w:t>
      </w:r>
    </w:p>
    <w:p>
      <w:pPr>
        <w:pStyle w:val="ListParagraph"/>
        <w:numPr>
          <w:ilvl w:val="0"/>
          <w:numId w:val="2"/>
        </w:numPr>
        <w:spacing w:after="60" w:before="40"/>
      </w:pPr>
      <w:r>
        <w:rPr>
          <w:rFonts w:ascii="Arial" w:cs="Arial" w:eastAsia="Arial" w:hAnsi="Arial"/>
          <w:color w:val="404040"/>
          <w:sz w:val="22"/>
          <w:szCs w:val="22"/>
        </w:rPr>
        <w:t xml:space="preserve">Se estima que aproximadamente 1 TB de datos cambia o se agrega diariamente (delta diario incremental).</w:t>
      </w:r>
    </w:p>
    <w:p>
      <w:pPr>
        <w:pStyle w:val="ListParagraph"/>
        <w:numPr>
          <w:ilvl w:val="0"/>
          <w:numId w:val="2"/>
        </w:numPr>
        <w:spacing w:after="60" w:before="40"/>
      </w:pPr>
      <w:r>
        <w:rPr>
          <w:rFonts w:ascii="Arial" w:cs="Arial" w:eastAsia="Arial" w:hAnsi="Arial"/>
          <w:color w:val="404040"/>
          <w:sz w:val="22"/>
          <w:szCs w:val="22"/>
        </w:rPr>
        <w:t xml:space="preserve">La copia inicial abarcará los últimos 5 años, estimando entre 30 y 50 TB de datos históricos.</w:t>
      </w:r>
    </w:p>
    <w:p>
      <w:pPr>
        <w:pStyle w:val="ListParagraph"/>
        <w:numPr>
          <w:ilvl w:val="0"/>
          <w:numId w:val="2"/>
        </w:numPr>
        <w:spacing w:after="60" w:before="40"/>
      </w:pPr>
      <w:r>
        <w:rPr>
          <w:rFonts w:ascii="Arial" w:cs="Arial" w:eastAsia="Arial" w:hAnsi="Arial"/>
          <w:color w:val="404040"/>
          <w:sz w:val="22"/>
          <w:szCs w:val="22"/>
        </w:rPr>
        <w:t xml:space="preserve">No existen datos con clasificación especial (ej. datos personales sujetos a GDPR local) que impidan su almacenamiento en Azure fuera del país.</w:t>
      </w:r>
    </w:p>
    <w:p>
      <w:r>
        <w:t xml:space="preserve"/>
      </w:r>
    </w:p>
    <w:p>
      <w:pPr>
        <w:pStyle w:val="Heading2"/>
        <w:spacing w:after="100" w:before="280"/>
      </w:pPr>
      <w:r>
        <w:rPr>
          <w:rFonts w:ascii="Arial" w:cs="Arial" w:eastAsia="Arial" w:hAnsi="Arial"/>
          <w:b/>
          <w:bCs/>
          <w:color w:val="2E75B6"/>
          <w:sz w:val="26"/>
          <w:szCs w:val="26"/>
        </w:rPr>
        <w:t xml:space="preserve">6.2 Supuestos Operativos</w:t>
      </w:r>
    </w:p>
    <w:p>
      <w:pPr>
        <w:pStyle w:val="ListParagraph"/>
        <w:numPr>
          <w:ilvl w:val="0"/>
          <w:numId w:val="2"/>
        </w:numPr>
        <w:spacing w:after="60" w:before="40"/>
      </w:pPr>
      <w:r>
        <w:rPr>
          <w:rFonts w:ascii="Arial" w:cs="Arial" w:eastAsia="Arial" w:hAnsi="Arial"/>
          <w:color w:val="404040"/>
          <w:sz w:val="22"/>
          <w:szCs w:val="22"/>
        </w:rPr>
        <w:t xml:space="preserve">El cliente provee acceso administrativo (Owner) a la suscripción de Azure durante toda la implementación.</w:t>
      </w:r>
    </w:p>
    <w:p>
      <w:pPr>
        <w:pStyle w:val="ListParagraph"/>
        <w:numPr>
          <w:ilvl w:val="0"/>
          <w:numId w:val="2"/>
        </w:numPr>
        <w:spacing w:after="60" w:before="40"/>
      </w:pPr>
      <w:r>
        <w:rPr>
          <w:rFonts w:ascii="Arial" w:cs="Arial" w:eastAsia="Arial" w:hAnsi="Arial"/>
          <w:color w:val="404040"/>
          <w:sz w:val="22"/>
          <w:szCs w:val="22"/>
        </w:rPr>
        <w:t xml:space="preserve">Existe una ventana de mantenimiento nocturna (22:00–06:00 hrs) disponible para la carga de datos sin afectar operaciones.</w:t>
      </w:r>
    </w:p>
    <w:p>
      <w:pPr>
        <w:pStyle w:val="ListParagraph"/>
        <w:numPr>
          <w:ilvl w:val="0"/>
          <w:numId w:val="2"/>
        </w:numPr>
        <w:spacing w:after="60" w:before="40"/>
      </w:pPr>
      <w:r>
        <w:rPr>
          <w:rFonts w:ascii="Arial" w:cs="Arial" w:eastAsia="Arial" w:hAnsi="Arial"/>
          <w:color w:val="404040"/>
          <w:sz w:val="22"/>
          <w:szCs w:val="22"/>
        </w:rPr>
        <w:t xml:space="preserve">Los 20 usuarios a incorporar cuentan con dispositivos con sistema operativo Windows 10/11 o macOS 12+ para el cliente VPN P2S.</w:t>
      </w:r>
    </w:p>
    <w:p>
      <w:pPr>
        <w:pStyle w:val="ListParagraph"/>
        <w:numPr>
          <w:ilvl w:val="0"/>
          <w:numId w:val="2"/>
        </w:numPr>
        <w:spacing w:after="60" w:before="40"/>
      </w:pPr>
      <w:r>
        <w:rPr>
          <w:rFonts w:ascii="Arial" w:cs="Arial" w:eastAsia="Arial" w:hAnsi="Arial"/>
          <w:color w:val="404040"/>
          <w:sz w:val="22"/>
          <w:szCs w:val="22"/>
        </w:rPr>
        <w:t xml:space="preserve">El usuario propietario de la NAS está disponible durante las semanas de prueba para validar accesos y datos restaurados.</w:t>
      </w:r>
    </w:p>
    <w:p>
      <w:r>
        <w:t xml:space="preserve"/>
      </w:r>
    </w:p>
    <w:p>
      <w:pPr>
        <w:pStyle w:val="Heading2"/>
        <w:spacing w:after="100" w:before="280"/>
      </w:pPr>
      <w:r>
        <w:rPr>
          <w:rFonts w:ascii="Arial" w:cs="Arial" w:eastAsia="Arial" w:hAnsi="Arial"/>
          <w:b/>
          <w:bCs/>
          <w:color w:val="2E75B6"/>
          <w:sz w:val="26"/>
          <w:szCs w:val="26"/>
        </w:rPr>
        <w:t xml:space="preserve">6.3 Supuestos Económicos</w:t>
      </w:r>
    </w:p>
    <w:p>
      <w:pPr>
        <w:pStyle w:val="ListParagraph"/>
        <w:numPr>
          <w:ilvl w:val="0"/>
          <w:numId w:val="2"/>
        </w:numPr>
        <w:spacing w:after="60" w:before="40"/>
      </w:pPr>
      <w:r>
        <w:rPr>
          <w:rFonts w:ascii="Arial" w:cs="Arial" w:eastAsia="Arial" w:hAnsi="Arial"/>
          <w:color w:val="404040"/>
          <w:sz w:val="22"/>
          <w:szCs w:val="22"/>
        </w:rPr>
        <w:t xml:space="preserve">Los precios de Azure utilizados son los publicados en la región East US a mayo de 2025. Precios sujetos a cambio por Microsoft.</w:t>
      </w:r>
    </w:p>
    <w:p>
      <w:pPr>
        <w:pStyle w:val="ListParagraph"/>
        <w:numPr>
          <w:ilvl w:val="0"/>
          <w:numId w:val="2"/>
        </w:numPr>
        <w:spacing w:after="60" w:before="40"/>
      </w:pPr>
      <w:r>
        <w:rPr>
          <w:rFonts w:ascii="Arial" w:cs="Arial" w:eastAsia="Arial" w:hAnsi="Arial"/>
          <w:color w:val="404040"/>
          <w:sz w:val="22"/>
          <w:szCs w:val="22"/>
        </w:rPr>
        <w:t xml:space="preserve">No se incluye IVA ni impuestos locales en las estimaciones de costo.</w:t>
      </w:r>
    </w:p>
    <w:p>
      <w:pPr>
        <w:pStyle w:val="ListParagraph"/>
        <w:numPr>
          <w:ilvl w:val="0"/>
          <w:numId w:val="2"/>
        </w:numPr>
        <w:spacing w:after="60" w:before="40"/>
      </w:pPr>
      <w:r>
        <w:rPr>
          <w:rFonts w:ascii="Arial" w:cs="Arial" w:eastAsia="Arial" w:hAnsi="Arial"/>
          <w:color w:val="404040"/>
          <w:sz w:val="22"/>
          <w:szCs w:val="22"/>
        </w:rPr>
        <w:t xml:space="preserve">Se asume tier de almacenamiento Cool para la copia inicial histórica (&gt;90 días) y Hot para datos de los últimos 30 días.</w:t>
      </w:r>
    </w:p>
    <w:p>
      <w:pPr>
        <w:pStyle w:val="ListParagraph"/>
        <w:numPr>
          <w:ilvl w:val="0"/>
          <w:numId w:val="2"/>
        </w:numPr>
        <w:spacing w:after="60" w:before="40"/>
      </w:pPr>
      <w:r>
        <w:rPr>
          <w:rFonts w:ascii="Arial" w:cs="Arial" w:eastAsia="Arial" w:hAnsi="Arial"/>
          <w:color w:val="404040"/>
          <w:sz w:val="22"/>
          <w:szCs w:val="22"/>
        </w:rPr>
        <w:t xml:space="preserve">Los costos del VPN Gateway SKU VpnGw1 (~$140 USD/mes) están incluidos en la estimación mensual de Azure.</w:t>
      </w:r>
    </w:p>
    <w:p>
      <w:r>
        <w:br w:type="page"/>
      </w:r>
    </w:p>
    <w:p>
      <w:pPr>
        <w:pStyle w:val="Heading1"/>
        <w:spacing w:after="120" w:before="360"/>
      </w:pPr>
      <w:r>
        <w:rPr>
          <w:rFonts w:ascii="Arial" w:cs="Arial" w:eastAsia="Arial" w:hAnsi="Arial"/>
          <w:b/>
          <w:bCs/>
          <w:color w:val="1F4E79"/>
          <w:sz w:val="32"/>
          <w:szCs w:val="32"/>
        </w:rPr>
        <w:t xml:space="preserve">7. Plan de Tiempos</w:t>
      </w:r>
    </w:p>
    <w:p>
      <w:pPr>
        <w:pBdr>
          <w:bottom w:val="single" w:color="2E75B6" w:sz="6" w:space="1"/>
        </w:pBdr>
        <w:spacing w:after="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4560"/>
        <w:gridCol w:w="1400"/>
      </w:tblGrid>
      <w:tr>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1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Semanas</w:t>
            </w:r>
          </w:p>
        </w:tc>
        <w:tc>
          <w:tcPr>
            <w:tcW w:type="dxa" w:w="4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Actividades Principales</w:t>
            </w:r>
          </w:p>
        </w:tc>
        <w:tc>
          <w:tcPr>
            <w:tcW w:type="dxa" w:w="1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Fase 1: Análisis y Diseño</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1</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Inventario de datos en NAS, definición de política de retención, diseño de arquitectura, revisión de conectividad y ancho de banda real, definición de perfiles de usuarios.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Ing. Azure + Admin TI</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Fase 2: Aprovisionamiento Azure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2</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Creación de VNet, subredes, VPN Gateway (S2S + P2S), Storage Account / Recovery Vault, configuración de Azure AD con 20 usuarios y 3 perfiles RBAC, activación de MFA.</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Ing. Azure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Fase 3: Copia Inicial (Seed)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Semanas 3–5</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Transferencia de datos históricos de los últimos 5 años (~30–50 TB). Monitoreo de velocidad y estabilidad del enlace. Validación de integridad de archivos. Alternativa: Azure Data Box para volúmenes &gt; 40 TB.</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TI + Ing. Azure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Fase 4: Política Incremental</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6</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Configuración del script de backup diario (~1 TB), scheduler (Task Scheduler/cron), logs de auditoría, alertas de error por correo, prueba del ciclo completo.</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TI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Fase 5: Pruebas y Validación</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7</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Prueba de restore de archivos muestra, validación de acceso VPN P2S con los 10 usuarios remotos, verificación de perfiles RBAC, ajuste de políticas de acceso.</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Ing. Azure + Usuario NAS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Fase 6: Documentación y Cierre</w:t>
            </w:r>
          </w:p>
        </w:tc>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8</w:t>
            </w:r>
          </w:p>
        </w:tc>
        <w:tc>
          <w:tcPr>
            <w:tcW w:type="dxa" w:w="4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Entrega de runbook operativo, diagrama de arquitectura final, capacitación al Admin TI y usuario propietario, checklist de operación mensual.</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Ing. Azure + Admin TI</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FFF2CC" w:val="clear"/>
            <w:tcMar>
              <w:top w:type="dxa" w:w="120"/>
              <w:left w:type="dxa" w:w="180"/>
              <w:bottom w:type="dxa" w:w="120"/>
              <w:right w:type="dxa" w:w="120"/>
            </w:tcMar>
          </w:tcPr>
          <w:p>
            <w:pPr>
              <w:spacing w:after="40" w:before="40"/>
            </w:pPr>
            <w:r>
              <w:rPr>
                <w:rFonts w:ascii="Arial" w:cs="Arial" w:eastAsia="Arial" w:hAnsi="Arial"/>
                <w:b/>
                <w:bCs/>
                <w:color w:val="7B4400"/>
                <w:sz w:val="20"/>
                <w:szCs w:val="20"/>
              </w:rPr>
              <w:t xml:space="preserve">⚠  NOTA SOBRE LA COPIA INICIAL (SEED):</w:t>
            </w:r>
          </w:p>
          <w:p>
            <w:pPr>
              <w:spacing w:after="40" w:before="40"/>
            </w:pPr>
            <w:r>
              <w:rPr>
                <w:rFonts w:ascii="Arial" w:cs="Arial" w:eastAsia="Arial" w:hAnsi="Arial"/>
                <w:b w:val="false"/>
                <w:bCs w:val="false"/>
                <w:color w:val="7B4400"/>
                <w:sz w:val="20"/>
                <w:szCs w:val="20"/>
              </w:rPr>
              <w:t xml:space="preserve">   Con un enlace de 100 Mbps al 70% de uso efectivo (70 Mbps), transferir 30 TB toma</w:t>
            </w:r>
          </w:p>
          <w:p>
            <w:pPr>
              <w:spacing w:after="40" w:before="40"/>
            </w:pPr>
            <w:r>
              <w:rPr>
                <w:rFonts w:ascii="Arial" w:cs="Arial" w:eastAsia="Arial" w:hAnsi="Arial"/>
                <w:b w:val="false"/>
                <w:bCs w:val="false"/>
                <w:color w:val="7B4400"/>
                <w:sz w:val="20"/>
                <w:szCs w:val="20"/>
              </w:rPr>
              <w:t xml:space="preserve">   aproximadamente 41 días continuos. Si el volumen es de 50 TB, el tiempo es de ~68 días.</w:t>
            </w:r>
          </w:p>
          <w:p>
            <w:pPr>
              <w:spacing w:after="40" w:before="40"/>
            </w:pPr>
            <w:r>
              <w:rPr>
                <w:rFonts w:ascii="Arial" w:cs="Arial" w:eastAsia="Arial" w:hAnsi="Arial"/>
                <w:b w:val="false"/>
                <w:bCs w:val="false"/>
                <w:color w:val="7B4400"/>
                <w:sz w:val="20"/>
                <w:szCs w:val="20"/>
              </w:rPr>
              <w:t xml:space="preserve">   Se recomienda evaluar Azure Data Box (dispositivo físico de 40/80 TB) para reducir</w:t>
            </w:r>
          </w:p>
          <w:p>
            <w:pPr>
              <w:spacing w:after="40" w:before="40"/>
            </w:pPr>
            <w:r>
              <w:rPr>
                <w:rFonts w:ascii="Arial" w:cs="Arial" w:eastAsia="Arial" w:hAnsi="Arial"/>
                <w:b w:val="false"/>
                <w:bCs w:val="false"/>
                <w:color w:val="7B4400"/>
                <w:sz w:val="20"/>
                <w:szCs w:val="20"/>
              </w:rPr>
              <w:t xml:space="preserve">   este tiempo a 7–10 días de envío, sin saturar el enlace de internet corporativo.</w:t>
            </w:r>
          </w:p>
        </w:tc>
      </w:tr>
    </w:tbl>
    <w:p>
      <w:r>
        <w:t xml:space="preserve"/>
      </w:r>
    </w:p>
    <w:p>
      <w:pPr>
        <w:pStyle w:val="Heading2"/>
        <w:spacing w:after="100" w:before="280"/>
      </w:pPr>
      <w:r>
        <w:rPr>
          <w:rFonts w:ascii="Arial" w:cs="Arial" w:eastAsia="Arial" w:hAnsi="Arial"/>
          <w:b/>
          <w:bCs/>
          <w:color w:val="2E75B6"/>
          <w:sz w:val="26"/>
          <w:szCs w:val="26"/>
        </w:rPr>
        <w:t xml:space="preserve">7.1 Estimación de Tiempos de Transferencia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Ancho de banda</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Efectivo (70%)</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Tiempo 1 TB</w:t>
            </w:r>
          </w:p>
        </w:tc>
        <w:tc>
          <w:tcPr>
            <w:tcW w:type="dxa" w:w="1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Copia inicial 30 TB</w:t>
            </w:r>
          </w:p>
        </w:tc>
        <w:tc>
          <w:tcPr>
            <w:tcW w:type="dxa" w:w="18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Copia inicial 50 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 Mbps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7 Mbps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~13.3 días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~400 días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N/A (no viable)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50 Mbps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35 Mbps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~2.7 días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~81 días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~135 días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100 Mbps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70 Mbps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~1.3 días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~41 días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~68 días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200 Mbps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140 Mbps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~16 horas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~20 días</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~33 días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500 Mbps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350 Mbps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~6.5 horas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~8 días</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~13 días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Data Box</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N/A (físico)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N/A</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7–10 días (envío)</w:t>
            </w:r>
          </w:p>
        </w:tc>
        <w:tc>
          <w:tcPr>
            <w:tcW w:type="dxa" w:w="1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7–10 días (envío)</w:t>
            </w:r>
          </w:p>
        </w:tc>
      </w:tr>
    </w:tbl>
    <w:p>
      <w:r>
        <w:br w:type="page"/>
      </w:r>
    </w:p>
    <w:p>
      <w:pPr>
        <w:pStyle w:val="Heading1"/>
        <w:spacing w:after="120" w:before="360"/>
      </w:pPr>
      <w:r>
        <w:rPr>
          <w:rFonts w:ascii="Arial" w:cs="Arial" w:eastAsia="Arial" w:hAnsi="Arial"/>
          <w:b/>
          <w:bCs/>
          <w:color w:val="1F4E79"/>
          <w:sz w:val="32"/>
          <w:szCs w:val="32"/>
        </w:rPr>
        <w:t xml:space="preserve">8. Estimación de Costos Azure</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Los siguientes costos son estimaciones de referencia basadas en precios publicados por Microsoft Azure para la región East US a mayo de 2025. Se presentan dos escenarios de almacenamiento.</w:t>
      </w:r>
    </w:p>
    <w:p>
      <w:r>
        <w:t xml:space="preserve"/>
      </w:r>
    </w:p>
    <w:p>
      <w:pPr>
        <w:pStyle w:val="Heading2"/>
        <w:spacing w:after="100" w:before="280"/>
      </w:pPr>
      <w:r>
        <w:rPr>
          <w:rFonts w:ascii="Arial" w:cs="Arial" w:eastAsia="Arial" w:hAnsi="Arial"/>
          <w:b/>
          <w:bCs/>
          <w:color w:val="2E75B6"/>
          <w:sz w:val="26"/>
          <w:szCs w:val="26"/>
        </w:rPr>
        <w:t xml:space="preserve">8.1 Costos de Infraestructura Base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Recurso Azure</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SKU / Tier</w:t>
            </w:r>
          </w:p>
        </w:tc>
        <w:tc>
          <w:tcPr>
            <w:tcW w:type="dxa" w:w="2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Costo Estimado USD/mes</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Notas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Azure VPN Gateway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VpnGw1 (650 Mbps, S2S + P2S)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~$140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Incluye 10 túneles P2S sin costo adicional por usuario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AD / Entra ID</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P1 (por usuario)</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~$72 (20 usuarios × $3.60)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Incluye Conditional Access y SSO</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Log Analytics Workspace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Pay-as-you-go (5 GB/mes incl.)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~$10–25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Estimado por volumen de logs de VPN y backup</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Azure Monitor / Alertas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Primeras 1,000 alertas gratuitas</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~$0–5</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Alertas de backup y VPN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IP pública estática (VPN GW)</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Standard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~$3.65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Por dirección IP pública del gateway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Subtotal infraestructura</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~$225–245/mes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Sin almacenamiento</w:t>
            </w:r>
          </w:p>
        </w:tc>
      </w:tr>
    </w:tbl>
    <w:p>
      <w:r>
        <w:t xml:space="preserve"/>
      </w:r>
    </w:p>
    <w:p>
      <w:pPr>
        <w:pStyle w:val="Heading2"/>
        <w:spacing w:after="100" w:before="280"/>
      </w:pPr>
      <w:r>
        <w:rPr>
          <w:rFonts w:ascii="Arial" w:cs="Arial" w:eastAsia="Arial" w:hAnsi="Arial"/>
          <w:b/>
          <w:bCs/>
          <w:color w:val="2E75B6"/>
          <w:sz w:val="26"/>
          <w:szCs w:val="26"/>
        </w:rPr>
        <w:t xml:space="preserve">8.2 Costo de Almacenamiento — Escenario A (Conservador: 30 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Volumen</w:t>
            </w:r>
          </w:p>
        </w:tc>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Precio/GB·mes</w:t>
            </w:r>
          </w:p>
        </w:tc>
        <w:tc>
          <w:tcPr>
            <w:tcW w:type="dxa" w:w="2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Costo USD/mes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Hot (últimos 30 días, ~5 TB)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5,120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$0.018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~$92</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Cool (31–365 días, ~15 TB)</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15,360 GB</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$0.010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~$154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Archive (&gt; 1 año, ~10 TB)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10,240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$0.002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~$20</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Operaciones escritura (~2 TB/mes)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 TB incrementales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$0.065/10K ops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Operaciones lectura / restore (~0.5 TB)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512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$0.01/GB (Cool)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Total almacenamiento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30 TB total en Azure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~$279/mes</w:t>
            </w:r>
          </w:p>
        </w:tc>
      </w:tr>
    </w:tbl>
    <w:p>
      <w:r>
        <w:t xml:space="preserve"/>
      </w:r>
    </w:p>
    <w:p>
      <w:pPr>
        <w:pStyle w:val="Heading2"/>
        <w:spacing w:after="100" w:before="280"/>
      </w:pPr>
      <w:r>
        <w:rPr>
          <w:rFonts w:ascii="Arial" w:cs="Arial" w:eastAsia="Arial" w:hAnsi="Arial"/>
          <w:b/>
          <w:bCs/>
          <w:color w:val="2E75B6"/>
          <w:sz w:val="26"/>
          <w:szCs w:val="26"/>
        </w:rPr>
        <w:t xml:space="preserve">8.3 Costo de Almacenamiento — Escenario B (Completo: 50 TB)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800"/>
        <w:gridCol w:w="2360"/>
      </w:tblGrid>
      <w:tr>
        <w:tc>
          <w:tcPr>
            <w:tcW w:type="dxa" w:w="3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Volumen</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Precio/GB·mes</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Costo USD/mes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Hot (últimos 30 días, ~5 TB)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5,120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$0.018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~$92</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Cool (31–365 días, ~20 TB)</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20,480 GB</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$0.010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~$205</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Archive (&gt; 1 año, ~25 TB)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25,600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$0.002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~$51</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Operaciones escritura (~2 TB/mes)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 TB incrementales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$0.065/10K ops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Operaciones lectura / restore (~0.5 TB)</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512 GB</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$0.01/GB (Cool)</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Total almacenamiento</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50 TB total en Azure</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~$361/mes</w:t>
            </w:r>
          </w:p>
        </w:tc>
      </w:tr>
    </w:tbl>
    <w:p>
      <w:r>
        <w:t xml:space="preserve"/>
      </w:r>
    </w:p>
    <w:p>
      <w:pPr>
        <w:pStyle w:val="Heading2"/>
        <w:spacing w:after="100" w:before="280"/>
      </w:pPr>
      <w:r>
        <w:rPr>
          <w:rFonts w:ascii="Arial" w:cs="Arial" w:eastAsia="Arial" w:hAnsi="Arial"/>
          <w:b/>
          <w:bCs/>
          <w:color w:val="2E75B6"/>
          <w:sz w:val="26"/>
          <w:szCs w:val="26"/>
        </w:rPr>
        <w:t xml:space="preserve">8.4 Resumen de Costo Total Mensual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Escenario A (30 TB)</w:t>
            </w:r>
          </w:p>
        </w:tc>
        <w:tc>
          <w:tcPr>
            <w:tcW w:type="dxa" w:w="288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Escenario B (50 TB)</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Infraestructura base (VPN, AD, Monitor)</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~$235/mes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~$235/mes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Almacenamiento Azure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~$279/mes</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~$361/mes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TOTAL ESTIMADO MENSUAL</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~$514 USD/mes</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~$596 USD/mes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Costo anual proyectado</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~$6,168 USD/año</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~$7,152 USD/año</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left w:type="dxa" w:w="180"/>
              <w:bottom w:type="dxa" w:w="120"/>
              <w:right w:type="dxa" w:w="120"/>
            </w:tcMar>
          </w:tcPr>
          <w:p>
            <w:pPr>
              <w:spacing w:after="40" w:before="40"/>
            </w:pPr>
            <w:r>
              <w:rPr>
                <w:rFonts w:ascii="Arial" w:cs="Arial" w:eastAsia="Arial" w:hAnsi="Arial"/>
                <w:b/>
                <w:bCs/>
                <w:color w:val="1F4E79"/>
                <w:sz w:val="20"/>
                <w:szCs w:val="20"/>
              </w:rPr>
              <w:t xml:space="preserve">ℹ  NOTA: Los costos anteriores no incluyen IVA ni impuestos locales aplicables.</w:t>
            </w:r>
          </w:p>
          <w:p>
            <w:pPr>
              <w:spacing w:after="40" w:before="40"/>
            </w:pPr>
            <w:r>
              <w:rPr>
                <w:rFonts w:ascii="Arial" w:cs="Arial" w:eastAsia="Arial" w:hAnsi="Arial"/>
                <w:b w:val="false"/>
                <w:bCs w:val="false"/>
                <w:color w:val="1F4E79"/>
                <w:sz w:val="20"/>
                <w:szCs w:val="20"/>
              </w:rPr>
              <w:t xml:space="preserve">   El costo de implementación (horas de ingeniería) es adicional y depende del proveedor.</w:t>
            </w:r>
          </w:p>
          <w:p>
            <w:pPr>
              <w:spacing w:after="40" w:before="40"/>
            </w:pPr>
            <w:r>
              <w:rPr>
                <w:rFonts w:ascii="Arial" w:cs="Arial" w:eastAsia="Arial" w:hAnsi="Arial"/>
                <w:b w:val="false"/>
                <w:bCs w:val="false"/>
                <w:color w:val="1F4E79"/>
                <w:sz w:val="20"/>
                <w:szCs w:val="20"/>
              </w:rPr>
              <w:t xml:space="preserve">   Se recomienda validar precios en https://azure.microsoft.com/pricing/calculator/</w:t>
            </w:r>
          </w:p>
          <w:p>
            <w:pPr>
              <w:spacing w:after="40" w:before="40"/>
            </w:pPr>
            <w:r>
              <w:rPr>
                <w:rFonts w:ascii="Arial" w:cs="Arial" w:eastAsia="Arial" w:hAnsi="Arial"/>
                <w:b w:val="false"/>
                <w:bCs w:val="false"/>
                <w:color w:val="1F4E79"/>
                <w:sz w:val="20"/>
                <w:szCs w:val="20"/>
              </w:rPr>
              <w:t xml:space="preserve">   usando los parámetros específicos del entorno antes de aprobar el presupuesto.</w:t>
            </w:r>
          </w:p>
        </w:tc>
      </w:tr>
    </w:tbl>
    <w:p>
      <w:r>
        <w:br w:type="page"/>
      </w:r>
    </w:p>
    <w:p>
      <w:pPr>
        <w:pStyle w:val="Heading1"/>
        <w:spacing w:after="120" w:before="360"/>
      </w:pPr>
      <w:r>
        <w:rPr>
          <w:rFonts w:ascii="Arial" w:cs="Arial" w:eastAsia="Arial" w:hAnsi="Arial"/>
          <w:b/>
          <w:bCs/>
          <w:color w:val="1F4E79"/>
          <w:sz w:val="32"/>
          <w:szCs w:val="32"/>
        </w:rPr>
        <w:t xml:space="preserve">9. Política de Backup Incremental — Script</w:t>
      </w:r>
    </w:p>
    <w:p>
      <w:pPr>
        <w:pBdr>
          <w:bottom w:val="single" w:color="2E75B6" w:sz="6" w:space="1"/>
        </w:pBdr>
        <w:spacing w:after="0"/>
      </w:pPr>
    </w:p>
    <w:p>
      <w:r>
        <w:t xml:space="preserve"/>
      </w:r>
    </w:p>
    <w:p>
      <w:pPr>
        <w:spacing w:after="120" w:before="60"/>
      </w:pPr>
      <w:r>
        <w:rPr>
          <w:rFonts w:ascii="Arial" w:cs="Arial" w:eastAsia="Arial" w:hAnsi="Arial"/>
          <w:color w:val="404040"/>
          <w:sz w:val="22"/>
          <w:szCs w:val="22"/>
        </w:rPr>
        <w:t xml:space="preserve">Para el Escenario 2, se implementa un script de PowerShell que utiliza AzCopy para sincronizar diariamente los archivos modificados en la NAS hacia Azure Blob Storage. El script incluye logging, control de errores y notificación por correo en caso de falla.</w:t>
      </w:r>
    </w:p>
    <w:p>
      <w:r>
        <w:t xml:space="preserve"/>
      </w:r>
    </w:p>
    <w:p>
      <w:pPr>
        <w:pStyle w:val="Heading2"/>
        <w:spacing w:after="100" w:before="280"/>
      </w:pPr>
      <w:r>
        <w:rPr>
          <w:rFonts w:ascii="Arial" w:cs="Arial" w:eastAsia="Arial" w:hAnsi="Arial"/>
          <w:b/>
          <w:bCs/>
          <w:color w:val="2E75B6"/>
          <w:sz w:val="26"/>
          <w:szCs w:val="26"/>
        </w:rPr>
        <w:t xml:space="preserve">9.1 Lógica del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160"/>
      </w:tblGrid>
      <w:tr>
        <w:tc>
          <w:tcPr>
            <w:tcW w:type="dxa" w:w="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4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4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Autenticación en Azure usando Service Principal (sin contraseña interactiva)</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AzCopy / Azure CLI</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Sincronización incremental: solo archivos nuevos o modificados en las últimas 24 hrs</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AzCopy sync con --include-after</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Registro de bytes transferidos, archivos procesados y errores en log local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PowerShell / Bash</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Verificación de código de salida: si AzCopy retorna error, enviar alerta por correo</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Send-MailMessage / sendmail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Rotación de logs: conservar logs de los últimos 30 días, eliminar anteriores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Remove-Item con filtro de fecha</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4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Reporte diario opcional: resumen de la transferencia por correo al administrador</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Send-MailMessage</w:t>
            </w:r>
          </w:p>
        </w:tc>
      </w:tr>
    </w:tbl>
    <w:p>
      <w:r>
        <w:t xml:space="preserve"/>
      </w:r>
    </w:p>
    <w:p>
      <w:pPr>
        <w:pStyle w:val="Heading2"/>
        <w:spacing w:after="100" w:before="280"/>
      </w:pPr>
      <w:r>
        <w:rPr>
          <w:rFonts w:ascii="Arial" w:cs="Arial" w:eastAsia="Arial" w:hAnsi="Arial"/>
          <w:b/>
          <w:bCs/>
          <w:color w:val="2E75B6"/>
          <w:sz w:val="26"/>
          <w:szCs w:val="26"/>
        </w:rPr>
        <w:t xml:space="preserve">9.2 Parámetros de Retención Recomendados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c>
          <w:tcPr>
            <w:tcW w:type="dxa" w:w="2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Categoría de datos</w:t>
            </w:r>
          </w:p>
        </w:tc>
        <w:tc>
          <w:tcPr>
            <w:tcW w:type="dxa" w:w="18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 Azure</w:t>
            </w:r>
          </w:p>
        </w:tc>
        <w:tc>
          <w:tcPr>
            <w:tcW w:type="dxa" w:w="22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Tiempo de retención</w:t>
            </w:r>
          </w:p>
        </w:tc>
        <w:tc>
          <w:tcPr>
            <w:tcW w:type="dxa" w:w="25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 al vencer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Datos activos (últimos 30 días)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Hot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30 días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Mover a Cool automáticamente (Lifecycle Policy)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Datos recientes (31–365 días)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Cool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365 días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Mover a Archive automáticamente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Datos históricos (&gt; 1 año)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Archive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2–7 años (según política)</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Eliminar o mantener según definición del área</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Backup incremental diario</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Hot → Cool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Versiones de 90 días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Mantener las últimas 90 versiones diarias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none" w:color="FFFFFF" w:sz="0"/>
            </w:tcBorders>
            <w:shd w:fill="EBF3FB" w:val="clear"/>
            <w:tcMar>
              <w:top w:type="dxa" w:w="120"/>
              <w:left w:type="dxa" w:w="180"/>
              <w:bottom w:type="dxa" w:w="120"/>
              <w:right w:type="dxa" w:w="120"/>
            </w:tcMar>
          </w:tcPr>
          <w:p>
            <w:pPr>
              <w:spacing w:after="40" w:before="40"/>
            </w:pPr>
            <w:r>
              <w:rPr>
                <w:rFonts w:ascii="Arial" w:cs="Arial" w:eastAsia="Arial" w:hAnsi="Arial"/>
                <w:b/>
                <w:bCs/>
                <w:color w:val="1F4E79"/>
                <w:sz w:val="20"/>
                <w:szCs w:val="20"/>
              </w:rPr>
              <w:t xml:space="preserve">ℹ  Azure Blob Storage permite configurar Lifecycle Management Policies desde el portal,</w:t>
            </w:r>
          </w:p>
          <w:p>
            <w:pPr>
              <w:spacing w:after="40" w:before="40"/>
            </w:pPr>
            <w:r>
              <w:rPr>
                <w:rFonts w:ascii="Arial" w:cs="Arial" w:eastAsia="Arial" w:hAnsi="Arial"/>
                <w:b w:val="false"/>
                <w:bCs w:val="false"/>
                <w:color w:val="1F4E79"/>
                <w:sz w:val="20"/>
                <w:szCs w:val="20"/>
              </w:rPr>
              <w:t xml:space="preserve">   que automatizan el movimiento entre tiers (Hot → Cool → Archive → Delete) basándose</w:t>
            </w:r>
          </w:p>
          <w:p>
            <w:pPr>
              <w:spacing w:after="40" w:before="40"/>
            </w:pPr>
            <w:r>
              <w:rPr>
                <w:rFonts w:ascii="Arial" w:cs="Arial" w:eastAsia="Arial" w:hAnsi="Arial"/>
                <w:b w:val="false"/>
                <w:bCs w:val="false"/>
                <w:color w:val="1F4E79"/>
                <w:sz w:val="20"/>
                <w:szCs w:val="20"/>
              </w:rPr>
              <w:t xml:space="preserve">   en la antigüedad del objeto. Esto reduce costos operativos sin intervención manual.</w:t>
            </w:r>
          </w:p>
        </w:tc>
      </w:tr>
    </w:tbl>
    <w:p>
      <w:r>
        <w:br w:type="page"/>
      </w:r>
    </w:p>
    <w:p>
      <w:pPr>
        <w:pStyle w:val="Heading1"/>
        <w:spacing w:after="120" w:before="360"/>
      </w:pPr>
      <w:r>
        <w:rPr>
          <w:rFonts w:ascii="Arial" w:cs="Arial" w:eastAsia="Arial" w:hAnsi="Arial"/>
          <w:b/>
          <w:bCs/>
          <w:color w:val="1F4E79"/>
          <w:sz w:val="32"/>
          <w:szCs w:val="32"/>
        </w:rPr>
        <w:t xml:space="preserve">10. Próximos Pasos y Aprobación</w:t>
      </w:r>
    </w:p>
    <w:p>
      <w:pPr>
        <w:pBdr>
          <w:bottom w:val="single" w:color="2E75B6" w:sz="6" w:space="1"/>
        </w:pBdr>
        <w:spacing w:after="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400"/>
        <w:gridCol w:w="2360"/>
      </w:tblGrid>
      <w:tr>
        <w:tc>
          <w:tcPr>
            <w:tcW w:type="dxa" w:w="6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40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360"/>
            <w:tcBorders>
              <w:top w:val="single" w:color="CCCCCC" w:sz="4"/>
              <w:left w:val="single" w:color="CCCCCC" w:sz="4"/>
              <w:bottom w:val="single" w:color="CCCCCC" w:sz="4"/>
              <w:right w:val="single" w:color="CCCCCC"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Plazo</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1</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Validar ancho de banda real disponible (test de velocidad en horario pico y nocturno)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Admin TI</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0 – antes de iniciar</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2</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Confirmar compatibilidad del router/firewall on-premise con IPSec/IKEv2 para VPN S2S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TI</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0</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3</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Aprobar presupuesto mensual de Azure (~$514–596 USD/mes) y costo de implementación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Gerente de Área</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4</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Crear suscripción Azure o confirmar suscripción existente y asignar permisos de Owner al equipo de implementación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TI / Compras</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5</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Definir política de retención de datos y clasificación (¿cuántos años conservar en Archive?)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Propietario de datos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6</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Proporcionar listado de los 20 usuarios con correo corporativo, tipo de conexión y perfil requerido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Admin TI</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7</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Evaluar si el volumen de copia inicial (&gt;40 TB) justifica solicitar Azure Data Box para reducir tiempos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Ing. Azure + Admin TI</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04040"/>
                <w:sz w:val="20"/>
                <w:szCs w:val="20"/>
              </w:rPr>
              <w:t xml:space="preserve">Semana 1</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Firma de aceptación de esta propuesta y arranque formal del proyecto</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Gerente de Área</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404040"/>
                <w:sz w:val="20"/>
                <w:szCs w:val="20"/>
              </w:rPr>
              <w:t xml:space="preserve">Semana 1</w:t>
            </w:r>
          </w:p>
        </w:tc>
      </w:tr>
    </w:tbl>
    <w:p>
      <w:r>
        <w:t xml:space="preserve"/>
      </w:r>
    </w:p>
    <w:p>
      <w:r>
        <w:t xml:space="preserve"/>
      </w:r>
    </w:p>
    <w:p>
      <w:pPr>
        <w:pBdr>
          <w:top w:val="single" w:color="2E75B6" w:sz="4" w:space="8"/>
        </w:pBdr>
        <w:spacing w:after="120" w:before="480"/>
        <w:jc w:val="center"/>
      </w:pPr>
      <w:r>
        <w:rPr>
          <w:rFonts w:ascii="Arial" w:cs="Arial" w:eastAsia="Arial" w:hAnsi="Arial"/>
          <w:i/>
          <w:iCs/>
          <w:color w:val="595959"/>
          <w:sz w:val="18"/>
          <w:szCs w:val="18"/>
        </w:rPr>
        <w:t xml:space="preserve">Documento preparado por el equipo de Arquitectura Cloud</w:t>
      </w:r>
    </w:p>
    <w:p>
      <w:pPr>
        <w:jc w:val="center"/>
      </w:pPr>
      <w:r>
        <w:rPr>
          <w:rFonts w:ascii="Arial" w:cs="Arial" w:eastAsia="Arial" w:hAnsi="Arial"/>
          <w:i/>
          <w:iCs/>
          <w:color w:val="595959"/>
          <w:sz w:val="18"/>
          <w:szCs w:val="18"/>
        </w:rPr>
        <w:t xml:space="preserve">Mayo 2025 — Versión 1.0 — Confidencial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pPr>
    <w:r>
      <w:rPr>
        <w:rFonts w:ascii="Arial" w:cs="Arial" w:eastAsia="Arial" w:hAnsi="Arial"/>
        <w:color w:val="595959"/>
        <w:sz w:val="16"/>
        <w:szCs w:val="16"/>
      </w:rPr>
      <w:t xml:space="preserve">Propuesta Backup Azure — Mayo 2025  |  Confidencial — Uso Interno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60"/>
    </w:pPr>
    <w:r>
      <w:rPr>
        <w:rFonts w:ascii="Arial" w:cs="Arial" w:eastAsia="Arial" w:hAnsi="Arial"/>
        <w:color w:val="595959"/>
        <w:sz w:val="18"/>
        <w:szCs w:val="18"/>
      </w:rPr>
      <w:t xml:space="preserve">Propuesta Técnica — Backup NAS 70 TB en Azure</w:t>
    </w:r>
    <w:r>
      <w:rPr>
        <w:rFonts w:ascii="Arial" w:cs="Arial" w:eastAsia="Arial" w:hAnsi="Arial"/>
        <w:i/>
        <w:iCs/>
        <w:color w:val="595959"/>
        <w:sz w:val="18"/>
        <w:szCs w:val="18"/>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2026-05-27T04:49:00.358Z</dcterms:created>
  <dcterms:modified xsi:type="dcterms:W3CDTF">2026-05-27T04:49:00.359Z</dcterms:modified>
</cp:coreProperties>
</file>

<file path=docProps/custom.xml><?xml version="1.0" encoding="utf-8"?>
<Properties xmlns="http://schemas.openxmlformats.org/officeDocument/2006/custom-properties" xmlns:vt="http://schemas.openxmlformats.org/officeDocument/2006/docPropsVTypes"/>
</file>