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D2137"/>
          <w:sz w:val="56"/>
          <w:szCs w:val="56"/>
        </w:rPr>
        <w:t xml:space="preserve">PROPUESTA DE MIGRACIÓN</w:t>
      </w:r>
    </w:p>
    <w:p>
      <w:pPr>
        <w:pBdr>
          <w:bottom w:val="single" w:color="1565C0" w:sz="8" w:space="6"/>
        </w:pBdr>
        <w:spacing w:after="40" w:before="0"/>
        <w:jc w:val="center"/>
      </w:pPr>
      <w:r>
        <w:rPr>
          <w:rFonts w:ascii="Calibri" w:cs="Calibri" w:eastAsia="Calibri" w:hAnsi="Calibri"/>
          <w:color w:val="1565C0"/>
          <w:sz w:val="30"/>
          <w:szCs w:val="30"/>
        </w:rPr>
        <w:t xml:space="preserve">SQL Server Log Shipping  →  Always On Availability Groups</w:t>
      </w:r>
    </w:p>
    <w:p>
      <w:pPr>
        <w:spacing w:after="0" w:before="7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Basada en inventario técnico real  ·  9 Bases de datos  ·  ~51.5 GB  ·  3 instancias origen + 1 réplica remota</w:t>
      </w:r>
    </w:p>
    <w:p>
      <w:pPr>
        <w:spacing w:after="0" w:before="21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5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(datos reales del cliente)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Instancias origen (Log Shipping)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servidores: MXDF01PDBS003, MXDF01PDBS028, MXDF01PDBS004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Réplica remota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MXKI03PDBS001 (Site remoto MXKI03)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Bases de datos a migrar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 bases de datos de usuario (~51.5 GB total)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Versión SQL actual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 (14 servidores) y SQL Server 2019 (1 servidor)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⚠ Edición actual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Standard Edition — BLOQUEO CRÍTICO: Se requiere Enterprise Edition para Always On AG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Topología objetivo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1 instancia primaria (MXDF01) + 1 réplica remota (MXKI03) por cada AG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 semanas (~3 meses) desde kick-off hasta cierre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100" w:before="100"/>
      </w:pPr>
      <w:r>
        <w:rPr>
          <w:rFonts w:ascii="Calibri" w:cs="Calibri" w:eastAsia="Calibri" w:hAnsi="Calibri"/>
          <w:b/>
          <w:bCs/>
          <w:color w:val="B71C1C"/>
          <w:sz w:val="18"/>
          <w:szCs w:val="18"/>
        </w:rPr>
        <w:t xml:space="preserve">  ⚠  ALERTA CRÍTICA: Todos los servidores identificados tienen SQL Server Standard Edition. Always On AG completo requiere Enterprise Edition obligatoriamente. El proyecto no puede iniciar la Fase 2 sin confirmar la adquisición de licencias Enterprise para los 4 nodos en alcance.</w:t>
      </w:r>
    </w:p>
    <w:p>
      <w:r>
        <w:br w:type="page"/>
      </w:r>
    </w:p>
    <w:p>
      <w:pPr>
        <w:shd w:fill="0D2137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🔍  1.  Situación Actual (AS-IS)  </w:t>
      </w:r>
    </w:p>
    <w:p>
      <w:pPr>
        <w:shd w:fill="0D2137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Inventario técnico real proporcionado por el cliente  </w:t>
      </w:r>
    </w:p>
    <w:p>
      <w:pPr>
        <w:spacing w:after="0" w:before="7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1.1  Inventario de Servidores SQL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 cliente cuenta con 15 instancias SQL Server distribuidas en dos sitios. El análisis del inventario revela tres hallazgos críticos: (1) todos los servidores operan con Standard Edition, (2) tres servidores tienen Log Shipping activo como mecanismo de replicación actual, y (3) los niveles de Cumulative Update no están homogeneizados entre todos los nodos.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800"/>
        <w:gridCol w:w="900"/>
        <w:gridCol w:w="900"/>
        <w:gridCol w:w="800"/>
        <w:gridCol w:w="560"/>
      </w:tblGrid>
      <w:tr>
        <w:tc>
          <w:tcPr>
            <w:tcW w:type="dxa" w:w="2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Servidor (Host)</w:t>
            </w:r>
          </w:p>
        </w:tc>
        <w:tc>
          <w:tcPr>
            <w:tcW w:type="dxa" w:w="1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SQL</w:t>
            </w:r>
          </w:p>
        </w:tc>
        <w:tc>
          <w:tcPr>
            <w:tcW w:type="dxa" w:w="1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Edición</w:t>
            </w:r>
          </w:p>
        </w:tc>
        <w:tc>
          <w:tcPr>
            <w:tcW w:type="dxa" w:w="8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</w:t>
            </w:r>
          </w:p>
        </w:tc>
        <w:tc>
          <w:tcPr>
            <w:tcW w:type="dxa" w:w="9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9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Cores</w:t>
            </w:r>
          </w:p>
        </w:tc>
        <w:tc>
          <w:tcPr>
            <w:tcW w:type="dxa" w:w="8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Actual</w:t>
            </w:r>
          </w:p>
        </w:tc>
        <w:tc>
          <w:tcPr>
            <w:tcW w:type="dxa" w:w="5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LogShipping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LogShipping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LogShipping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MXDF01PDBS001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CU11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31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MXDF01PDBS002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MXDF01PDBS008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MXDF01PDBS011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CU23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MXDF01PDBS017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MXDF01PDBS018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MXDF01PDBS019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MXDF01PDBS023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MXDF01PDBS029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MXDF01PDBS038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2019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CU32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MXDF01PDBS042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CU25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GB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Réplica remota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7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1.2  Bases de Datos en Log Shipping — Candidatas a Migración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 identificaron 9 bases de datos de usuario distribuidas en 3 instancias con Log Shipping activo. Estas son las bases de datos que migrarán a Always On Availability Groups: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360"/>
        <w:gridCol w:w="1300"/>
        <w:gridCol w:w="2500"/>
      </w:tblGrid>
      <w:tr>
        <w:tc>
          <w:tcPr>
            <w:tcW w:type="dxa" w:w="2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Servidor Log Shipping</w:t>
            </w:r>
          </w:p>
        </w:tc>
        <w:tc>
          <w:tcPr>
            <w:tcW w:type="dxa" w:w="2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13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Tamaño (MB)</w:t>
            </w:r>
          </w:p>
        </w:tc>
        <w:tc>
          <w:tcPr>
            <w:tcW w:type="dxa" w:w="13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Tamaño (GB)</w:t>
            </w:r>
          </w:p>
        </w:tc>
        <w:tc>
          <w:tcPr>
            <w:tcW w:type="dxa" w:w="25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/ Notas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INSUMOS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4,239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~4.1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BD de insumos / operativa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REPORTWARE_IFRS9_CORE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2,196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~2.1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Reportes IFRS9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RISKWARE_CORE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17,318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~16.9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Mayor BD del servidor — riesgo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RISKWARE_COMPUTO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419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~0.4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Módulo de cómputo de riesgo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SICC_CORE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416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~0.4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Sistema contable core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SICC_CORE_ANT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416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~0.4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Histórico SICC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CRR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26,894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~26.3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BD más grande del proyecto ⚠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CRR_BRISKHUB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10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~0.01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Auxiliar de CRR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CGS_REPO_CONF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923 MB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~0.9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Repositorio de configuración</w:t>
            </w:r>
          </w:p>
        </w:tc>
      </w:tr>
      <w:t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 —  9 bases de datos</w:t>
            </w:r>
          </w:p>
        </w:tc>
        <w:tc>
          <w:tcPr>
            <w:tcW w:type="dxa" w:w="1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— </w:t>
            </w:r>
          </w:p>
        </w:tc>
        <w:tc>
          <w:tcPr>
            <w:tcW w:type="dxa" w:w="1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~51.5 GB</w:t>
            </w:r>
          </w:p>
        </w:tc>
        <w:tc>
          <w:tcPr>
            <w:tcW w:type="dxa" w:w="2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0AEC0"/>
                <w:sz w:val="18"/>
                <w:szCs w:val="18"/>
              </w:rPr>
              <w:t xml:space="preserve">3 servidores origen (Log Shipping activo)</w:t>
            </w:r>
          </w:p>
        </w:tc>
      </w:tr>
    </w:tbl>
    <w:p>
      <w:pPr>
        <w:spacing w:after="0" w:before="7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1.3  Análisis de Almacenamiento — Servidores en Alcance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La siguiente tabla muestra el estado de almacenamiento de los 4 servidores involucrados en el proyecto. Se identificaron dos alertas de capacidad que deben resolverse antes de iniciar la Fase 3: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W w:type="dxa" w:w="2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Servidor</w:t>
            </w:r>
          </w:p>
        </w:tc>
        <w:tc>
          <w:tcPr>
            <w:tcW w:type="dxa" w:w="5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Vol.</w:t>
            </w:r>
          </w:p>
        </w:tc>
        <w:tc>
          <w:tcPr>
            <w:tcW w:type="dxa" w:w="1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(GB)</w:t>
            </w:r>
          </w:p>
        </w:tc>
        <w:tc>
          <w:tcPr>
            <w:tcW w:type="dxa" w:w="1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Libre (GB)</w:t>
            </w:r>
          </w:p>
        </w:tc>
        <w:tc>
          <w:tcPr>
            <w:tcW w:type="dxa" w:w="1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Usado (GB)</w:t>
            </w:r>
          </w:p>
        </w:tc>
        <w:tc>
          <w:tcPr>
            <w:tcW w:type="dxa" w:w="1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Uso</w:t>
            </w:r>
          </w:p>
        </w:tc>
        <w:tc>
          <w:tcPr>
            <w:tcW w:type="dxa" w:w="1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8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94.7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54.6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37%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OS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25.3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24.7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49%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32.9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17.1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34%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Databases ⚠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6"/>
                <w:szCs w:val="16"/>
              </w:rPr>
              <w:t xml:space="preserve">Capacidad limitada para el seed AG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34.3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15.7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31%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Backups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42.4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7.6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99.1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50.2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34%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OS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25.3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24.7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49%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36.5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13.5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27%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DBs and Logs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21.8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28.2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56%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Backups ⚠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6"/>
                <w:szCs w:val="16"/>
              </w:rPr>
              <w:t xml:space="preserve">Capacidad limitada para el seed AG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37.1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12.9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26%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97.3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52.0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OS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40.2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9.8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49.2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0.8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Databases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49.2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0.8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Backups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49.7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0.3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1%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104.4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44.9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OS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28.5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21.5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43%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49.9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0.1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DBs and Logs ✔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19.7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30.3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61%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Backups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</w:t>
            </w:r>
          </w:p>
        </w:tc>
        <w:tc>
          <w:tcPr>
            <w:tcW w:type="dxa" w:w="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G: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49.9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0.1 GB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OK</w:t>
            </w:r>
          </w:p>
        </w:tc>
      </w:tr>
    </w:tbl>
    <w:p>
      <w:r>
        <w:br w:type="pag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1.4  Diagnóstico del Log Shipping Actual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 mecanismo de replicación actual basado en Log Shipping presenta las siguientes características y limitaciones:</w:t>
      </w:r>
    </w:p>
    <w:p>
      <w:pPr>
        <w:spacing w:after="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Mecanismo: Backup de log de transacciones → copia por red → restore en servidor secundario (proceso en 3 pasos con latencia acumulada).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RPO actual: Igual al intervalo de restore del Log Shipping. Con Log Shipping, el RPO puede ser de minutos a horas dependiendo de la frecuencia configurada.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Failover: Manual y lento. No existe failover automático con Log Shipping; requiere intervención del DBA y tiempo de inactividad de la aplicación.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Transparencia para aplicaciones: Nula. Las aplicaciones apuntan directamente al hostname del servidor primario. Un failover exige cambiar las cadenas de conexión manualmente.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Readable Secondary: No disponible. Los secundarios de Log Shipping en modo NORECOVERY no son accesibles para consultas.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Monitoreo: Basado en SQL Agent Jobs; puede haber retrasos sin alertas proactivas.</w:t>
      </w:r>
    </w:p>
    <w:p>
      <w:pPr>
        <w:spacing w:after="0" w:before="70"/>
      </w:pPr>
      <w:r>
        <w:t xml:space="preserve"/>
      </w:r>
    </w:p>
    <w:p>
      <w:pPr>
        <w:pBdr>
          <w:left w:val="single" w:color="1B5E20" w:sz="16" w:space="4"/>
        </w:pBd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1B5E20"/>
          <w:sz w:val="18"/>
          <w:szCs w:val="18"/>
        </w:rPr>
        <w:t xml:space="preserve">  Diferencia clave con Always On: Always On AG en modo síncrono garantiza RPO = 0, failover automático en &lt; 30 segundos y un AG Listener que redirige las conexiones automáticamente sin cambios en las aplicaciones (excepto agregar MultiSubnetFailover=True).</w:t>
      </w:r>
    </w:p>
    <w:p>
      <w:r>
        <w:br w:type="page"/>
      </w:r>
    </w:p>
    <w:p>
      <w:pPr>
        <w:shd w:fill="1565C0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🎯  2.  Objetivos  </w:t>
      </w:r>
    </w:p>
    <w:p>
      <w:pPr>
        <w:shd w:fill="1565C0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Qué se busca lograr con la migración a Always On  </w:t>
      </w:r>
    </w:p>
    <w:p>
      <w:pPr>
        <w:spacing w:after="0" w:before="7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2.1  Objetivo General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Migrar la infraestructura de replicación de bases de datos de las 3 instancias SQL Server con Log Shipping activo (MXDF01PDBS003, MXDF01PDBS028 y MXDF01PDBS004) a SQL Server Always On Availability Groups, con una réplica remota en MXKI03PDBS001, garantizando alta disponibilidad, continuidad del negocio y eliminando las limitaciones operativas del Log Shipping.</w:t>
      </w:r>
    </w:p>
    <w:p>
      <w:pPr>
        <w:spacing w:after="0" w:before="14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2.2  Objetivos Específicos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Implementar 3 Availability Groups (uno por instancia origen) con réplica síncrona local y réplica asíncrona remota en MXKI03PDBS001.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Migrar las 9 bases de datos de usuario (~51.5 GB) sin pérdida de datos y con downtime limitado a la ventana de mantenimiento acordada.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Lograr RPO = 0 (modo síncrono) y RTO &lt; 30 segundos mediante failover automático entre nodos primarios.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Configurar 3 AG Listeners (uno por AG) para que las aplicaciones se reconecten automáticamente ante un failover sin cambios adicionales.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Actualizar el mecanismo de backups para que se ejecuten en la réplica secundaria, sin impactar el rendimiento del nodo primario.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Actualizar las cadenas de conexión de todas las aplicaciones para apuntar al AG Listener con MultiSubnetFailover=True.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Capacitar al equipo de operaciones en los procedimientos de monitoreo, failover y gestión del AG.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Documentar la arquitectura destino, runbooks de failover y procedimientos de recuperación ante desastre.</w:t>
      </w:r>
    </w:p>
    <w:p>
      <w:r>
        <w:br w:type="page"/>
      </w:r>
    </w:p>
    <w:p>
      <w:pPr>
        <w:shd w:fill="4A148C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🏗️  3.  Arquitectura  </w:t>
      </w:r>
    </w:p>
    <w:p>
      <w:pPr>
        <w:shd w:fill="4A148C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Comparativa AS-IS vs TO-BE con servidores reales del inventario  </w:t>
      </w:r>
    </w:p>
    <w:p>
      <w:pPr>
        <w:spacing w:after="0" w:before="7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3.1  Arquitectura AS-IS — Log Shipping (Estado Actual)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Site Local (MXDF01) — Primario</w:t>
            </w:r>
          </w:p>
        </w:tc>
        <w:tc>
          <w:tcPr>
            <w:tcW w:type="dxa" w:w="472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455A64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Site Remoto (MXKI03) — Secundario Log Shipping</w:t>
            </w:r>
          </w:p>
        </w:tc>
      </w:tr>
      <w:tr>
        <w:tc>
          <w:tcPr>
            <w:tcW w:type="dxa" w:w="46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MXDF01PDBS003  (SQL 2022 Std / 15 GB RAM)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BDs: INSUMOS, REPORTWARE_IFRS9_CORE, RISKWARE_CORE,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       RISKWARE_COMPUTO, SICC_CORE, SICC_CORE_ANT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MXDF01PDBS028  (SQL 2022 Std / 15 GB RAM)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BDs: CRR, CRR_BRISKHUB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MXDF01PDBS004  (SQL 2022 Std / 15 GB RAM)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BDs: CGS_REPO_CONF</w:t>
            </w:r>
          </w:p>
        </w:tc>
        <w:tc>
          <w:tcPr>
            <w:tcW w:type="dxa" w:w="4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MXKI03PDBS001  (SQL 2022 Std / 15 GB RAM)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Réplica actual por Log Shipping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DT_Archive8 (6,185 MB) — BD propia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Mecanismo: Backup → Red → Restore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RPO: variable (minutos a horas)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RTO: manual (horas)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Failover: NO automático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3.2  Arquitectura TO-BE — Always On AG (Objetivo)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Site Local MXDF01 — Primario (Read/Write)</w:t>
            </w:r>
          </w:p>
        </w:tc>
        <w:tc>
          <w:tcPr>
            <w:tcW w:type="dxa" w:w="472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Site Remoto MXKI03 — Réplica (Read/Only o Standby)</w:t>
            </w:r>
          </w:p>
        </w:tc>
      </w:tr>
      <w:tr>
        <w:tc>
          <w:tcPr>
            <w:tcW w:type="dxa" w:w="46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AG_003 — MXDF01PDBS003  (SQL 2022 Enterprise)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BDs: INSUMOS, REPORTWARE_IFRS9_CORE, RISKWARE_CORE,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       RISKWARE_COMPUTO, SICC_CORE, SICC_CORE_ANT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Listener: AG-LISTENER-003 | Puerto 1433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AG_028 — MXDF01PDBS028  (SQL 2022 Enterprise)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BDs: CRR, CRR_BRISKHUB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Listener: AG-LISTENER-028 | Puerto 1433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AG_004 — MXDF01PDBS004  (SQL 2022 Enterprise)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BDs: CGS_REPO_CONF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Listener: AG-LISTENER-004 | Puerto 1433</w:t>
            </w:r>
          </w:p>
        </w:tc>
        <w:tc>
          <w:tcPr>
            <w:tcW w:type="dxa" w:w="4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MXKI03PDBS001  (SQL 2022 Enterprise)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Réplica de los 3 AGs en modo ASÍNCRONO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(Latencia WAN justifica asíncrono)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Mecanismo: Replicación de log en tiempo real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RPO = 0 (síncrono local) / minutos (asíncrono remoto)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RTO: &lt; 30 segundos (automático local)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Failover: AUTOMÁTICO (nodo primario caído)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Drivers de aplicación: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Server=AG-LISTENER-XXX,1433;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MultiSubnetFailover=True;</w:t>
            </w:r>
          </w:p>
          <w:p>
            <w:pPr>
              <w:spacing w:after="0" w:before="36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ApplicationIntent=ReadOnly (reportes)</w:t>
            </w:r>
          </w:p>
        </w:tc>
      </w:tr>
    </w:tbl>
    <w:p>
      <w:r>
        <w:br w:type="page"/>
      </w:r>
    </w:p>
    <w:p>
      <w:pPr>
        <w:shd w:fill="1B5E20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✅  4.  Alcance del Proyecto  </w:t>
      </w:r>
    </w:p>
    <w:p>
      <w:pPr>
        <w:shd w:fill="1B5E20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Qué está incluido en esta propuesta  </w:t>
      </w:r>
    </w:p>
    <w:p>
      <w:pPr>
        <w:spacing w:after="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Migración de las 9 bases de datos de usuario de los 3 servidores con Log Shipping activo (MXDF01PDBS003, MXDF01PDBS028, MXDF01PDBS004) a Always On AG.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Implementación de 3 Availability Groups, uno por instancia origen, con réplica en MXKI03PDBS001.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Configuración de WSFC (Windows Server Failover Clustering) en los 4 nodos participantes.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Instalación/actualización de SQL Server 2022 Enterprise Edition en los 4 nodos (3 locales + MXKI03PDBS001).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Creación de 3 AG Listeners con IPs virtuales (una por AG).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Configuración de Read-Only Routing en las réplicas secundarias.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Alineación del Cumulative Update (CU) en todos los nodos al mismo nivel.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Recreación de objetos de instancia en MXKI03PDBS001: logins SQL, SQL Agent Jobs, credenciales y Linked Servers.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Actualización de cadenas de conexión de aplicaciones para apuntar a los AG Listeners.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Desactivación formal del Log Shipping en los 3 servidores origen post-cutover.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Configuración de política de backups en la réplica secundaria (AUTOMATED_BACKUP_PREFERENCE=SECONDARY).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Pruebas de failover manual y automático en ambiente de QA/validación.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Monitoreo intensivo post-Go-Live (mínimo 72 horas).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Documentación técnica final: arquitectura TO-BE, runbooks, procedimientos de failover.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Capacitación al equipo de operaciones del cliente.</w:t>
      </w:r>
    </w:p>
    <w:p>
      <w:r>
        <w:br w:type="page"/>
      </w:r>
    </w:p>
    <w:p>
      <w:pPr>
        <w:shd w:fill="B71C1C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🚫  5.  Fuera de Alcance  </w:t>
      </w:r>
    </w:p>
    <w:p>
      <w:pPr>
        <w:shd w:fill="B71C1C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Qué NO está incluido en esta propuesta  </w:t>
      </w:r>
    </w:p>
    <w:p>
      <w:pPr>
        <w:spacing w:after="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Migración o configuración de los 11 servidores SQL sin Log Shipping activo (MXDF01PDBS001, 002, 008, 011, 017, 018, 019, 023, 029, 038, 042).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Actualización de SQL Server 2019 a 2022 en MXDF01PDBS038 (no participa en el AG de este proyecto).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Rediseño del modelo de datos, esquemas o procedimientos almacenados en las bases de datos.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Modificación de lógica de negocio en aplicaciones cliente.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Adquisición o gestión de licencias SQL Server Enterprise Edition (responsabilidad del cliente).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Implementación de Always On en ambientes de Desarrollo o QA (salvo que se requiera explícitamente para pruebas).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Configuración de Distributed Availability Groups entre datacenters geográficamente distantes.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Migración de la base de datos DT_Archive8 (propia de MXKI03PDBS001, no relacionada con Log Shipping).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Soporte a aplicaciones que no puedan modificar su cadena de conexión (se documentará como excepción y riesgo residual).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Configuración de SolarWinds ni sus bases de datos (MXDF01PDBS011 está fuera del alcance).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Gestión del volumen de almacenamiento (ampliación de discos o LUNs) — responsabilidad del equipo de infraestructura del cliente.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Configuración de SSRS, SSAS o SSIS en las instancias involucradas.</w:t>
      </w:r>
    </w:p>
    <w:p>
      <w:r>
        <w:br w:type="page"/>
      </w:r>
    </w:p>
    <w:p>
      <w:pPr>
        <w:shd w:fill="F57F17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📌  6.  Supuestos del Proyecto  </w:t>
      </w:r>
    </w:p>
    <w:p>
      <w:pPr>
        <w:shd w:fill="F57F17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Condiciones que se asumen como verdaderas para la validez de esta propuesta  </w:t>
      </w:r>
    </w:p>
    <w:p>
      <w:pPr>
        <w:spacing w:after="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El cliente adquirirá las licencias de SQL Server 2022 Enterprise Edition para los 4 nodos en alcance ANTES de iniciar la Fase 2. Sin este requisito el proyecto no puede continuar.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Los 4 servidores (MXDF01PDBS003, 028, 004 y MXKI03PDBS001) están integrados al mismo dominio de Active Directory o a dominios con relación de confianza.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El área de redes del cliente habilitará los puertos TCP 1433, 5022 y TCP/UDP 3343 entre los nodos del AG en un plazo máximo de 5 días hábiles tras la solicitud.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El equipo de redes asignará 3 IPs virtuales para los AG Listeners (una por instancia origen) en el segmento de red correspondiente.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El cliente designará un responsable técnico interno con disponibilidad mínima del 50% durante todo el proyecto para validaciones y aprobaciones.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Las aplicaciones que conectan a las instancias en Log Shipping pueden ser modificadas por el equipo de desarrollo del cliente para actualizar sus cadenas de conexión.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El volumen F: de MXDF01PDBS028 (Backups) será ampliado o se habilitará una ruta de red alternativa antes de la Fase 3 para el backup del seed de CRR (~26 GB).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La ventana de mantenimiento para el cutover a producción será de mínimo 6 horas durante un fin de semana acordado con al menos 72 horas de anticipación.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Los 4 nodos cuentan con Windows Server 2019 o 2022 instalado y actualizado (pendiente de confirmar en Fase 1 de levantamiento).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Las bases de datos de usuario en Log Shipping serán cambiadas a modo de recuperación FULL (si no lo están) como parte de las actividades del proyecto.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MXKI03PDBS001 tiene conectividad de red estable con el site MXDF01. La latencia WAN se medirá en la Fase 1 para determinar el modo de sincronización (síncrono/asíncrono).</w:t>
      </w:r>
    </w:p>
    <w:p>
      <w:r>
        <w:br w:type="page"/>
      </w:r>
    </w:p>
    <w:p>
      <w:pPr>
        <w:shd w:fill="006064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⚙️  7.  Requerimientos Técnicos  </w:t>
      </w:r>
    </w:p>
    <w:p>
      <w:pPr>
        <w:shd w:fill="006064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Condiciones de infraestructura necesarias para implementar Always On AG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5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/ Descripción</w:t>
            </w:r>
          </w:p>
        </w:tc>
        <w:tc>
          <w:tcPr>
            <w:tcW w:type="dxa" w:w="36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Edición SQL Server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Enterprise Edition — OBLIGATORIO para Always On AG. Los 4 nodos (3 locales + MXKI03PDBS001) deben tener Enterprise. ⚠ Hoy todos tienen Standard.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Adquirir 4 licencias Enterprise Edition (Core-based). Con Software Assurance, las réplicas secundarias pasivas no requieren licencia adicional.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Versión SQL Server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SQL Server 2022 en todos los nodos (ya cumplido, excepto MXDF01PDBS038 con 2019 — fuera de alcance).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No acción para los 4 nodos en alcance. MXDF01PDBS038 queda fuera de este proyecto.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Cumulative Update (CU)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Todos los nodos deben estar en el MISMO nivel de CU. Hoy: CU25 (003/028/004) y CU25 (MXKI03). Los nodos en alcance ya están alineados en CU25.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Verificar que MXKI03PDBS001 esté en CU25. Aplicar si difiere. Planear en Fase 2.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Windows Server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Windows Server 2019 o 2022 en todos los nodos. (No confirmado en el inventario — validar en Fase 1).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Confirmar versión de OS en los 4 nodos durante el levantamiento técnico.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WSFC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Windows Server Failover Clustering en los nodos participantes del mismo AG. Mínimo 1 cluster para el sitio local.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Crear WSFC en los nodos de Site MXDF01. MXKI03 se agrega como nodo del cluster multi-sitio o como nodo en cluster separado (stretched cluster).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Quórum WSFC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File Share Witness o Cloud Witness (Azure Storage) para desempate de quórum.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Recomendado: Cloud Witness (Azure Blob Storage) por simplicidad y resiliencia geográfica. Confirmar conectividad a Azure.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Red — Replicación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Puerto TCP 5022 abierto entre MXDF01 y MXKI03. Red dedicada o VLAN para tráfico de replicación del AG.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Validar latencia entre MXDF01 y MXKI03. Si latencia WAN &gt; 5 ms, configurar réplica MXKI03 en modo asíncrono obligatoriamente.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Red — AG Listener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 IPs virtuales (una por AG Listener) en el segmento de red del Site MXDF01.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Coordinar con el área de redes la asignación de 3 IPs virtuales antes de la Fase 3.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Volúmenes separados DATA/LOG/TEMPDB/BACKUP en cada nodo. Espacio disponible para seed inicial.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⚠ Volumen F: de MXDF01PDBS028 insuficiente para backup de CRR (26 GB). Acción requerida antes de Fase 3.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Puertos de firewall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TCP 1433 (SQL), TCP 5022 (AG endpoint), TCP/UDP 3343 (WSFC heartbeat).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Solicitar apertura de puertos al equipo de seguridad de red en Fase 2.</w:t>
            </w:r>
          </w:p>
        </w:tc>
      </w:tr>
    </w:tbl>
    <w:p>
      <w:r>
        <w:br w:type="page"/>
      </w:r>
    </w:p>
    <w:p>
      <w:pPr>
        <w:shd w:fill="4A148C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👥  8.  Requerimientos de Recursos Humanos  </w:t>
      </w:r>
    </w:p>
    <w:p>
      <w:pPr>
        <w:shd w:fill="4A148C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Perfiles requeridos para la ejecución del proyecto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760"/>
      </w:tblGrid>
      <w:tr>
        <w:tc>
          <w:tcPr>
            <w:tcW w:type="dxa" w:w="2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  <w:tc>
          <w:tcPr>
            <w:tcW w:type="dxa" w:w="3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 principales</w:t>
            </w:r>
          </w:p>
        </w:tc>
        <w:tc>
          <w:tcPr>
            <w:tcW w:type="dxa" w:w="1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  <w:tc>
          <w:tcPr>
            <w:tcW w:type="dxa" w:w="27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requerido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DBA Senior / Arq. SQL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Diseño TO-BE, configuración AG/WSFC/Listener, migración de BDs, pruebas de failover, monitoreo post-Go-Live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100% durante el proyecto (≈210 hrs)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5+ años en SQL Server 2019/2022, experiencia certificable en Always On AG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Arquitecto de Infraestructura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Configuración WSFC, red, firewall, almacenamiento, instalación SQL Enterprise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60–70% durante Fases 2–3 (≈74 hrs)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Windows Server, clustering, Active Directory, storage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Desarrollador / Arquitecto de Apps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Inventario de cadenas de conexión, actualización de drivers y conexiones en apps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40–50% en Fases 1 y 4 (≈46 hrs)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Conocimiento del stack tecnológico de las aplicaciones del cliente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Gerente de Proyecto / PMO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Coordinación, seguimiento, control de cambios, comunicación con el cliente, gestión de riesgos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50% durante todo el proyecto (≈54 hrs)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PMP o equivalente, experiencia en proyectos de infraestructura TI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Responsable técnico del cliente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Proveer información, gestionar aprobaciones internas, coordinar áreas de red/infra/apps del cliente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Mínimo 50% disponibilidad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7"/>
                <w:szCs w:val="17"/>
              </w:rPr>
              <w:t xml:space="preserve">Conocimiento del ambiente SQL del cliente</w:t>
            </w:r>
          </w:p>
        </w:tc>
      </w:tr>
    </w:tbl>
    <w:p>
      <w:r>
        <w:br w:type="page"/>
      </w:r>
    </w:p>
    <w:p>
      <w:pPr>
        <w:shd w:fill="1B5E20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📋  9.  Plan de Actividades y Tiempos  </w:t>
      </w:r>
    </w:p>
    <w:p>
      <w:pPr>
        <w:shd w:fill="1B5E20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29 actividades en 6 fases · 12 semanas · ~384 horas estimadas  </w:t>
      </w:r>
    </w:p>
    <w:p>
      <w:pPr>
        <w:spacing w:after="0" w:before="70"/>
      </w:pPr>
      <w:r>
        <w:t xml:space="preserve"/>
      </w:r>
    </w:p>
    <w:p>
      <w:pPr>
        <w:pBdr>
          <w:left w:val="single" w:color="B71C1C" w:sz="16" w:space="4"/>
        </w:pBdr>
        <w:shd w:fill="FFEBEE" w:val="clear"/>
        <w:spacing w:after="100" w:before="100"/>
      </w:pPr>
      <w:r>
        <w:rPr>
          <w:rFonts w:ascii="Calibri" w:cs="Calibri" w:eastAsia="Calibri" w:hAnsi="Calibri"/>
          <w:b/>
          <w:bCs/>
          <w:color w:val="B71C1C"/>
          <w:sz w:val="18"/>
          <w:szCs w:val="18"/>
        </w:rPr>
        <w:t xml:space="preserve">  ⚠  Nota: La actividad F1 'Gestión de licencias Enterprise Edition' es un bloqueante paralelo. Se inicia desde la Semana 1 y debe resolverse antes de la Semana 3 para no retrasar la Fase 2 de infraestructura.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100"/>
        <w:gridCol w:w="1200"/>
        <w:gridCol w:w="1200"/>
        <w:gridCol w:w="1100"/>
        <w:gridCol w:w="1200"/>
        <w:gridCol w:w="1180"/>
      </w:tblGrid>
      <w:tr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DBA Senior</w:t>
            </w:r>
          </w:p>
        </w:tc>
        <w:tc>
          <w:tcPr>
            <w:tcW w:type="dxa" w:w="1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Arq. Infra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Dev/Apps</w:t>
            </w:r>
          </w:p>
        </w:tc>
        <w:tc>
          <w:tcPr>
            <w:tcW w:type="dxa" w:w="12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455A64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PM</w:t>
            </w:r>
          </w:p>
        </w:tc>
        <w:tc>
          <w:tcPr>
            <w:tcW w:type="dxa" w:w="11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F1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Kick-off: alineación técnica y validación del inventario con el cliente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F1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Levantamiento AS-IS: Log Shipping activo, BDs, cadenas de conexión, objetos de instancia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S1–S2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F1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⚠ Gestión de licencias Enterprise Edition (bloqueo crítico)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S1–S2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F1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Diseño de arquitectura TO-BE y documento aprobado por el cliente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F2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Upgrade de CU en MXDF01PDBS003/028/004 a mismo nivel (alinear a CU25 mínimo)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S3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F2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Verificación de prerrequisitos WSFC: AD, DNS, red, puertos 1433/5022/3343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S3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F2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Instalación/actualización SQL Server Enterprise en los 3 nodos locales y réplica remota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S3–S4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F2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Habilitar Always On en SQL Server Configuration Manager — todos los nodos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S4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F2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Crear endpoints de mirroring (puerto 5022) y configurar WSFC con quórum (Cloud Witness)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S4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F3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Cambiar las 9 BDs a modo de recuperación FULL y tomar backup base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S5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F3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Pre-seed: backup/restore WITH NORECOVERY de las 9 BDs (~51.5 GB) en MXKI03PDBS001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S5–S6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F3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Crear AG por servidor: AG_003, AG_028, AG_004 con sus réplicas en MXKI03PDBS001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S6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F3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Crear 3 AG Listeners (uno por instancia origen) con IPs virtuales asignadas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S6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F3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Recrear objetos de instancia en MXKI03PDBS001: logins, SQL Agent Jobs, credenciales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S6–S7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F4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Actualizar cadenas de conexión en aplicaciones al nuevo AG Listener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S7–S8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F4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Pruebas funcionales de las 9 BDs contra el Listener en ambiente de validación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S8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F4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Prueba de failover manual: simular falla del nodo primario — medir RTO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S8–S9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F4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Validación de Read-Only Routing (si se actualiza a Enterprise con SA)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S9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F5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Comunicar ventana de mantenimiento (mín. 72 h antes)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S9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F5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Backup FULL final + verificación RESTORE VERIFYONLY pre-cutover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S10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F5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Desactivar Log Shipping en los 3 servidores origen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S10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F5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Seed delta + sincronización final de las 9 BDs en producción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S10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F5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Actualizar cadenas de conexión de producción a los 3 Listeners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S10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F5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Smoke testing en producción y declaración de Go-Live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S10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F6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Monitoreo intensivo post-Go-Live (primeras 72 h): sync, latencia, failover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S11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F6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Ajuste de parámetros: Query Store, estadísticas, MAXDOP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S11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F6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Capacitación al equipo de operaciones: AG, failover, backups en secundaria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S12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F6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Documentación final: arquitectura TO-BE, runbooks, procedimientos DR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S12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F6</w:t>
            </w:r>
          </w:p>
        </w:tc>
        <w:tc>
          <w:tcPr>
            <w:tcW w:type="dxa" w:w="3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Reunión de cierre y entrega de acta de proyecto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148C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S12</w:t>
            </w:r>
          </w:p>
        </w:tc>
      </w:tr>
      <w:tr>
        <w:tc>
          <w:tcPr>
            <w:tcW w:type="dxa" w:w="3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TOTALES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185h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68h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48h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51h</w:t>
            </w:r>
          </w:p>
        </w:tc>
        <w:tc>
          <w:tcPr>
            <w:tcW w:type="dxa" w:w="1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352h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left w:val="single" w:color="1565C0" w:sz="1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  9.1  Cronograma — Diagrama de Gantt (12 Semanas)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c>
          <w:tcPr>
            <w:tcW w:type="dxa" w:w="33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/ Actividad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S7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S8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S9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S10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S11</w:t>
            </w:r>
          </w:p>
        </w:tc>
        <w:tc>
          <w:tcPr>
            <w:tcW w:type="dxa" w:w="3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S12</w:t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F1 — Planeación, Inventario y Diseño TO-BE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565C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565C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565C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565C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⚠ Gestión de licencias Enterprise (crítico)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F2 — Infraestructura: WSFC, upgrade SQL Enterprise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148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148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148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148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Alineación CU + endpoints + Always On habilitado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148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148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148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148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F3 — Creación de AGs y Migración de 9 BDs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Pre-seed ~51.5 GB + AGs + Listeners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Objetos de instancia en MXKI03PDBS001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510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6510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F4 — Pruebas: cadenas, failover, RTO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Actualización de cadenas + pruebas funcionales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Failover manual/automático, RTO medido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5E20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F5 — Cutover a Producción ⭐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Ventana mantenimiento + Go-Live producción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F6 — Post-Go-Live: monitoreo, docs, capacitación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55A64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55A64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55A64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55A64"/>
                <w:sz w:val="12"/>
                <w:szCs w:val="12"/>
              </w:rPr>
              <w:t xml:space="preserve">█</w:t>
            </w:r>
          </w:p>
        </w:tc>
      </w:tr>
      <w:tr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  Monitoreo 72h + ajuste parámetros + cierre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7F7F7"/>
                <w:sz w:val="12"/>
                <w:szCs w:val="12"/>
              </w:rPr>
              <w:t xml:space="preserve"/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55A64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55A64"/>
                <w:sz w:val="12"/>
                <w:szCs w:val="12"/>
              </w:rPr>
              <w:t xml:space="preserve">█</w:t>
            </w:r>
          </w:p>
        </w:tc>
        <w:tc>
          <w:tcPr>
            <w:tcW w:type="dxa" w:w="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55A64" w:val="clear"/>
            <w:tcMar>
              <w:top w:type="dxa" w:w="55"/>
              <w:left w:type="dxa" w:w="20"/>
              <w:bottom w:type="dxa" w:w="55"/>
              <w:right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55A64"/>
                <w:sz w:val="12"/>
                <w:szCs w:val="12"/>
              </w:rPr>
              <w:t xml:space="preserve">█</w:t>
            </w:r>
          </w:p>
        </w:tc>
      </w:tr>
    </w:tbl>
    <w:p>
      <w:pPr>
        <w:spacing w:after="0" w:before="70"/>
      </w:pPr>
      <w:r>
        <w:t xml:space="preserve"/>
      </w:r>
    </w:p>
    <w:p>
      <w:pPr>
        <w:pBdr>
          <w:left w:val="single" w:color="1B5E20" w:sz="16" w:space="4"/>
        </w:pBd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1B5E20"/>
          <w:sz w:val="18"/>
          <w:szCs w:val="18"/>
        </w:rPr>
        <w:t xml:space="preserve">  ⭐  El cutover a Producción (Semana 10) se ejecuta en ventana de mantenimiento de fin de semana (mínimo 6 horas). Las Semanas 11–12 son de monitoreo post-Go-Live y documentación — el servicio ya opera en Always On desde la Semana 10.</w:t>
      </w:r>
    </w:p>
    <w:p>
      <w:r>
        <w:br w:type="page"/>
      </w:r>
    </w:p>
    <w:p>
      <w:pPr>
        <w:shd w:fill="B71C1C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⚠️  10.  Registro de Riesgos y Plan de Mitigación  </w:t>
      </w:r>
    </w:p>
    <w:p>
      <w:pPr>
        <w:shd w:fill="B71C1C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8 riesgos identificados directamente del inventario del cliente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780"/>
        <w:gridCol w:w="720"/>
        <w:gridCol w:w="3880"/>
      </w:tblGrid>
      <w:tr>
        <w:tc>
          <w:tcPr>
            <w:tcW w:type="dxa" w:w="3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 identificado</w:t>
            </w:r>
          </w:p>
        </w:tc>
        <w:tc>
          <w:tcPr>
            <w:tcW w:type="dxa" w:w="7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2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8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 de mitigación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TODOS los servidores son SQL Server Standard Edition — No soporta Always On AG completo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Crítica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BLOQUEO: Adquirir licencias Enterprise antes de iniciar la Fase 2. Sin Enterprise, solo es posible Basic AG (1 BD por AG, sin readable secondary). Estimar costo de upgrade × 4 servidores (3 locales + 1 remoto).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Versiones de CU desalineadas entre nodos (CU11, CU23, CU25) — AG requiere mismo nivel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Actualizar todos los nodos al mismo CU antes de crear el AG. Para MXDF01PDBS001 (CU11) el salto es grande: planear una ventana de mantenimiento dedicada.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MXDF01PDBS003 — Volumen E: (Databases) con ~34% libre (~17 GB). La BD RISKWARE_CORE ocupa ~17 GB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Validar espacio disponible antes del seed. Considerar ampliar el volumen E: o mover archivos de menor prioridad. El seed requiere espacio adicional para el backup transitorio.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MXDF01PDBS028 — Volumen F: (Backups) con ~22 GB libres. CRR ocupa ~26 GB (el backup excede el espacio disponible)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Reubicar el destino de backups del seed de CRR a una ruta de red (UNC) o ampliar el volumen F: antes de la Fase 3. Acción urgente.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R5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MXKI03PDBS001 es la única réplica remota para los 3 servidores locales — concentración de riesgo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Media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Asegurar que MXKI03PDBS001 tenga suficiente CPU/RAM para absorber carga de lectura de las 3 instancias. Con 15 GB RAM y 8 cores puede ser insuficiente en failover total.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R6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Cadenas de conexión de las aplicaciones apuntan directamente a hostnames de LS — no están documentadas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Inventariar TODAS las cadenas en la Fase 1 antes de crear los Listeners. Sin este inventario, el cutover puede dejar aplicaciones sin conexión.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R7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msdb de MXDF01PDBS003 tiene 1,915 MB — indica alta dependencia de SQL Agent Jobs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Media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Medio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Revisar y documentar los jobs del Log Shipping que deben eliminarse post-AG. Recrear solo los jobs de negocio en el nodo secundario.</w:t>
            </w:r>
          </w:p>
        </w:tc>
      </w:tr>
      <w:tr>
        <w:tc>
          <w:tcPr>
            <w:tcW w:type="dxa" w:w="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R8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MXDF01PDBS001 tiene CU11 — 14 versiones por detrás del resto. Si participa en el AG será un problema de versión</w:t>
            </w:r>
          </w:p>
        </w:tc>
        <w:tc>
          <w:tcPr>
            <w:tcW w:type="dxa" w:w="7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Alta</w:t>
            </w:r>
          </w:p>
        </w:tc>
        <w:tc>
          <w:tcPr>
            <w:tcW w:type="dxa" w:w="7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7"/>
                <w:szCs w:val="17"/>
              </w:rPr>
              <w:t xml:space="preserve">Alto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6"/>
                <w:szCs w:val="16"/>
              </w:rPr>
              <w:t xml:space="preserve">MXDF01PDBS001 NO debe integrarse al AG hasta estar en el mismo CU que los demás. Programar upgrade en ventana separada si entra en el alcance.</w:t>
            </w:r>
          </w:p>
        </w:tc>
      </w:tr>
    </w:tbl>
    <w:p>
      <w:r>
        <w:br w:type="page"/>
      </w:r>
    </w:p>
    <w:p>
      <w:pPr>
        <w:shd w:fill="1B5E20" w:val="clear"/>
        <w:spacing w:after="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🏁  11.  Criterios de Éxito y Aceptación  </w:t>
      </w:r>
    </w:p>
    <w:p>
      <w:pPr>
        <w:shd w:fill="1B5E20" w:val="clear"/>
        <w:spacing w:after="100" w:before="0"/>
      </w:pPr>
      <w:r>
        <w:rPr>
          <w:rFonts w:ascii="Calibri" w:cs="Calibri" w:eastAsia="Calibri" w:hAnsi="Calibri"/>
          <w:i/>
          <w:iCs/>
          <w:color w:val="CCDDEE"/>
          <w:sz w:val="17"/>
          <w:szCs w:val="17"/>
        </w:rPr>
        <w:t xml:space="preserve">       Condiciones objetivas y medibles para declarar el proyecto terminado  </w:t>
      </w:r>
    </w:p>
    <w:p>
      <w:pPr>
        <w:spacing w:after="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Las 9 bases de datos de usuario están en estado SYNCHRONIZED en sus respectivos Availability Groups.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El Log Shipping ha sido completamente desactivado en MXDF01PDBS003, MXDF01PDBS028 y MXDF01PDBS004.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RTO medido en prueba de failover automático es menor a 30 segundos.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RPO = 0 confirmado en modo síncrono (o RPO documentado en modo asíncrono con MXKI03PDBS001).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Los 3 AG Listeners responden correctamente y las aplicaciones conectan a través de ellos.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DBCC CHECKDB sin errores en todas las BDs de todos los nodos del AG.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Los backups se ejecutan en la réplica preferida (MXKI03PDBS001) sin impactar el primario.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Failover al site remoto (MXKI03PDBS001) probado, documentado y con procedimiento aprobado.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Equipo de operaciones del cliente capacitado: failover, monitoreo AG, backups y rollback.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Documentación técnica completa entregada y aceptada: arquitectura, runbooks, procedimientos.</w:t>
      </w:r>
    </w:p>
    <w:p>
      <w:pPr>
        <w:spacing w:after="0" w:before="210"/>
      </w:pPr>
      <w:r>
        <w:t xml:space="preserve"/>
      </w:r>
    </w:p>
    <w:p>
      <w:pPr>
        <w:pBdr>
          <w:top w:val="single" w:color="1565C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Aprobación del Documento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Empresa</w:t>
            </w:r>
          </w:p>
        </w:tc>
        <w:tc>
          <w:tcPr>
            <w:tcW w:type="dxa" w:w="312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2" w:space="1"/>
              </w:pBd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2" w:space="1"/>
              </w:pBd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2" w:space="1"/>
              </w:pBd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2" w:space="1"/>
              </w:pBd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2" w:space="1"/>
              </w:pBd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AAAAAA" w:sz="2" w:space="1"/>
              </w:pBd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1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spacing w:before="60"/>
    </w:pPr>
    <w:r>
      <w:rPr>
        <w:rFonts w:ascii="Calibri" w:cs="Calibri" w:eastAsia="Calibri" w:hAnsi="Calibri"/>
        <w:color w:val="888888"/>
        <w:sz w:val="15"/>
        <w:szCs w:val="15"/>
      </w:rPr>
      <w:t xml:space="preserve">Versión 1.0  ·  Información basada en inventario proporcionado por el cliente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026"/>
      </w:tabs>
      <w:spacing w:after="60"/>
    </w:pPr>
    <w:r>
      <w:rPr>
        <w:rFonts w:ascii="Calibri" w:cs="Calibri" w:eastAsia="Calibri" w:hAnsi="Calibri"/>
        <w:b/>
        <w:bCs/>
        <w:color w:val="1565C0"/>
        <w:sz w:val="17"/>
        <w:szCs w:val="17"/>
      </w:rPr>
      <w:t xml:space="preserve">PROPUESTA DE MIGRACIÓN  |  Log Shipping → SQL Server Always On  |  Basada en inventario real del cliente</w:t>
    </w:r>
    <w:r>
      <w:rPr>
        <w:rFonts w:ascii="Calibri" w:cs="Calibri" w:eastAsia="Calibri" w:hAnsi="Calibri"/>
        <w:color w:val="888888"/>
        <w:sz w:val="15"/>
        <w:szCs w:val="15"/>
      </w:rPr>
      <w:t xml:space="preserve">	2025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2026-06-28T22:57:00.692Z</dcterms:created>
  <dcterms:modified xsi:type="dcterms:W3CDTF">2026-06-28T22:57:00.705Z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