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56"/>
          <w:szCs w:val="56"/>
        </w:rPr>
        <w:t xml:space="preserve">PROPUESTA DE SERVICIOS</w:t>
      </w:r>
    </w:p>
    <w:p>
      <w:pPr>
        <w:spacing w:before="240"/>
        <w:jc w:val="center"/>
      </w:pPr>
      <w:r>
        <w:rPr>
          <w:rFonts w:ascii="Calibri" w:cs="Calibri" w:eastAsia="Calibri" w:hAnsi="Calibri"/>
          <w:b/>
          <w:bCs/>
          <w:color w:val="2E5B9A"/>
          <w:sz w:val="32"/>
          <w:szCs w:val="32"/>
        </w:rPr>
        <w:t xml:space="preserve">Arquitectura de Base de Datos para Sistema de Control de Acceso Biométrico</w:t>
      </w:r>
    </w:p>
    <w:p>
      <w:pPr>
        <w:spacing w:before="120"/>
        <w:jc w:val="center"/>
      </w:pPr>
      <w:r>
        <w:rPr>
          <w:rFonts w:ascii="Calibri" w:cs="Calibri" w:eastAsia="Calibri" w:hAnsi="Calibri"/>
          <w:i/>
          <w:iCs/>
          <w:color w:val="404040"/>
          <w:sz w:val="22"/>
          <w:szCs w:val="22"/>
        </w:rPr>
        <w:t xml:space="preserve">(Reconocimiento Dactilar y Facial) — SQL Server 2025 con Respaldo en Azure Blob Storage</w:t>
      </w:r>
    </w:p>
    <w:p>
      <w:pPr>
        <w:spacing w:before="3000"/>
      </w:pPr>
    </w:p>
    <w:p>
      <w:pPr>
        <w:jc w:val="center"/>
      </w:pPr>
      <w:r>
        <w:rPr>
          <w:rFonts w:ascii="Calibri" w:cs="Calibri" w:eastAsia="Calibri" w:hAnsi="Calibri"/>
          <w:sz w:val="22"/>
          <w:szCs w:val="22"/>
        </w:rPr>
        <w:t xml:space="preserve">Documento preparado para: Proceso de Licitación de Acceso Biométrico</w:t>
      </w:r>
    </w:p>
    <w:p>
      <w:pPr>
        <w:spacing w:before="100"/>
        <w:jc w:val="center"/>
      </w:pPr>
      <w:r>
        <w:rPr>
          <w:rFonts w:ascii="Calibri" w:cs="Calibri" w:eastAsia="Calibri" w:hAnsi="Calibri"/>
          <w:sz w:val="22"/>
          <w:szCs w:val="22"/>
        </w:rPr>
        <w:t xml:space="preserve">Fecha: 31 de julio de 2026</w:t>
      </w:r>
    </w:p>
    <w:p>
      <w:pPr>
        <w:spacing w:before="100"/>
        <w:jc w:val="center"/>
      </w:pPr>
      <w:r>
        <w:rPr>
          <w:rFonts w:ascii="Calibri" w:cs="Calibri" w:eastAsia="Calibri" w:hAnsi="Calibri"/>
          <w:color w:val="808080"/>
          <w:sz w:val="20"/>
          <w:szCs w:val="20"/>
        </w:rPr>
        <w:t xml:space="preserve">Versión: 1.0 — Confidencial</w:t>
      </w:r>
    </w:p>
    <w:p>
      <w:pPr>
        <w:sectPr>
          <w:pgSz w:w="12240" w:h="15840" w:orient="portrait"/>
          <w:pgMar w:top="1440" w:right="1350" w:bottom="1440" w:left="1350" w:header="708" w:footer="708" w:gutter="0"/>
          <w:pgNumType/>
          <w:docGrid w:linePitch="360"/>
        </w:sectPr>
      </w:pPr>
    </w:p>
    <w:p>
      <w:pPr>
        <w:pStyle w:val="Heading1"/>
        <w:pBdr>
          <w:bottom w:val="single" w:color="1F3864" w:sz="8" w:space="4"/>
        </w:pBdr>
        <w:spacing w:after="160" w:before="360"/>
      </w:pPr>
      <w:r>
        <w:rPr>
          <w:rFonts w:ascii="Calibri" w:cs="Calibri" w:eastAsia="Calibri" w:hAnsi="Calibri"/>
          <w:b/>
          <w:bCs/>
          <w:color w:val="1F3864"/>
          <w:sz w:val="30"/>
          <w:szCs w:val="30"/>
        </w:rPr>
        <w:t xml:space="preserve">1. Situación Actual</w:t>
      </w:r>
    </w:p>
    <w:p>
      <w:pPr>
        <w:spacing w:after="140" w:line="276"/>
      </w:pPr>
      <w:r>
        <w:rPr>
          <w:rFonts w:ascii="Calibri" w:cs="Calibri" w:eastAsia="Calibri" w:hAnsi="Calibri"/>
          <w:sz w:val="21"/>
          <w:szCs w:val="21"/>
        </w:rPr>
        <w:t xml:space="preserve">El cliente participa en un proceso de licitación para la implementación de un sistema de control de acceso biométrico (huella dactilar y reconocimiento facial). Como parte de los requisitos técnicos del concurso, el ente convocante solicita que la información biométrica y transaccional del sistema se almacene en un motor de base de datos SQL Server 2025, con dos condiciones obligatorias:</w:t>
      </w:r>
    </w:p>
    <w:p>
      <w:pPr>
        <w:pStyle w:val="ListParagraph"/>
        <w:numPr>
          <w:ilvl w:val="0"/>
          <w:numId w:val="2"/>
        </w:numPr>
        <w:spacing w:after="80"/>
      </w:pPr>
      <w:r>
        <w:rPr>
          <w:rFonts w:ascii="Calibri" w:cs="Calibri" w:eastAsia="Calibri" w:hAnsi="Calibri"/>
          <w:b w:val="false"/>
          <w:bCs w:val="false"/>
          <w:sz w:val="21"/>
          <w:szCs w:val="21"/>
        </w:rPr>
        <w:t xml:space="preserve">Una copia de la información debe permanecer de forma local (on-premises), en el sitio del cliente.</w:t>
      </w:r>
    </w:p>
    <w:p>
      <w:pPr>
        <w:pStyle w:val="ListParagraph"/>
        <w:numPr>
          <w:ilvl w:val="0"/>
          <w:numId w:val="2"/>
        </w:numPr>
        <w:spacing w:after="80"/>
      </w:pPr>
      <w:r>
        <w:rPr>
          <w:rFonts w:ascii="Calibri" w:cs="Calibri" w:eastAsia="Calibri" w:hAnsi="Calibri"/>
          <w:b w:val="false"/>
          <w:bCs w:val="false"/>
          <w:sz w:val="21"/>
          <w:szCs w:val="21"/>
        </w:rPr>
        <w:t xml:space="preserve">Debe existir una copia adicional de la información en la nube, específicamente en Azure Blob Storage.</w:t>
      </w:r>
    </w:p>
    <w:p>
      <w:pPr>
        <w:spacing w:after="140" w:line="276"/>
      </w:pPr>
      <w:r>
        <w:rPr>
          <w:rFonts w:ascii="Calibri" w:cs="Calibri" w:eastAsia="Calibri" w:hAnsi="Calibri"/>
          <w:sz w:val="21"/>
          <w:szCs w:val="21"/>
        </w:rPr>
        <w:t xml:space="preserve">Actualmente se evalúan dos enfoques de arquitectura para cumplir este requisito:</w:t>
      </w:r>
    </w:p>
    <w:p>
      <w:pPr>
        <w:pStyle w:val="ListParagraph"/>
        <w:numPr>
          <w:ilvl w:val="0"/>
          <w:numId w:val="2"/>
        </w:numPr>
        <w:spacing w:after="80"/>
      </w:pPr>
      <w:r>
        <w:rPr>
          <w:rFonts w:ascii="Calibri" w:cs="Calibri" w:eastAsia="Calibri" w:hAnsi="Calibri"/>
          <w:b w:val="false"/>
          <w:bCs w:val="false"/>
          <w:sz w:val="21"/>
          <w:szCs w:val="21"/>
        </w:rPr>
        <w:t xml:space="preserve">Opción A — SQL Server Always On Availability Groups: un nodo local (réplica primaria) y dos nodos en Azure (réplicas secundarias), formando un clúster híbrido multisitio.</w:t>
      </w:r>
    </w:p>
    <w:p>
      <w:pPr>
        <w:pStyle w:val="ListParagraph"/>
        <w:numPr>
          <w:ilvl w:val="0"/>
          <w:numId w:val="2"/>
        </w:numPr>
        <w:spacing w:after="80"/>
      </w:pPr>
      <w:r>
        <w:rPr>
          <w:rFonts w:ascii="Calibri" w:cs="Calibri" w:eastAsia="Calibri" w:hAnsi="Calibri"/>
          <w:b w:val="false"/>
          <w:bCs w:val="false"/>
          <w:sz w:val="21"/>
          <w:szCs w:val="21"/>
        </w:rPr>
        <w:t xml:space="preserve">Opción B — SQL Server Standalone: instancia única en sitio, con respaldos generados mediante las herramientas nativas de backup de SQL Server (Full, Diferencial y de Log) copiados automáticamente a un contenedor de Azure Blob Storage.</w:t>
      </w:r>
    </w:p>
    <w:p>
      <w:pPr>
        <w:spacing w:after="140" w:line="276"/>
      </w:pPr>
      <w:r>
        <w:rPr>
          <w:rFonts w:ascii="Calibri" w:cs="Calibri" w:eastAsia="Calibri" w:hAnsi="Calibri"/>
          <w:sz w:val="21"/>
          <w:szCs w:val="21"/>
        </w:rPr>
        <w:t xml:space="preserve">No existe aún una definición formal de arquitectura, presupuesto aprobado, ni infraestructura de red (VPN/ExpressRoute) entre el sitio del cliente y Azure. Tampoco se ha confirmado el volumen esperado de datos biométricos, el nivel de servicio (SLA) exigido por la licitación, ni los requisitos regulatorios de protección de datos personales sensibles aplicables (p. ej., LFPDPPP en México).</w:t>
      </w:r>
    </w:p>
    <w:p>
      <w:pPr>
        <w:pStyle w:val="Heading1"/>
        <w:pBdr>
          <w:bottom w:val="single" w:color="1F3864" w:sz="8" w:space="4"/>
        </w:pBdr>
        <w:spacing w:after="160" w:before="360"/>
      </w:pPr>
      <w:r>
        <w:rPr>
          <w:rFonts w:ascii="Calibri" w:cs="Calibri" w:eastAsia="Calibri" w:hAnsi="Calibri"/>
          <w:b/>
          <w:bCs/>
          <w:color w:val="1F3864"/>
          <w:sz w:val="30"/>
          <w:szCs w:val="30"/>
        </w:rPr>
        <w:t xml:space="preserve">2. Objetivos</w:t>
      </w:r>
    </w:p>
    <w:p>
      <w:pPr>
        <w:pStyle w:val="Heading2"/>
        <w:spacing w:after="120" w:before="260"/>
      </w:pPr>
      <w:r>
        <w:rPr>
          <w:rFonts w:ascii="Calibri" w:cs="Calibri" w:eastAsia="Calibri" w:hAnsi="Calibri"/>
          <w:b/>
          <w:bCs/>
          <w:color w:val="2E5B9A"/>
          <w:sz w:val="24"/>
          <w:szCs w:val="24"/>
        </w:rPr>
        <w:t xml:space="preserve">2.1 Objetivo general</w:t>
      </w:r>
    </w:p>
    <w:p>
      <w:pPr>
        <w:spacing w:after="140" w:line="276"/>
      </w:pPr>
      <w:r>
        <w:rPr>
          <w:rFonts w:ascii="Calibri" w:cs="Calibri" w:eastAsia="Calibri" w:hAnsi="Calibri"/>
          <w:sz w:val="21"/>
          <w:szCs w:val="21"/>
        </w:rPr>
        <w:t xml:space="preserve">Definir, dimensionar y proponer la arquitectura de base de datos más adecuada para soportar el sistema de control de acceso biométrico, garantizando disponibilidad, integridad, trazabilidad y protección de los datos biométricos, cumpliendo simultáneamente el requisito de mantener una copia local y una copia en la nube (Azure Blob Storage), dentro de un esquema costo-beneficio viable para el proceso de licitación.</w:t>
      </w:r>
    </w:p>
    <w:p>
      <w:pPr>
        <w:pStyle w:val="Heading2"/>
        <w:spacing w:after="120" w:before="260"/>
      </w:pPr>
      <w:r>
        <w:rPr>
          <w:rFonts w:ascii="Calibri" w:cs="Calibri" w:eastAsia="Calibri" w:hAnsi="Calibri"/>
          <w:b/>
          <w:bCs/>
          <w:color w:val="2E5B9A"/>
          <w:sz w:val="24"/>
          <w:szCs w:val="24"/>
        </w:rPr>
        <w:t xml:space="preserve">2.2 Objetivos específicos</w:t>
      </w:r>
    </w:p>
    <w:p>
      <w:pPr>
        <w:pStyle w:val="ListParagraph"/>
        <w:numPr>
          <w:ilvl w:val="0"/>
          <w:numId w:val="2"/>
        </w:numPr>
        <w:spacing w:after="80"/>
      </w:pPr>
      <w:r>
        <w:rPr>
          <w:rFonts w:ascii="Calibri" w:cs="Calibri" w:eastAsia="Calibri" w:hAnsi="Calibri"/>
          <w:b w:val="false"/>
          <w:bCs w:val="false"/>
          <w:sz w:val="21"/>
          <w:szCs w:val="21"/>
        </w:rPr>
        <w:t xml:space="preserve">Comparar técnica y económicamente las opciones de Always On Availability Groups vs. instancia Standalone con respaldo a Blob Storage.</w:t>
      </w:r>
    </w:p>
    <w:p>
      <w:pPr>
        <w:pStyle w:val="ListParagraph"/>
        <w:numPr>
          <w:ilvl w:val="0"/>
          <w:numId w:val="2"/>
        </w:numPr>
        <w:spacing w:after="80"/>
      </w:pPr>
      <w:r>
        <w:rPr>
          <w:rFonts w:ascii="Calibri" w:cs="Calibri" w:eastAsia="Calibri" w:hAnsi="Calibri"/>
          <w:b w:val="false"/>
          <w:bCs w:val="false"/>
          <w:sz w:val="21"/>
          <w:szCs w:val="21"/>
        </w:rPr>
        <w:t xml:space="preserve">Recomendar la opción más viable de acuerdo con los requisitos de la licitación, el presupuesto estimado y el nivel de criticidad del sistema.</w:t>
      </w:r>
    </w:p>
    <w:p>
      <w:pPr>
        <w:pStyle w:val="ListParagraph"/>
        <w:numPr>
          <w:ilvl w:val="0"/>
          <w:numId w:val="2"/>
        </w:numPr>
        <w:spacing w:after="80"/>
      </w:pPr>
      <w:r>
        <w:rPr>
          <w:rFonts w:ascii="Calibri" w:cs="Calibri" w:eastAsia="Calibri" w:hAnsi="Calibri"/>
          <w:b w:val="false"/>
          <w:bCs w:val="false"/>
          <w:sz w:val="21"/>
          <w:szCs w:val="21"/>
        </w:rPr>
        <w:t xml:space="preserve">Definir los mecanismos de cifrado, respaldo, retención y recuperación ante desastres (RTO/RPO).</w:t>
      </w:r>
    </w:p>
    <w:p>
      <w:pPr>
        <w:pStyle w:val="ListParagraph"/>
        <w:numPr>
          <w:ilvl w:val="0"/>
          <w:numId w:val="2"/>
        </w:numPr>
        <w:spacing w:after="80"/>
      </w:pPr>
      <w:r>
        <w:rPr>
          <w:rFonts w:ascii="Calibri" w:cs="Calibri" w:eastAsia="Calibri" w:hAnsi="Calibri"/>
          <w:b w:val="false"/>
          <w:bCs w:val="false"/>
          <w:sz w:val="21"/>
          <w:szCs w:val="21"/>
        </w:rPr>
        <w:t xml:space="preserve">Establecer los requerimientos técnicos, de red, de seguridad y de personal necesarios para la implementación.</w:t>
      </w:r>
    </w:p>
    <w:p>
      <w:pPr>
        <w:pStyle w:val="ListParagraph"/>
        <w:numPr>
          <w:ilvl w:val="0"/>
          <w:numId w:val="2"/>
        </w:numPr>
        <w:spacing w:after="80"/>
      </w:pPr>
      <w:r>
        <w:rPr>
          <w:rFonts w:ascii="Calibri" w:cs="Calibri" w:eastAsia="Calibri" w:hAnsi="Calibri"/>
          <w:b w:val="false"/>
          <w:bCs w:val="false"/>
          <w:sz w:val="21"/>
          <w:szCs w:val="21"/>
        </w:rPr>
        <w:t xml:space="preserve">Proveer una estimación de costos en Azure (calculadora) que sirva de base para la propuesta económica de la licitación.</w:t>
      </w:r>
    </w:p>
    <w:p>
      <w:pPr>
        <w:pStyle w:val="ListParagraph"/>
        <w:numPr>
          <w:ilvl w:val="0"/>
          <w:numId w:val="2"/>
        </w:numPr>
        <w:spacing w:after="80"/>
      </w:pPr>
      <w:r>
        <w:rPr>
          <w:rFonts w:ascii="Calibri" w:cs="Calibri" w:eastAsia="Calibri" w:hAnsi="Calibri"/>
          <w:b w:val="false"/>
          <w:bCs w:val="false"/>
          <w:sz w:val="21"/>
          <w:szCs w:val="21"/>
        </w:rPr>
        <w:t xml:space="preserve">Alinear la solución con el marco regulatorio de protección de datos personales sensibles (datos biométricos).</w:t>
      </w:r>
    </w:p>
    <w:p>
      <w:pPr>
        <w:pStyle w:val="Heading1"/>
        <w:pBdr>
          <w:bottom w:val="single" w:color="1F3864" w:sz="8" w:space="4"/>
        </w:pBdr>
        <w:spacing w:after="160" w:before="360"/>
      </w:pPr>
      <w:r>
        <w:rPr>
          <w:rFonts w:ascii="Calibri" w:cs="Calibri" w:eastAsia="Calibri" w:hAnsi="Calibri"/>
          <w:b/>
          <w:bCs/>
          <w:color w:val="1F3864"/>
          <w:sz w:val="30"/>
          <w:szCs w:val="30"/>
        </w:rPr>
        <w:t xml:space="preserve">3. Recomendaciones — Bases de Datos y Sistemas Biométricos</w:t>
      </w:r>
    </w:p>
    <w:p>
      <w:pPr>
        <w:spacing w:after="140" w:line="276"/>
      </w:pPr>
      <w:r>
        <w:rPr>
          <w:rFonts w:ascii="Calibri" w:cs="Calibri" w:eastAsia="Calibri" w:hAnsi="Calibri"/>
          <w:sz w:val="21"/>
          <w:szCs w:val="21"/>
        </w:rPr>
        <w:t xml:space="preserve">Los datos biométricos (huellas dactilares y plantillas de reconocimiento facial) se consideran datos personales sensibles en la mayoría de los marcos regulatorios (en México, bajo la Ley Federal de Protección de Datos Personales en Posesión de los Particulares y su equivalente para sujetos obligados). Esto implica medidas de seguridad reforzadas, más allá de una arquitectura de alta disponibilidad convencional. Se recomienda lo siguiente:</w:t>
      </w:r>
    </w:p>
    <w:p>
      <w:pPr>
        <w:pStyle w:val="Heading2"/>
        <w:spacing w:after="120" w:before="260"/>
      </w:pPr>
      <w:r>
        <w:rPr>
          <w:rFonts w:ascii="Calibri" w:cs="Calibri" w:eastAsia="Calibri" w:hAnsi="Calibri"/>
          <w:b/>
          <w:bCs/>
          <w:color w:val="2E5B9A"/>
          <w:sz w:val="24"/>
          <w:szCs w:val="24"/>
        </w:rPr>
        <w:t xml:space="preserve">3.1 Modelo de datos y almacenamiento</w:t>
      </w:r>
    </w:p>
    <w:p>
      <w:pPr>
        <w:pStyle w:val="ListParagraph"/>
        <w:numPr>
          <w:ilvl w:val="0"/>
          <w:numId w:val="2"/>
        </w:numPr>
        <w:spacing w:after="80"/>
      </w:pPr>
      <w:r>
        <w:rPr>
          <w:rFonts w:ascii="Calibri" w:cs="Calibri" w:eastAsia="Calibri" w:hAnsi="Calibri"/>
          <w:b w:val="false"/>
          <w:bCs w:val="false"/>
          <w:sz w:val="21"/>
          <w:szCs w:val="21"/>
        </w:rPr>
        <w:t xml:space="preserve">Almacenar plantillas biométricas (“templates” matemáticos generados por el algoritmo del lector/cámara) en lugar de imágenes crudas siempre que el proveedor del sistema biométrico lo permita; reduce tamaño, superficie de ataque y facilita el cumplimiento normativo.</w:t>
      </w:r>
    </w:p>
    <w:p>
      <w:pPr>
        <w:pStyle w:val="ListParagraph"/>
        <w:numPr>
          <w:ilvl w:val="0"/>
          <w:numId w:val="2"/>
        </w:numPr>
        <w:spacing w:after="80"/>
      </w:pPr>
      <w:r>
        <w:rPr>
          <w:rFonts w:ascii="Calibri" w:cs="Calibri" w:eastAsia="Calibri" w:hAnsi="Calibri"/>
          <w:b w:val="false"/>
          <w:bCs w:val="false"/>
          <w:sz w:val="21"/>
          <w:szCs w:val="21"/>
        </w:rPr>
        <w:t xml:space="preserve">Separar en tablas/esquemas distintos los datos biométricos de los datos transaccionales de acceso (bitácoras de entradas/salidas), aplicando controles de acceso diferenciados.</w:t>
      </w:r>
    </w:p>
    <w:p>
      <w:pPr>
        <w:pStyle w:val="ListParagraph"/>
        <w:numPr>
          <w:ilvl w:val="0"/>
          <w:numId w:val="2"/>
        </w:numPr>
        <w:spacing w:after="80"/>
      </w:pPr>
      <w:r>
        <w:rPr>
          <w:rFonts w:ascii="Calibri" w:cs="Calibri" w:eastAsia="Calibri" w:hAnsi="Calibri"/>
          <w:b w:val="false"/>
          <w:bCs w:val="false"/>
          <w:sz w:val="21"/>
          <w:szCs w:val="21"/>
        </w:rPr>
        <w:t xml:space="preserve">Definir políticas de retención y borrado seguro alineadas con el aviso de privacidad y el contrato de la licitación.</w:t>
      </w:r>
    </w:p>
    <w:p>
      <w:pPr>
        <w:pStyle w:val="Heading2"/>
        <w:spacing w:after="120" w:before="260"/>
      </w:pPr>
      <w:r>
        <w:rPr>
          <w:rFonts w:ascii="Calibri" w:cs="Calibri" w:eastAsia="Calibri" w:hAnsi="Calibri"/>
          <w:b/>
          <w:bCs/>
          <w:color w:val="2E5B9A"/>
          <w:sz w:val="24"/>
          <w:szCs w:val="24"/>
        </w:rPr>
        <w:t xml:space="preserve">3.2 Seguridad y cifrado</w:t>
      </w:r>
    </w:p>
    <w:p>
      <w:pPr>
        <w:pStyle w:val="ListParagraph"/>
        <w:numPr>
          <w:ilvl w:val="0"/>
          <w:numId w:val="2"/>
        </w:numPr>
        <w:spacing w:after="80"/>
      </w:pPr>
      <w:r>
        <w:rPr>
          <w:rFonts w:ascii="Calibri" w:cs="Calibri" w:eastAsia="Calibri" w:hAnsi="Calibri"/>
          <w:b w:val="false"/>
          <w:bCs w:val="false"/>
          <w:sz w:val="21"/>
          <w:szCs w:val="21"/>
        </w:rPr>
        <w:t xml:space="preserve">Cifrado en reposo: Transparent Data Encryption (TDE) a nivel de base de datos y Always Encrypted (o Always Encrypted with Secure Enclaves) para las columnas que contengan plantillas biométricas.</w:t>
      </w:r>
    </w:p>
    <w:p>
      <w:pPr>
        <w:pStyle w:val="ListParagraph"/>
        <w:numPr>
          <w:ilvl w:val="0"/>
          <w:numId w:val="2"/>
        </w:numPr>
        <w:spacing w:after="80"/>
      </w:pPr>
      <w:r>
        <w:rPr>
          <w:rFonts w:ascii="Calibri" w:cs="Calibri" w:eastAsia="Calibri" w:hAnsi="Calibri"/>
          <w:b w:val="false"/>
          <w:bCs w:val="false"/>
          <w:sz w:val="21"/>
          <w:szCs w:val="21"/>
        </w:rPr>
        <w:t xml:space="preserve">Cifrado en tránsito: TLS 1.2/1.3 obligatorio entre aplicación–SQL Server y entre SQL Server–Azure Blob Storage.</w:t>
      </w:r>
    </w:p>
    <w:p>
      <w:pPr>
        <w:pStyle w:val="ListParagraph"/>
        <w:numPr>
          <w:ilvl w:val="0"/>
          <w:numId w:val="2"/>
        </w:numPr>
        <w:spacing w:after="80"/>
      </w:pPr>
      <w:r>
        <w:rPr>
          <w:rFonts w:ascii="Calibri" w:cs="Calibri" w:eastAsia="Calibri" w:hAnsi="Calibri"/>
          <w:b w:val="false"/>
          <w:bCs w:val="false"/>
          <w:sz w:val="21"/>
          <w:szCs w:val="21"/>
        </w:rPr>
        <w:t xml:space="preserve">Gestión de llaves centralizada mediante Azure Key Vault (Customer-Managed Keys) tanto para TDE/Always Encrypted como para el cifrado de los blobs en la nube.</w:t>
      </w:r>
    </w:p>
    <w:p>
      <w:pPr>
        <w:pStyle w:val="ListParagraph"/>
        <w:numPr>
          <w:ilvl w:val="0"/>
          <w:numId w:val="2"/>
        </w:numPr>
        <w:spacing w:after="80"/>
      </w:pPr>
      <w:r>
        <w:rPr>
          <w:rFonts w:ascii="Calibri" w:cs="Calibri" w:eastAsia="Calibri" w:hAnsi="Calibri"/>
          <w:b w:val="false"/>
          <w:bCs w:val="false"/>
          <w:sz w:val="21"/>
          <w:szCs w:val="21"/>
        </w:rPr>
        <w:t xml:space="preserve">Auditoría de acceso a datos sensibles con SQL Server Audit / Extended Events, con envío de logs a un repositorio inmutable (SIEM o Log Analytics).</w:t>
      </w:r>
    </w:p>
    <w:p>
      <w:pPr>
        <w:pStyle w:val="ListParagraph"/>
        <w:numPr>
          <w:ilvl w:val="0"/>
          <w:numId w:val="2"/>
        </w:numPr>
        <w:spacing w:after="80"/>
      </w:pPr>
      <w:r>
        <w:rPr>
          <w:rFonts w:ascii="Calibri" w:cs="Calibri" w:eastAsia="Calibri" w:hAnsi="Calibri"/>
          <w:b w:val="false"/>
          <w:bCs w:val="false"/>
          <w:sz w:val="21"/>
          <w:szCs w:val="21"/>
        </w:rPr>
        <w:t xml:space="preserve">Segregación de roles: administrador de base de datos, oficial de seguridad de la información y responsable de cumplimiento como roles independientes (principio de menor privilegio).</w:t>
      </w:r>
    </w:p>
    <w:p>
      <w:pPr>
        <w:pStyle w:val="Heading2"/>
        <w:spacing w:after="120" w:before="260"/>
      </w:pPr>
      <w:r>
        <w:rPr>
          <w:rFonts w:ascii="Calibri" w:cs="Calibri" w:eastAsia="Calibri" w:hAnsi="Calibri"/>
          <w:b/>
          <w:bCs/>
          <w:color w:val="2E5B9A"/>
          <w:sz w:val="24"/>
          <w:szCs w:val="24"/>
        </w:rPr>
        <w:t xml:space="preserve">3.3 Respaldo, continuidad y recuperación</w:t>
      </w:r>
    </w:p>
    <w:p>
      <w:pPr>
        <w:pStyle w:val="ListParagraph"/>
        <w:numPr>
          <w:ilvl w:val="0"/>
          <w:numId w:val="2"/>
        </w:numPr>
        <w:spacing w:after="80"/>
      </w:pPr>
      <w:r>
        <w:rPr>
          <w:rFonts w:ascii="Calibri" w:cs="Calibri" w:eastAsia="Calibri" w:hAnsi="Calibri"/>
          <w:b w:val="false"/>
          <w:bCs w:val="false"/>
          <w:sz w:val="21"/>
          <w:szCs w:val="21"/>
        </w:rPr>
        <w:t xml:space="preserve">Respaldos siempre cifrados (BACKUP ... WITH ENCRYPTION) y verificados con CHECKSUM tras cada ejecución.</w:t>
      </w:r>
    </w:p>
    <w:p>
      <w:pPr>
        <w:pStyle w:val="ListParagraph"/>
        <w:numPr>
          <w:ilvl w:val="0"/>
          <w:numId w:val="2"/>
        </w:numPr>
        <w:spacing w:after="80"/>
      </w:pPr>
      <w:r>
        <w:rPr>
          <w:rFonts w:ascii="Calibri" w:cs="Calibri" w:eastAsia="Calibri" w:hAnsi="Calibri"/>
          <w:b w:val="false"/>
          <w:bCs w:val="false"/>
          <w:sz w:val="21"/>
          <w:szCs w:val="21"/>
        </w:rPr>
        <w:t xml:space="preserve">Pruebas periódicas de restauración (no solo de generación del respaldo) para validar el RTO/RPO real.</w:t>
      </w:r>
    </w:p>
    <w:p>
      <w:pPr>
        <w:pStyle w:val="ListParagraph"/>
        <w:numPr>
          <w:ilvl w:val="0"/>
          <w:numId w:val="2"/>
        </w:numPr>
        <w:spacing w:after="80"/>
      </w:pPr>
      <w:r>
        <w:rPr>
          <w:rFonts w:ascii="Calibri" w:cs="Calibri" w:eastAsia="Calibri" w:hAnsi="Calibri"/>
          <w:b w:val="false"/>
          <w:bCs w:val="false"/>
          <w:sz w:val="21"/>
          <w:szCs w:val="21"/>
        </w:rPr>
        <w:t xml:space="preserve">Definir explícitamente RPO (pérdida máxima tolerable de datos) y RTO (tiempo máximo de recuperación) exigidos por la licitación antes de elegir arquitectura; este dato es determinante entre Opción A y B.</w:t>
      </w:r>
    </w:p>
    <w:p>
      <w:pPr>
        <w:pStyle w:val="ListParagraph"/>
        <w:numPr>
          <w:ilvl w:val="0"/>
          <w:numId w:val="2"/>
        </w:numPr>
        <w:spacing w:after="80"/>
      </w:pPr>
      <w:r>
        <w:rPr>
          <w:rFonts w:ascii="Calibri" w:cs="Calibri" w:eastAsia="Calibri" w:hAnsi="Calibri"/>
          <w:b w:val="false"/>
          <w:bCs w:val="false"/>
          <w:sz w:val="21"/>
          <w:szCs w:val="21"/>
        </w:rPr>
        <w:t xml:space="preserve">Considerar almacenamiento inmutable (WORM – Immutable Blob Storage) en Azure para los respaldos, útil si la licitación exige cadena de custodia o evidencia no alterable.</w:t>
      </w:r>
    </w:p>
    <w:p>
      <w:pPr>
        <w:pStyle w:val="Heading2"/>
        <w:spacing w:after="120" w:before="260"/>
      </w:pPr>
      <w:r>
        <w:rPr>
          <w:rFonts w:ascii="Calibri" w:cs="Calibri" w:eastAsia="Calibri" w:hAnsi="Calibri"/>
          <w:b/>
          <w:bCs/>
          <w:color w:val="2E5B9A"/>
          <w:sz w:val="24"/>
          <w:szCs w:val="24"/>
        </w:rPr>
        <w:t xml:space="preserve">3.4 Rendimiento y latencia</w:t>
      </w:r>
    </w:p>
    <w:p>
      <w:pPr>
        <w:pStyle w:val="ListParagraph"/>
        <w:numPr>
          <w:ilvl w:val="0"/>
          <w:numId w:val="2"/>
        </w:numPr>
        <w:spacing w:after="80"/>
      </w:pPr>
      <w:r>
        <w:rPr>
          <w:rFonts w:ascii="Calibri" w:cs="Calibri" w:eastAsia="Calibri" w:hAnsi="Calibri"/>
          <w:b w:val="false"/>
          <w:bCs w:val="false"/>
          <w:sz w:val="21"/>
          <w:szCs w:val="21"/>
        </w:rPr>
        <w:t xml:space="preserve">La validación biométrica en control de acceso físico es sensible a la latencia; se recomienda que el motor transaccional que atiende la autenticación en tiempo real permanezca local (o en el nodo primario local), evitando dependencia de la nube para el flujo crítico de apertura de acceso.</w:t>
      </w:r>
    </w:p>
    <w:p>
      <w:pPr>
        <w:pStyle w:val="ListParagraph"/>
        <w:numPr>
          <w:ilvl w:val="0"/>
          <w:numId w:val="2"/>
        </w:numPr>
        <w:spacing w:after="80"/>
      </w:pPr>
      <w:r>
        <w:rPr>
          <w:rFonts w:ascii="Calibri" w:cs="Calibri" w:eastAsia="Calibri" w:hAnsi="Calibri"/>
          <w:b w:val="false"/>
          <w:bCs w:val="false"/>
          <w:sz w:val="21"/>
          <w:szCs w:val="21"/>
        </w:rPr>
        <w:t xml:space="preserve">La nube debe operar como capa de continuidad/recuperación (réplica asíncrona o repositorio de respaldos), no como motor primario de autenticación en línea, salvo que se garantice un enlace de baja latencia dedicado (ExpressRoute) y se valide explícitamente con el proveedor del software biométrico.</w:t>
      </w:r>
    </w:p>
    <w:p>
      <w:pPr>
        <w:pStyle w:val="Heading2"/>
        <w:spacing w:after="120" w:before="260"/>
      </w:pPr>
      <w:r>
        <w:rPr>
          <w:rFonts w:ascii="Calibri" w:cs="Calibri" w:eastAsia="Calibri" w:hAnsi="Calibri"/>
          <w:b/>
          <w:bCs/>
          <w:color w:val="2E5B9A"/>
          <w:sz w:val="24"/>
          <w:szCs w:val="24"/>
        </w:rPr>
        <w:t xml:space="preserve">3.5 Cumplimiento normativo</w:t>
      </w:r>
    </w:p>
    <w:p>
      <w:pPr>
        <w:pStyle w:val="ListParagraph"/>
        <w:numPr>
          <w:ilvl w:val="0"/>
          <w:numId w:val="2"/>
        </w:numPr>
        <w:spacing w:after="80"/>
      </w:pPr>
      <w:r>
        <w:rPr>
          <w:rFonts w:ascii="Calibri" w:cs="Calibri" w:eastAsia="Calibri" w:hAnsi="Calibri"/>
          <w:b w:val="false"/>
          <w:bCs w:val="false"/>
          <w:sz w:val="21"/>
          <w:szCs w:val="21"/>
        </w:rPr>
        <w:t xml:space="preserve">LFPDPPP / Ley General de Protección de Datos Personales (México): aviso de privacidad específico para datos biométricos, consentimiento expreso y medidas de seguridad administrativas, físicas y técnicas documentadas.</w:t>
      </w:r>
    </w:p>
    <w:p>
      <w:pPr>
        <w:pStyle w:val="ListParagraph"/>
        <w:numPr>
          <w:ilvl w:val="0"/>
          <w:numId w:val="2"/>
        </w:numPr>
        <w:spacing w:after="80"/>
      </w:pPr>
      <w:r>
        <w:rPr>
          <w:rFonts w:ascii="Calibri" w:cs="Calibri" w:eastAsia="Calibri" w:hAnsi="Calibri"/>
          <w:b w:val="false"/>
          <w:bCs w:val="false"/>
          <w:sz w:val="21"/>
          <w:szCs w:val="21"/>
        </w:rPr>
        <w:t xml:space="preserve">Referencias técnicas útiles: ISO/IEC 19794 (formatos de intercambio biométrico), ISO/IEC 30107 (detección de ataques de presentación / anti-spoofing), ISO/IEC 27001 e ISO/IEC 27701 (gestión de seguridad de la información y privacidad).</w:t>
      </w:r>
    </w:p>
    <w:p>
      <w:pPr>
        <w:pStyle w:val="ListParagraph"/>
        <w:numPr>
          <w:ilvl w:val="0"/>
          <w:numId w:val="2"/>
        </w:numPr>
        <w:spacing w:after="80"/>
      </w:pPr>
      <w:r>
        <w:rPr>
          <w:rFonts w:ascii="Calibri" w:cs="Calibri" w:eastAsia="Calibri" w:hAnsi="Calibri"/>
          <w:b w:val="false"/>
          <w:bCs w:val="false"/>
          <w:sz w:val="21"/>
          <w:szCs w:val="21"/>
        </w:rPr>
        <w:t xml:space="preserve">Si la licitación es con una entidad de gobierno en México, validar requisitos de residencia de datos y, en su caso, de conservación de mensajes de datos (NOM-151) para la evidencia de auditoría.</w:t>
      </w:r>
    </w:p>
    <w:p>
      <w:pPr>
        <w:spacing w:after="160"/>
      </w:pPr>
      <w:r>
        <w:rPr>
          <w:rFonts w:ascii="Calibri" w:cs="Calibri" w:eastAsia="Calibri" w:hAnsi="Calibri"/>
          <w:i/>
          <w:iCs/>
          <w:color w:val="595959"/>
          <w:sz w:val="19"/>
          <w:szCs w:val="19"/>
        </w:rPr>
        <w:t xml:space="preserve">Nota: estas referencias normativas y de estándares deben confirmarse con el área legal/de cumplimiento del cliente y con las bases específicas de la licitación, ya que pueden variar según la entidad convocante.</w:t>
      </w:r>
    </w:p>
    <w:p>
      <w:pPr>
        <w:pStyle w:val="Heading1"/>
        <w:pBdr>
          <w:bottom w:val="single" w:color="1F3864" w:sz="8" w:space="4"/>
        </w:pBdr>
        <w:spacing w:after="160" w:before="360"/>
      </w:pPr>
      <w:r>
        <w:rPr>
          <w:rFonts w:ascii="Calibri" w:cs="Calibri" w:eastAsia="Calibri" w:hAnsi="Calibri"/>
          <w:b/>
          <w:bCs/>
          <w:color w:val="1F3864"/>
          <w:sz w:val="30"/>
          <w:szCs w:val="30"/>
        </w:rPr>
        <w:t xml:space="preserve">4. Comparativa de Arquitecturas</w:t>
      </w:r>
    </w:p>
    <w:p>
      <w:pPr>
        <w:spacing w:after="140" w:line="276"/>
      </w:pPr>
      <w:r>
        <w:rPr>
          <w:rFonts w:ascii="Calibri" w:cs="Calibri" w:eastAsia="Calibri" w:hAnsi="Calibri"/>
          <w:sz w:val="21"/>
          <w:szCs w:val="21"/>
        </w:rPr>
        <w:t xml:space="preserve">Ambas opciones cumplen el requisito literal de “copia local + copia en la nube”, pero difieren sustancialmente en costo, complejidad operativa y nivel de continuidad que ofrecen.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0"/>
        <w:gridCol w:w="3800"/>
        <w:gridCol w:w="3700"/>
      </w:tblGrid>
      <w:tr>
        <w:trPr>
          <w:tblHeader/>
        </w:trPr>
        <w:tc>
          <w:tcPr>
            <w:tcW w:type="dxa" w:w="185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Criterio</w:t>
            </w:r>
          </w:p>
        </w:tc>
        <w:tc>
          <w:tcPr>
            <w:tcW w:type="dxa" w:w="38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Opción A – Always On (1 local + 2 Azure)</w:t>
            </w:r>
          </w:p>
        </w:tc>
        <w:tc>
          <w:tcPr>
            <w:tcW w:type="dxa" w:w="37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Opción B – Standalone + Backup a Blob</w:t>
            </w:r>
          </w:p>
        </w:tc>
      </w:tr>
      <w:tr>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Disponibilidad</w:t>
            </w:r>
          </w:p>
        </w:tc>
        <w:tc>
          <w:tcPr>
            <w:tcW w:type="dxa" w:w="38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Alta (failover automático entre réplicas); tolera falla de nodo local o de un nodo en Azure</w:t>
            </w:r>
          </w:p>
        </w:tc>
        <w:tc>
          <w:tcPr>
            <w:tcW w:type="dxa" w:w="37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Básica; depende de recuperación manual restaurando el último backup</w:t>
            </w:r>
          </w:p>
        </w:tc>
      </w:tr>
      <w:tr>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RTO (tiempo de recuperación)</w:t>
            </w:r>
          </w:p>
        </w:tc>
        <w:tc>
          <w:tcPr>
            <w:tcW w:type="dxa" w:w="38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Segundos a minutos (failover automático/manual del Listener)</w:t>
            </w:r>
          </w:p>
        </w:tc>
        <w:tc>
          <w:tcPr>
            <w:tcW w:type="dxa" w:w="37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Horas (aprovisionar VM, restaurar backups, reconfigurar app)</w:t>
            </w:r>
          </w:p>
        </w:tc>
      </w:tr>
      <w:tr>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RPO (pérdida de datos)</w:t>
            </w:r>
          </w:p>
        </w:tc>
        <w:tc>
          <w:tcPr>
            <w:tcW w:type="dxa" w:w="38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Cercano a cero en réplica local síncrona; segundos/minutos en réplica asíncrona a Azure</w:t>
            </w:r>
          </w:p>
        </w:tc>
        <w:tc>
          <w:tcPr>
            <w:tcW w:type="dxa" w:w="37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Igual al intervalo entre respaldos de log (típico 15–30 min)</w:t>
            </w:r>
          </w:p>
        </w:tc>
      </w:tr>
      <w:tr>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Complejidad técnica</w:t>
            </w:r>
          </w:p>
        </w:tc>
        <w:tc>
          <w:tcPr>
            <w:tcW w:type="dxa" w:w="38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Alta: clúster WSFC multisubred, VPN/ExpressRoute, quorum, listener AG</w:t>
            </w:r>
          </w:p>
        </w:tc>
        <w:tc>
          <w:tcPr>
            <w:tcW w:type="dxa" w:w="37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Baja–media: configuración de jobs de backup y copia a Blob</w:t>
            </w:r>
          </w:p>
        </w:tc>
      </w:tr>
      <w:tr>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Licenciamiento SQL Server</w:t>
            </w:r>
          </w:p>
        </w:tc>
        <w:tc>
          <w:tcPr>
            <w:tcW w:type="dxa" w:w="38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Requiere Enterprise Edition (AG con múltiples réplicas legibles) en los 3 nodos</w:t>
            </w:r>
          </w:p>
        </w:tc>
        <w:tc>
          <w:tcPr>
            <w:tcW w:type="dxa" w:w="37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Standard o Enterprise según tamaño; sin sobrecosto de licencias adicionales en la nube</w:t>
            </w:r>
          </w:p>
        </w:tc>
      </w:tr>
      <w:tr>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Conectividad requerida</w:t>
            </w:r>
          </w:p>
        </w:tc>
        <w:tc>
          <w:tcPr>
            <w:tcW w:type="dxa" w:w="38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VPN Site-to-Site o ExpressRoute permanente y de baja latencia (crítica para el clúster)</w:t>
            </w:r>
          </w:p>
        </w:tc>
        <w:tc>
          <w:tcPr>
            <w:tcW w:type="dxa" w:w="37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Conexión a Internet/VPN básica, solo para la ventana de copiado de backups</w:t>
            </w:r>
          </w:p>
        </w:tc>
      </w:tr>
      <w:tr>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Costo recurrente en Azure</w:t>
            </w:r>
          </w:p>
        </w:tc>
        <w:tc>
          <w:tcPr>
            <w:tcW w:type="dxa" w:w="38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Alto (VMs 24/7, discos Premium, red, licenciamiento SQL en la nube)</w:t>
            </w:r>
          </w:p>
        </w:tc>
        <w:tc>
          <w:tcPr>
            <w:tcW w:type="dxa" w:w="37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Bajo (solo almacenamiento de blobs y transacciones ocasionales)</w:t>
            </w:r>
          </w:p>
        </w:tc>
      </w:tr>
      <w:tr>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Esfuerzo operativo</w:t>
            </w:r>
          </w:p>
        </w:tc>
        <w:tc>
          <w:tcPr>
            <w:tcW w:type="dxa" w:w="38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Alto: monitoreo continuo de réplicas, salud del clúster, sincronización</w:t>
            </w:r>
          </w:p>
        </w:tc>
        <w:tc>
          <w:tcPr>
            <w:tcW w:type="dxa" w:w="37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Bajo: monitoreo de éxito/fallo de jobs de respaldo</w:t>
            </w:r>
          </w:p>
        </w:tc>
      </w:tr>
      <w:tr>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Escalabilidad futura</w:t>
            </w:r>
          </w:p>
        </w:tc>
        <w:tc>
          <w:tcPr>
            <w:tcW w:type="dxa" w:w="38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Permite descargar reportes/lecturas a réplicas secundarias</w:t>
            </w:r>
          </w:p>
        </w:tc>
        <w:tc>
          <w:tcPr>
            <w:tcW w:type="dxa" w:w="37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Limitada; requiere migrar a AG si se necesita HA en el futuro</w:t>
            </w:r>
          </w:p>
        </w:tc>
      </w:tr>
      <w:tr>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Cumple el requisito literal de licitación</w:t>
            </w:r>
          </w:p>
        </w:tc>
        <w:tc>
          <w:tcPr>
            <w:tcW w:type="dxa" w:w="38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Sí, y además agrega alta disponibilidad activa</w:t>
            </w:r>
          </w:p>
        </w:tc>
        <w:tc>
          <w:tcPr>
            <w:tcW w:type="dxa" w:w="37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Sí, cumple el requisito mínimo de copia local + copia en la nube</w:t>
            </w:r>
          </w:p>
        </w:tc>
      </w:tr>
    </w:tbl>
    <w:p>
      <w:pPr>
        <w:spacing w:before="200"/>
      </w:pPr>
    </w:p>
    <w:p>
      <w:pPr>
        <w:pStyle w:val="Heading1"/>
        <w:pBdr>
          <w:bottom w:val="single" w:color="1F3864" w:sz="8" w:space="4"/>
        </w:pBdr>
        <w:spacing w:after="160" w:before="360"/>
      </w:pPr>
      <w:r>
        <w:rPr>
          <w:rFonts w:ascii="Calibri" w:cs="Calibri" w:eastAsia="Calibri" w:hAnsi="Calibri"/>
          <w:b/>
          <w:bCs/>
          <w:color w:val="1F3864"/>
          <w:sz w:val="30"/>
          <w:szCs w:val="30"/>
        </w:rPr>
        <w:t xml:space="preserve">5. Opción Recomendada</w:t>
      </w:r>
    </w:p>
    <w:p>
      <w:pPr>
        <w:spacing w:after="140" w:line="276"/>
      </w:pPr>
      <w:r>
        <w:rPr>
          <w:rFonts w:ascii="Calibri" w:cs="Calibri" w:eastAsia="Calibri" w:hAnsi="Calibri"/>
          <w:sz w:val="21"/>
          <w:szCs w:val="21"/>
        </w:rPr>
        <w:t xml:space="preserve">Salvo que las bases de la licitación exijan explícitamente un RTO/RPO casi nulo con failover automático distribuido (lo cual debe confirmarse), se recomienda iniciar con la Opción B (Standalone local + respaldos nativos cifrados a Azure Blob Storage) como solución para la etapa de licitación/arranque del proyecto, por las siguientes razones:</w:t>
      </w:r>
    </w:p>
    <w:p>
      <w:pPr>
        <w:pStyle w:val="ListParagraph"/>
        <w:numPr>
          <w:ilvl w:val="0"/>
          <w:numId w:val="2"/>
        </w:numPr>
        <w:spacing w:after="80"/>
      </w:pPr>
      <w:r>
        <w:rPr>
          <w:rFonts w:ascii="Calibri" w:cs="Calibri" w:eastAsia="Calibri" w:hAnsi="Calibri"/>
          <w:b w:val="false"/>
          <w:bCs w:val="false"/>
          <w:sz w:val="21"/>
          <w:szCs w:val="21"/>
        </w:rPr>
        <w:t xml:space="preserve">Cumple el requisito literal de “copia local + copia en la nube” exigido por la licitación con una fracción del costo y la complejidad de Always On.</w:t>
      </w:r>
    </w:p>
    <w:p>
      <w:pPr>
        <w:pStyle w:val="ListParagraph"/>
        <w:numPr>
          <w:ilvl w:val="0"/>
          <w:numId w:val="2"/>
        </w:numPr>
        <w:spacing w:after="80"/>
      </w:pPr>
      <w:r>
        <w:rPr>
          <w:rFonts w:ascii="Calibri" w:cs="Calibri" w:eastAsia="Calibri" w:hAnsi="Calibri"/>
          <w:b w:val="false"/>
          <w:bCs w:val="false"/>
          <w:sz w:val="21"/>
          <w:szCs w:val="21"/>
        </w:rPr>
        <w:t xml:space="preserve">No depende de un enlace de red permanente de baja latencia entre el sitio y Azure, que suele ser el punto más crítico y costoso de un Always On híbrido.</w:t>
      </w:r>
    </w:p>
    <w:p>
      <w:pPr>
        <w:pStyle w:val="ListParagraph"/>
        <w:numPr>
          <w:ilvl w:val="0"/>
          <w:numId w:val="2"/>
        </w:numPr>
        <w:spacing w:after="80"/>
      </w:pPr>
      <w:r>
        <w:rPr>
          <w:rFonts w:ascii="Calibri" w:cs="Calibri" w:eastAsia="Calibri" w:hAnsi="Calibri"/>
          <w:b w:val="false"/>
          <w:bCs w:val="false"/>
          <w:sz w:val="21"/>
          <w:szCs w:val="21"/>
        </w:rPr>
        <w:t xml:space="preserve">Reduce el riesgo de proyecto: menor tiempo de implementación, menor curva de aprendizaje operativo, menor superficie de fallas distribuidas.</w:t>
      </w:r>
    </w:p>
    <w:p>
      <w:pPr>
        <w:pStyle w:val="ListParagraph"/>
        <w:numPr>
          <w:ilvl w:val="0"/>
          <w:numId w:val="2"/>
        </w:numPr>
        <w:spacing w:after="80"/>
      </w:pPr>
      <w:r>
        <w:rPr>
          <w:rFonts w:ascii="Calibri" w:cs="Calibri" w:eastAsia="Calibri" w:hAnsi="Calibri"/>
          <w:b w:val="false"/>
          <w:bCs w:val="false"/>
          <w:sz w:val="21"/>
          <w:szCs w:val="21"/>
        </w:rPr>
        <w:t xml:space="preserve">Es una arquitectura evolutiva: permite migrar a Always On (Opción A) en una fase posterior si el volumen de operación, el SLA exigido por el cliente final, o la disponibilidad presupuestal para licenciamiento Enterprise y conectividad dedicada lo justifican.</w:t>
      </w:r>
    </w:p>
    <w:p>
      <w:pPr>
        <w:spacing w:after="140" w:line="276"/>
      </w:pPr>
      <w:r>
        <w:rPr>
          <w:rFonts w:ascii="Calibri" w:cs="Calibri" w:eastAsia="Calibri" w:hAnsi="Calibri"/>
          <w:sz w:val="21"/>
          <w:szCs w:val="21"/>
        </w:rPr>
        <w:t xml:space="preserve">Se recomienda, sin embargo, reforzar la Opción B con las siguientes prácticas para acercarla a un esquema de alta disponibilidad básico sin llegar al costo de Always On completo:</w:t>
      </w:r>
    </w:p>
    <w:p>
      <w:pPr>
        <w:pStyle w:val="ListParagraph"/>
        <w:numPr>
          <w:ilvl w:val="0"/>
          <w:numId w:val="2"/>
        </w:numPr>
        <w:spacing w:after="80"/>
      </w:pPr>
      <w:r>
        <w:rPr>
          <w:rFonts w:ascii="Calibri" w:cs="Calibri" w:eastAsia="Calibri" w:hAnsi="Calibri"/>
          <w:b w:val="false"/>
          <w:bCs w:val="false"/>
          <w:sz w:val="21"/>
          <w:szCs w:val="21"/>
        </w:rPr>
        <w:t xml:space="preserve">Configurar un segundo servidor local en modo Log Shipping o Always On de una sola réplica local (Basic Availability Group, disponible en SQL Server Standard) para continuidad ante falla de hardware en sitio.</w:t>
      </w:r>
    </w:p>
    <w:p>
      <w:pPr>
        <w:pStyle w:val="ListParagraph"/>
        <w:numPr>
          <w:ilvl w:val="0"/>
          <w:numId w:val="2"/>
        </w:numPr>
        <w:spacing w:after="80"/>
      </w:pPr>
      <w:r>
        <w:rPr>
          <w:rFonts w:ascii="Calibri" w:cs="Calibri" w:eastAsia="Calibri" w:hAnsi="Calibri"/>
          <w:b w:val="false"/>
          <w:bCs w:val="false"/>
          <w:sz w:val="21"/>
          <w:szCs w:val="21"/>
        </w:rPr>
        <w:t xml:space="preserve">Automatizar el copiado de respaldos a Blob Storage inmediatamente después de cada job (Full/Diferencial/Log), con validación de integridad y alertamiento por falla.</w:t>
      </w:r>
    </w:p>
    <w:p>
      <w:pPr>
        <w:pStyle w:val="ListParagraph"/>
        <w:numPr>
          <w:ilvl w:val="0"/>
          <w:numId w:val="2"/>
        </w:numPr>
        <w:spacing w:after="80"/>
      </w:pPr>
      <w:r>
        <w:rPr>
          <w:rFonts w:ascii="Calibri" w:cs="Calibri" w:eastAsia="Calibri" w:hAnsi="Calibri"/>
          <w:b w:val="false"/>
          <w:bCs w:val="false"/>
          <w:sz w:val="21"/>
          <w:szCs w:val="21"/>
        </w:rPr>
        <w:t xml:space="preserve">Aplicar redundancia geográfica en la cuenta de almacenamiento (GRS o RA-GRS) para que la copia en la nube sobreviva a la pérdida de una región completa de Azure.</w:t>
      </w:r>
    </w:p>
    <w:p>
      <w:pPr>
        <w:spacing w:after="140" w:line="276"/>
      </w:pPr>
      <w:r>
        <w:rPr>
          <w:rFonts w:ascii="Calibri" w:cs="Calibri" w:eastAsia="Calibri" w:hAnsi="Calibri"/>
          <w:b/>
          <w:bCs/>
          <w:sz w:val="21"/>
          <w:szCs w:val="21"/>
        </w:rPr>
        <w:t xml:space="preserve">La decisión final debe validarse con el equipo legal/técnico responsable de interpretar las bases de la licitación, ya que algunos concursos públicos exigen explícitamente “alta disponibilidad activa” o “replicación en tiempo real” como criterio de adjudicación, lo cual inclinaría la balanza hacia la Opción A pese a su mayor costo.</w:t>
      </w:r>
    </w:p>
    <w:p>
      <w:pPr>
        <w:pStyle w:val="Heading1"/>
        <w:pBdr>
          <w:bottom w:val="single" w:color="1F3864" w:sz="8" w:space="4"/>
        </w:pBdr>
        <w:spacing w:after="160" w:before="360"/>
      </w:pPr>
      <w:r>
        <w:rPr>
          <w:rFonts w:ascii="Calibri" w:cs="Calibri" w:eastAsia="Calibri" w:hAnsi="Calibri"/>
          <w:b/>
          <w:bCs/>
          <w:color w:val="1F3864"/>
          <w:sz w:val="30"/>
          <w:szCs w:val="30"/>
        </w:rPr>
        <w:t xml:space="preserve">6. Arquitectura Propuesta</w:t>
      </w:r>
    </w:p>
    <w:p>
      <w:pPr>
        <w:pStyle w:val="Heading2"/>
        <w:spacing w:after="120" w:before="260"/>
      </w:pPr>
      <w:r>
        <w:rPr>
          <w:rFonts w:ascii="Calibri" w:cs="Calibri" w:eastAsia="Calibri" w:hAnsi="Calibri"/>
          <w:b/>
          <w:bCs/>
          <w:color w:val="2E5B9A"/>
          <w:sz w:val="24"/>
          <w:szCs w:val="24"/>
        </w:rPr>
        <w:t xml:space="preserve">6.1 Opción A — Always On Availability Groups (híbrido)</w:t>
      </w:r>
    </w:p>
    <w:p>
      <w:pPr>
        <w:pStyle w:val="ListParagraph"/>
        <w:numPr>
          <w:ilvl w:val="0"/>
          <w:numId w:val="2"/>
        </w:numPr>
        <w:spacing w:after="80"/>
      </w:pPr>
      <w:r>
        <w:rPr>
          <w:rFonts w:ascii="Calibri" w:cs="Calibri" w:eastAsia="Calibri" w:hAnsi="Calibri"/>
          <w:b w:val="false"/>
          <w:bCs w:val="false"/>
          <w:sz w:val="21"/>
          <w:szCs w:val="21"/>
        </w:rPr>
        <w:t xml:space="preserve">Nodo 1 (Primario – On-premises): Windows Server + SQL Server 2025 Enterprise; réplica primaria, atiende lectura/escritura de la aplicación biométrica en tiempo real.</w:t>
      </w:r>
    </w:p>
    <w:p>
      <w:pPr>
        <w:pStyle w:val="ListParagraph"/>
        <w:numPr>
          <w:ilvl w:val="0"/>
          <w:numId w:val="2"/>
        </w:numPr>
        <w:spacing w:after="80"/>
      </w:pPr>
      <w:r>
        <w:rPr>
          <w:rFonts w:ascii="Calibri" w:cs="Calibri" w:eastAsia="Calibri" w:hAnsi="Calibri"/>
          <w:b w:val="false"/>
          <w:bCs w:val="false"/>
          <w:sz w:val="21"/>
          <w:szCs w:val="21"/>
        </w:rPr>
        <w:t xml:space="preserve">Nodo 2 y Nodo 3 (Secundarios – Azure VMs): en una región de Azure (idealmente con zonas de disponibilidad distintas), configurados como réplicas asíncronas (por la latencia WAN entre sitio y nube).</w:t>
      </w:r>
    </w:p>
    <w:p>
      <w:pPr>
        <w:pStyle w:val="ListParagraph"/>
        <w:numPr>
          <w:ilvl w:val="0"/>
          <w:numId w:val="2"/>
        </w:numPr>
        <w:spacing w:after="80"/>
      </w:pPr>
      <w:r>
        <w:rPr>
          <w:rFonts w:ascii="Calibri" w:cs="Calibri" w:eastAsia="Calibri" w:hAnsi="Calibri"/>
          <w:b w:val="false"/>
          <w:bCs w:val="false"/>
          <w:sz w:val="21"/>
          <w:szCs w:val="21"/>
        </w:rPr>
        <w:t xml:space="preserve">Windows Server Failover Cluster (WSFC) multisubred extendido entre el sitio local y Azure mediante VPN Site-to-Site (IPsec) o, preferentemente, ExpressRoute para menor latencia y jitter.</w:t>
      </w:r>
    </w:p>
    <w:p>
      <w:pPr>
        <w:pStyle w:val="ListParagraph"/>
        <w:numPr>
          <w:ilvl w:val="0"/>
          <w:numId w:val="2"/>
        </w:numPr>
        <w:spacing w:after="80"/>
      </w:pPr>
      <w:r>
        <w:rPr>
          <w:rFonts w:ascii="Calibri" w:cs="Calibri" w:eastAsia="Calibri" w:hAnsi="Calibri"/>
          <w:b w:val="false"/>
          <w:bCs w:val="false"/>
          <w:sz w:val="21"/>
          <w:szCs w:val="21"/>
        </w:rPr>
        <w:t xml:space="preserve">Cloud Witness (cuenta de Storage en Azure) como testigo de cuórum del clúster.</w:t>
      </w:r>
    </w:p>
    <w:p>
      <w:pPr>
        <w:pStyle w:val="ListParagraph"/>
        <w:numPr>
          <w:ilvl w:val="0"/>
          <w:numId w:val="2"/>
        </w:numPr>
        <w:spacing w:after="80"/>
      </w:pPr>
      <w:r>
        <w:rPr>
          <w:rFonts w:ascii="Calibri" w:cs="Calibri" w:eastAsia="Calibri" w:hAnsi="Calibri"/>
          <w:b w:val="false"/>
          <w:bCs w:val="false"/>
          <w:sz w:val="21"/>
          <w:szCs w:val="21"/>
        </w:rPr>
        <w:t xml:space="preserve">AG Listener para que la aplicación biométrica se conecte de forma transparente sin importar cuál réplica sea la primaria tras un failover.</w:t>
      </w:r>
    </w:p>
    <w:p>
      <w:pPr>
        <w:pStyle w:val="ListParagraph"/>
        <w:numPr>
          <w:ilvl w:val="0"/>
          <w:numId w:val="2"/>
        </w:numPr>
        <w:spacing w:after="80"/>
      </w:pPr>
      <w:r>
        <w:rPr>
          <w:rFonts w:ascii="Calibri" w:cs="Calibri" w:eastAsia="Calibri" w:hAnsi="Calibri"/>
          <w:b w:val="false"/>
          <w:bCs w:val="false"/>
          <w:sz w:val="21"/>
          <w:szCs w:val="21"/>
        </w:rPr>
        <w:t xml:space="preserve">Azure Key Vault para gestión de llaves de TDE/Always Encrypted; Azure Monitor + Log Analytics para observabilidad del clúster.</w:t>
      </w:r>
    </w:p>
    <w:p>
      <w:pPr>
        <w:pStyle w:val="Heading2"/>
        <w:spacing w:after="120" w:before="260"/>
      </w:pPr>
      <w:r>
        <w:rPr>
          <w:rFonts w:ascii="Calibri" w:cs="Calibri" w:eastAsia="Calibri" w:hAnsi="Calibri"/>
          <w:b/>
          <w:bCs/>
          <w:color w:val="2E5B9A"/>
          <w:sz w:val="24"/>
          <w:szCs w:val="24"/>
        </w:rPr>
        <w:t xml:space="preserve">6.2 Opción B — Standalone + Respaldo Nativo a Azure Blob Storage (recomendada)</w:t>
      </w:r>
    </w:p>
    <w:p>
      <w:pPr>
        <w:pStyle w:val="ListParagraph"/>
        <w:numPr>
          <w:ilvl w:val="0"/>
          <w:numId w:val="2"/>
        </w:numPr>
        <w:spacing w:after="80"/>
      </w:pPr>
      <w:r>
        <w:rPr>
          <w:rFonts w:ascii="Calibri" w:cs="Calibri" w:eastAsia="Calibri" w:hAnsi="Calibri"/>
          <w:b w:val="false"/>
          <w:bCs w:val="false"/>
          <w:sz w:val="21"/>
          <w:szCs w:val="21"/>
        </w:rPr>
        <w:t xml:space="preserve">Servidor único local: Windows Server + SQL Server 2025 (Standard o Enterprise según tamaño de la base y necesidad de Basic AG).</w:t>
      </w:r>
    </w:p>
    <w:p>
      <w:pPr>
        <w:pStyle w:val="ListParagraph"/>
        <w:numPr>
          <w:ilvl w:val="0"/>
          <w:numId w:val="2"/>
        </w:numPr>
        <w:spacing w:after="80"/>
      </w:pPr>
      <w:r>
        <w:rPr>
          <w:rFonts w:ascii="Calibri" w:cs="Calibri" w:eastAsia="Calibri" w:hAnsi="Calibri"/>
          <w:b w:val="false"/>
          <w:bCs w:val="false"/>
          <w:sz w:val="21"/>
          <w:szCs w:val="21"/>
        </w:rPr>
        <w:t xml:space="preserve">Estrategia de respaldo: Full semanal, Diferencial diario y de transacciones (Log) cada 15–30 minutos, usando “Backup to URL” nativo de SQL Server o scripts de mantenimiento (p. ej., Ola Hallengren) con cifrado y compresión habilitados.</w:t>
      </w:r>
    </w:p>
    <w:p>
      <w:pPr>
        <w:pStyle w:val="ListParagraph"/>
        <w:numPr>
          <w:ilvl w:val="0"/>
          <w:numId w:val="2"/>
        </w:numPr>
        <w:spacing w:after="80"/>
      </w:pPr>
      <w:r>
        <w:rPr>
          <w:rFonts w:ascii="Calibri" w:cs="Calibri" w:eastAsia="Calibri" w:hAnsi="Calibri"/>
          <w:b w:val="false"/>
          <w:bCs w:val="false"/>
          <w:sz w:val="21"/>
          <w:szCs w:val="21"/>
        </w:rPr>
        <w:t xml:space="preserve">Cuenta de Azure Storage (Blob) con redundancia GRS/RA-GRS, cifrado con Customer-Managed Keys (Key Vault), y política de ciclo de vida: Hot para los últimos 30 días, Cool/Cold para retención histórica.</w:t>
      </w:r>
    </w:p>
    <w:p>
      <w:pPr>
        <w:pStyle w:val="ListParagraph"/>
        <w:numPr>
          <w:ilvl w:val="0"/>
          <w:numId w:val="2"/>
        </w:numPr>
        <w:spacing w:after="80"/>
      </w:pPr>
      <w:r>
        <w:rPr>
          <w:rFonts w:ascii="Calibri" w:cs="Calibri" w:eastAsia="Calibri" w:hAnsi="Calibri"/>
          <w:b w:val="false"/>
          <w:bCs w:val="false"/>
          <w:sz w:val="21"/>
          <w:szCs w:val="21"/>
        </w:rPr>
        <w:t xml:space="preserve">Opcional: Immutable Blob Storage (WORM) para los respaldos que deban conservarse como evidencia no alterable.</w:t>
      </w:r>
    </w:p>
    <w:p>
      <w:pPr>
        <w:pStyle w:val="ListParagraph"/>
        <w:numPr>
          <w:ilvl w:val="0"/>
          <w:numId w:val="2"/>
        </w:numPr>
        <w:spacing w:after="80"/>
      </w:pPr>
      <w:r>
        <w:rPr>
          <w:rFonts w:ascii="Calibri" w:cs="Calibri" w:eastAsia="Calibri" w:hAnsi="Calibri"/>
          <w:b w:val="false"/>
          <w:bCs w:val="false"/>
          <w:sz w:val="21"/>
          <w:szCs w:val="21"/>
        </w:rPr>
        <w:t xml:space="preserve">Conectividad: VPN Site-to-Site básica o conexión HTTPS directa hacia el endpoint del Storage Account (con Private Endpoint recomendado para no exponer el tráfico por Internet público).</w:t>
      </w:r>
    </w:p>
    <w:p>
      <w:pPr>
        <w:pStyle w:val="ListParagraph"/>
        <w:numPr>
          <w:ilvl w:val="0"/>
          <w:numId w:val="2"/>
        </w:numPr>
        <w:spacing w:after="80"/>
      </w:pPr>
      <w:r>
        <w:rPr>
          <w:rFonts w:ascii="Calibri" w:cs="Calibri" w:eastAsia="Calibri" w:hAnsi="Calibri"/>
          <w:b w:val="false"/>
          <w:bCs w:val="false"/>
          <w:sz w:val="21"/>
          <w:szCs w:val="21"/>
        </w:rPr>
        <w:t xml:space="preserve">Restauración ante desastre: aprovisionar una VM en Azure con SQL Server, restaurar la cadena de respaldos desde Blob Storage y redirigir la aplicación (DR “frío”, manual, no automático).</w:t>
      </w:r>
    </w:p>
    <w:p>
      <w:pPr>
        <w:spacing w:after="160"/>
      </w:pPr>
      <w:r>
        <w:rPr>
          <w:rFonts w:ascii="Calibri" w:cs="Calibri" w:eastAsia="Calibri" w:hAnsi="Calibri"/>
          <w:i/>
          <w:iCs/>
          <w:color w:val="595959"/>
          <w:sz w:val="19"/>
          <w:szCs w:val="19"/>
        </w:rPr>
        <w:t xml:space="preserve">Ambas arquitecturas deben documentarse con un diagrama de red formal (Visio/draw.io) durante la fase de diseño detallado, incluyendo direccionamiento IP, reglas de firewall/NSG y topología de VPN/ExpressRoute; se omite aquí un diagrama gráfico y se describe la topología de forma textual.</w:t>
      </w:r>
    </w:p>
    <w:p>
      <w:pPr>
        <w:pStyle w:val="Heading1"/>
        <w:pBdr>
          <w:bottom w:val="single" w:color="1F3864" w:sz="8" w:space="4"/>
        </w:pBdr>
        <w:spacing w:after="160" w:before="360"/>
      </w:pPr>
      <w:r>
        <w:rPr>
          <w:rFonts w:ascii="Calibri" w:cs="Calibri" w:eastAsia="Calibri" w:hAnsi="Calibri"/>
          <w:b/>
          <w:bCs/>
          <w:color w:val="1F3864"/>
          <w:sz w:val="30"/>
          <w:szCs w:val="30"/>
        </w:rPr>
        <w:t xml:space="preserve">7. Alcance</w:t>
      </w:r>
    </w:p>
    <w:p>
      <w:pPr>
        <w:pStyle w:val="ListParagraph"/>
        <w:numPr>
          <w:ilvl w:val="0"/>
          <w:numId w:val="2"/>
        </w:numPr>
        <w:spacing w:after="80"/>
      </w:pPr>
      <w:r>
        <w:rPr>
          <w:rFonts w:ascii="Calibri" w:cs="Calibri" w:eastAsia="Calibri" w:hAnsi="Calibri"/>
          <w:b w:val="false"/>
          <w:bCs w:val="false"/>
          <w:sz w:val="21"/>
          <w:szCs w:val="21"/>
        </w:rPr>
        <w:t xml:space="preserve">Levantamiento de requerimientos técnicos y regulatorios específicos de la licitación.</w:t>
      </w:r>
    </w:p>
    <w:p>
      <w:pPr>
        <w:pStyle w:val="ListParagraph"/>
        <w:numPr>
          <w:ilvl w:val="0"/>
          <w:numId w:val="2"/>
        </w:numPr>
        <w:spacing w:after="80"/>
      </w:pPr>
      <w:r>
        <w:rPr>
          <w:rFonts w:ascii="Calibri" w:cs="Calibri" w:eastAsia="Calibri" w:hAnsi="Calibri"/>
          <w:b w:val="false"/>
          <w:bCs w:val="false"/>
          <w:sz w:val="21"/>
          <w:szCs w:val="21"/>
        </w:rPr>
        <w:t xml:space="preserve">Diseño detallado de la arquitectura seleccionada (Opción A o B), incluyendo diagrama de red y de datos.</w:t>
      </w:r>
    </w:p>
    <w:p>
      <w:pPr>
        <w:pStyle w:val="ListParagraph"/>
        <w:numPr>
          <w:ilvl w:val="0"/>
          <w:numId w:val="2"/>
        </w:numPr>
        <w:spacing w:after="80"/>
      </w:pPr>
      <w:r>
        <w:rPr>
          <w:rFonts w:ascii="Calibri" w:cs="Calibri" w:eastAsia="Calibri" w:hAnsi="Calibri"/>
          <w:b w:val="false"/>
          <w:bCs w:val="false"/>
          <w:sz w:val="21"/>
          <w:szCs w:val="21"/>
        </w:rPr>
        <w:t xml:space="preserve">Instalación y configuración de SQL Server 2025 (instancia standalone o Always On Availability Group, según opción elegida).</w:t>
      </w:r>
    </w:p>
    <w:p>
      <w:pPr>
        <w:pStyle w:val="ListParagraph"/>
        <w:numPr>
          <w:ilvl w:val="0"/>
          <w:numId w:val="2"/>
        </w:numPr>
        <w:spacing w:after="80"/>
      </w:pPr>
      <w:r>
        <w:rPr>
          <w:rFonts w:ascii="Calibri" w:cs="Calibri" w:eastAsia="Calibri" w:hAnsi="Calibri"/>
          <w:b w:val="false"/>
          <w:bCs w:val="false"/>
          <w:sz w:val="21"/>
          <w:szCs w:val="21"/>
        </w:rPr>
        <w:t xml:space="preserve">Configuración de cifrado en reposo y en tránsito (TDE, Always Encrypted, TLS, Key Vault).</w:t>
      </w:r>
    </w:p>
    <w:p>
      <w:pPr>
        <w:pStyle w:val="ListParagraph"/>
        <w:numPr>
          <w:ilvl w:val="0"/>
          <w:numId w:val="2"/>
        </w:numPr>
        <w:spacing w:after="80"/>
      </w:pPr>
      <w:r>
        <w:rPr>
          <w:rFonts w:ascii="Calibri" w:cs="Calibri" w:eastAsia="Calibri" w:hAnsi="Calibri"/>
          <w:b w:val="false"/>
          <w:bCs w:val="false"/>
          <w:sz w:val="21"/>
          <w:szCs w:val="21"/>
        </w:rPr>
        <w:t xml:space="preserve">Configuración de la cuenta de Azure Storage (Blob), políticas de ciclo de vida y redundancia geográfica.</w:t>
      </w:r>
    </w:p>
    <w:p>
      <w:pPr>
        <w:pStyle w:val="ListParagraph"/>
        <w:numPr>
          <w:ilvl w:val="0"/>
          <w:numId w:val="2"/>
        </w:numPr>
        <w:spacing w:after="80"/>
      </w:pPr>
      <w:r>
        <w:rPr>
          <w:rFonts w:ascii="Calibri" w:cs="Calibri" w:eastAsia="Calibri" w:hAnsi="Calibri"/>
          <w:b w:val="false"/>
          <w:bCs w:val="false"/>
          <w:sz w:val="21"/>
          <w:szCs w:val="21"/>
        </w:rPr>
        <w:t xml:space="preserve">Configuración de jobs de respaldo/replicación y su copiado automático hacia Azure Blob Storage.</w:t>
      </w:r>
    </w:p>
    <w:p>
      <w:pPr>
        <w:pStyle w:val="ListParagraph"/>
        <w:numPr>
          <w:ilvl w:val="0"/>
          <w:numId w:val="2"/>
        </w:numPr>
        <w:spacing w:after="80"/>
      </w:pPr>
      <w:r>
        <w:rPr>
          <w:rFonts w:ascii="Calibri" w:cs="Calibri" w:eastAsia="Calibri" w:hAnsi="Calibri"/>
          <w:b w:val="false"/>
          <w:bCs w:val="false"/>
          <w:sz w:val="21"/>
          <w:szCs w:val="21"/>
        </w:rPr>
        <w:t xml:space="preserve">Pruebas de restauración / failover y validación de RTO/RPO reales contra los exigidos.</w:t>
      </w:r>
    </w:p>
    <w:p>
      <w:pPr>
        <w:pStyle w:val="ListParagraph"/>
        <w:numPr>
          <w:ilvl w:val="0"/>
          <w:numId w:val="2"/>
        </w:numPr>
        <w:spacing w:after="80"/>
      </w:pPr>
      <w:r>
        <w:rPr>
          <w:rFonts w:ascii="Calibri" w:cs="Calibri" w:eastAsia="Calibri" w:hAnsi="Calibri"/>
          <w:b w:val="false"/>
          <w:bCs w:val="false"/>
          <w:sz w:val="21"/>
          <w:szCs w:val="21"/>
        </w:rPr>
        <w:t xml:space="preserve">Documentación técnica (runbooks de operación, DR y recuperación) y transferencia de conocimiento al equipo del cliente.</w:t>
      </w:r>
    </w:p>
    <w:p>
      <w:pPr>
        <w:pStyle w:val="ListParagraph"/>
        <w:numPr>
          <w:ilvl w:val="0"/>
          <w:numId w:val="2"/>
        </w:numPr>
        <w:spacing w:after="80"/>
      </w:pPr>
      <w:r>
        <w:rPr>
          <w:rFonts w:ascii="Calibri" w:cs="Calibri" w:eastAsia="Calibri" w:hAnsi="Calibri"/>
          <w:b w:val="false"/>
          <w:bCs w:val="false"/>
          <w:sz w:val="21"/>
          <w:szCs w:val="21"/>
        </w:rPr>
        <w:t xml:space="preserve">Acompañamiento durante la etapa de pruebas piloto exigida por la licitación (si aplica).</w:t>
      </w:r>
    </w:p>
    <w:p>
      <w:pPr>
        <w:pStyle w:val="Heading1"/>
        <w:pBdr>
          <w:bottom w:val="single" w:color="1F3864" w:sz="8" w:space="4"/>
        </w:pBdr>
        <w:spacing w:after="160" w:before="360"/>
      </w:pPr>
      <w:r>
        <w:rPr>
          <w:rFonts w:ascii="Calibri" w:cs="Calibri" w:eastAsia="Calibri" w:hAnsi="Calibri"/>
          <w:b/>
          <w:bCs/>
          <w:color w:val="1F3864"/>
          <w:sz w:val="30"/>
          <w:szCs w:val="30"/>
        </w:rPr>
        <w:t xml:space="preserve">8. Fuera de Alcance</w:t>
      </w:r>
    </w:p>
    <w:p>
      <w:pPr>
        <w:pStyle w:val="ListParagraph"/>
        <w:numPr>
          <w:ilvl w:val="0"/>
          <w:numId w:val="2"/>
        </w:numPr>
        <w:spacing w:after="80"/>
      </w:pPr>
      <w:r>
        <w:rPr>
          <w:rFonts w:ascii="Calibri" w:cs="Calibri" w:eastAsia="Calibri" w:hAnsi="Calibri"/>
          <w:b w:val="false"/>
          <w:bCs w:val="false"/>
          <w:sz w:val="21"/>
          <w:szCs w:val="21"/>
        </w:rPr>
        <w:t xml:space="preserve">Desarrollo, personalización o soporte del software de control de acceso biométrico (aplicación, motor de matching, SDK del proveedor).</w:t>
      </w:r>
    </w:p>
    <w:p>
      <w:pPr>
        <w:pStyle w:val="ListParagraph"/>
        <w:numPr>
          <w:ilvl w:val="0"/>
          <w:numId w:val="2"/>
        </w:numPr>
        <w:spacing w:after="80"/>
      </w:pPr>
      <w:r>
        <w:rPr>
          <w:rFonts w:ascii="Calibri" w:cs="Calibri" w:eastAsia="Calibri" w:hAnsi="Calibri"/>
          <w:b w:val="false"/>
          <w:bCs w:val="false"/>
          <w:sz w:val="21"/>
          <w:szCs w:val="21"/>
        </w:rPr>
        <w:t xml:space="preserve">Suministro, instalación o mantenimiento del hardware biométrico (lectores de huella, cámaras de reconocimiento facial, torniquetes, controladoras).</w:t>
      </w:r>
    </w:p>
    <w:p>
      <w:pPr>
        <w:pStyle w:val="ListParagraph"/>
        <w:numPr>
          <w:ilvl w:val="0"/>
          <w:numId w:val="2"/>
        </w:numPr>
        <w:spacing w:after="80"/>
      </w:pPr>
      <w:r>
        <w:rPr>
          <w:rFonts w:ascii="Calibri" w:cs="Calibri" w:eastAsia="Calibri" w:hAnsi="Calibri"/>
          <w:b w:val="false"/>
          <w:bCs w:val="false"/>
          <w:sz w:val="21"/>
          <w:szCs w:val="21"/>
        </w:rPr>
        <w:t xml:space="preserve">Elaboración o validación legal del aviso de privacidad ante autoridades (únicamente se proveerán recomendaciones técnicas de apoyo).</w:t>
      </w:r>
    </w:p>
    <w:p>
      <w:pPr>
        <w:pStyle w:val="ListParagraph"/>
        <w:numPr>
          <w:ilvl w:val="0"/>
          <w:numId w:val="2"/>
        </w:numPr>
        <w:spacing w:after="80"/>
      </w:pPr>
      <w:r>
        <w:rPr>
          <w:rFonts w:ascii="Calibri" w:cs="Calibri" w:eastAsia="Calibri" w:hAnsi="Calibri"/>
          <w:b w:val="false"/>
          <w:bCs w:val="false"/>
          <w:sz w:val="21"/>
          <w:szCs w:val="21"/>
        </w:rPr>
        <w:t xml:space="preserve">Migración de datos históricos de un sistema biométrico previo, salvo que se contrate como servicio adicional.</w:t>
      </w:r>
    </w:p>
    <w:p>
      <w:pPr>
        <w:pStyle w:val="ListParagraph"/>
        <w:numPr>
          <w:ilvl w:val="0"/>
          <w:numId w:val="2"/>
        </w:numPr>
        <w:spacing w:after="80"/>
      </w:pPr>
      <w:r>
        <w:rPr>
          <w:rFonts w:ascii="Calibri" w:cs="Calibri" w:eastAsia="Calibri" w:hAnsi="Calibri"/>
          <w:b w:val="false"/>
          <w:bCs w:val="false"/>
          <w:sz w:val="21"/>
          <w:szCs w:val="21"/>
        </w:rPr>
        <w:t xml:space="preserve">Contratación o costo del enlace de telecomunicaciones (VPN/ExpressRoute) con el proveedor de conectividad; se define el requerimiento técnico, pero la contratación corre por cuenta del cliente.</w:t>
      </w:r>
    </w:p>
    <w:p>
      <w:pPr>
        <w:pStyle w:val="ListParagraph"/>
        <w:numPr>
          <w:ilvl w:val="0"/>
          <w:numId w:val="2"/>
        </w:numPr>
        <w:spacing w:after="80"/>
      </w:pPr>
      <w:r>
        <w:rPr>
          <w:rFonts w:ascii="Calibri" w:cs="Calibri" w:eastAsia="Calibri" w:hAnsi="Calibri"/>
          <w:b w:val="false"/>
          <w:bCs w:val="false"/>
          <w:sz w:val="21"/>
          <w:szCs w:val="21"/>
        </w:rPr>
        <w:t xml:space="preserve">Soporte operativo posterior a la puesta en producción, más allá del periodo de garantía que se defina contractualmente (un esquema de soporte/ANS puede cotizarse por separado).</w:t>
      </w:r>
    </w:p>
    <w:p>
      <w:pPr>
        <w:pStyle w:val="ListParagraph"/>
        <w:numPr>
          <w:ilvl w:val="0"/>
          <w:numId w:val="2"/>
        </w:numPr>
        <w:spacing w:after="80"/>
      </w:pPr>
      <w:r>
        <w:rPr>
          <w:rFonts w:ascii="Calibri" w:cs="Calibri" w:eastAsia="Calibri" w:hAnsi="Calibri"/>
          <w:b w:val="false"/>
          <w:bCs w:val="false"/>
          <w:sz w:val="21"/>
          <w:szCs w:val="21"/>
        </w:rPr>
        <w:t xml:space="preserve">Adquisición de licencias de Windows Server / SQL Server / Software Assurance; se asume que el cliente las provee o las adquiere según lo indicado en la sección de supuestos.</w:t>
      </w:r>
    </w:p>
    <w:p>
      <w:pPr>
        <w:pStyle w:val="Heading1"/>
        <w:pBdr>
          <w:bottom w:val="single" w:color="1F3864" w:sz="8" w:space="4"/>
        </w:pBdr>
        <w:spacing w:after="160" w:before="360"/>
      </w:pPr>
      <w:r>
        <w:rPr>
          <w:rFonts w:ascii="Calibri" w:cs="Calibri" w:eastAsia="Calibri" w:hAnsi="Calibri"/>
          <w:b/>
          <w:bCs/>
          <w:color w:val="1F3864"/>
          <w:sz w:val="30"/>
          <w:szCs w:val="30"/>
        </w:rPr>
        <w:t xml:space="preserve">9. Requerimientos Técnicos y Humanos</w:t>
      </w:r>
    </w:p>
    <w:p>
      <w:pPr>
        <w:pStyle w:val="Heading2"/>
        <w:spacing w:after="120" w:before="260"/>
      </w:pPr>
      <w:r>
        <w:rPr>
          <w:rFonts w:ascii="Calibri" w:cs="Calibri" w:eastAsia="Calibri" w:hAnsi="Calibri"/>
          <w:b/>
          <w:bCs/>
          <w:color w:val="2E5B9A"/>
          <w:sz w:val="24"/>
          <w:szCs w:val="24"/>
        </w:rPr>
        <w:t xml:space="preserve">9.1 Requerimientos técnicos</w:t>
      </w:r>
    </w:p>
    <w:p>
      <w:pPr>
        <w:pStyle w:val="ListParagraph"/>
        <w:numPr>
          <w:ilvl w:val="0"/>
          <w:numId w:val="2"/>
        </w:numPr>
        <w:spacing w:after="80"/>
      </w:pPr>
      <w:r>
        <w:rPr>
          <w:rFonts w:ascii="Calibri" w:cs="Calibri" w:eastAsia="Calibri" w:hAnsi="Calibri"/>
          <w:b w:val="false"/>
          <w:bCs w:val="false"/>
          <w:sz w:val="21"/>
          <w:szCs w:val="21"/>
        </w:rPr>
        <w:t xml:space="preserve">Licencias de Windows Server Datacenter/Standard y SQL Server 2025 (Standard o Enterprise según opción).</w:t>
      </w:r>
    </w:p>
    <w:p>
      <w:pPr>
        <w:pStyle w:val="ListParagraph"/>
        <w:numPr>
          <w:ilvl w:val="0"/>
          <w:numId w:val="2"/>
        </w:numPr>
        <w:spacing w:after="80"/>
      </w:pPr>
      <w:r>
        <w:rPr>
          <w:rFonts w:ascii="Calibri" w:cs="Calibri" w:eastAsia="Calibri" w:hAnsi="Calibri"/>
          <w:b w:val="false"/>
          <w:bCs w:val="false"/>
          <w:sz w:val="21"/>
          <w:szCs w:val="21"/>
        </w:rPr>
        <w:t xml:space="preserve">Suscripción de Microsoft Azure con permisos de Owner/Contributor sobre el Resource Group del proyecto.</w:t>
      </w:r>
    </w:p>
    <w:p>
      <w:pPr>
        <w:pStyle w:val="ListParagraph"/>
        <w:numPr>
          <w:ilvl w:val="0"/>
          <w:numId w:val="2"/>
        </w:numPr>
        <w:spacing w:after="80"/>
      </w:pPr>
      <w:r>
        <w:rPr>
          <w:rFonts w:ascii="Calibri" w:cs="Calibri" w:eastAsia="Calibri" w:hAnsi="Calibri"/>
          <w:b w:val="false"/>
          <w:bCs w:val="false"/>
          <w:sz w:val="21"/>
          <w:szCs w:val="21"/>
        </w:rPr>
        <w:t xml:space="preserve">Cuenta de Azure Storage (Blob), Azure Key Vault, y (si Opción A) VMs, Managed Disks Premium, VPN Gateway o circuito ExpressRoute.</w:t>
      </w:r>
    </w:p>
    <w:p>
      <w:pPr>
        <w:pStyle w:val="ListParagraph"/>
        <w:numPr>
          <w:ilvl w:val="0"/>
          <w:numId w:val="2"/>
        </w:numPr>
        <w:spacing w:after="80"/>
      </w:pPr>
      <w:r>
        <w:rPr>
          <w:rFonts w:ascii="Calibri" w:cs="Calibri" w:eastAsia="Calibri" w:hAnsi="Calibri"/>
          <w:b w:val="false"/>
          <w:bCs w:val="false"/>
          <w:sz w:val="21"/>
          <w:szCs w:val="21"/>
        </w:rPr>
        <w:t xml:space="preserve">Conectividad de red dedicada entre el sitio local y Azure (ancho de banda a definir según volumen de datos y, en Opción A, la sensibilidad a latencia del clúster).</w:t>
      </w:r>
    </w:p>
    <w:p>
      <w:pPr>
        <w:pStyle w:val="ListParagraph"/>
        <w:numPr>
          <w:ilvl w:val="0"/>
          <w:numId w:val="2"/>
        </w:numPr>
        <w:spacing w:after="80"/>
      </w:pPr>
      <w:r>
        <w:rPr>
          <w:rFonts w:ascii="Calibri" w:cs="Calibri" w:eastAsia="Calibri" w:hAnsi="Calibri"/>
          <w:b w:val="false"/>
          <w:bCs w:val="false"/>
          <w:sz w:val="21"/>
          <w:szCs w:val="21"/>
        </w:rPr>
        <w:t xml:space="preserve">Herramienta de monitoreo (Azure Monitor / SQL Server Agent / solución de terceros) y, de preferencia, un SIEM para auditoría de accesos a datos sensibles.</w:t>
      </w:r>
    </w:p>
    <w:p>
      <w:pPr>
        <w:pStyle w:val="ListParagraph"/>
        <w:numPr>
          <w:ilvl w:val="0"/>
          <w:numId w:val="2"/>
        </w:numPr>
        <w:spacing w:after="80"/>
      </w:pPr>
      <w:r>
        <w:rPr>
          <w:rFonts w:ascii="Calibri" w:cs="Calibri" w:eastAsia="Calibri" w:hAnsi="Calibri"/>
          <w:b w:val="false"/>
          <w:bCs w:val="false"/>
          <w:sz w:val="21"/>
          <w:szCs w:val="21"/>
        </w:rPr>
        <w:t xml:space="preserve">Ambiente de pruebas (staging) que replique la arquitectura productiva para las pruebas de restauración/failover.</w:t>
      </w:r>
    </w:p>
    <w:p>
      <w:pPr>
        <w:pStyle w:val="Heading2"/>
        <w:spacing w:after="120" w:before="260"/>
      </w:pPr>
      <w:r>
        <w:rPr>
          <w:rFonts w:ascii="Calibri" w:cs="Calibri" w:eastAsia="Calibri" w:hAnsi="Calibri"/>
          <w:b/>
          <w:bCs/>
          <w:color w:val="2E5B9A"/>
          <w:sz w:val="24"/>
          <w:szCs w:val="24"/>
        </w:rPr>
        <w:t xml:space="preserve">9.2 Requerimientos humanos (equipo del proveedor)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50"/>
      </w:tblGrid>
      <w:tr>
        <w:trPr>
          <w:tblHeader/>
        </w:trPr>
        <w:tc>
          <w:tcPr>
            <w:tcW w:type="dxa" w:w="30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w:t>
            </w:r>
          </w:p>
        </w:tc>
        <w:tc>
          <w:tcPr>
            <w:tcW w:type="dxa" w:w="46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Responsabilidad principal</w:t>
            </w:r>
          </w:p>
        </w:tc>
        <w:tc>
          <w:tcPr>
            <w:tcW w:type="dxa" w:w="175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Dedicación estimada</w:t>
            </w:r>
          </w:p>
        </w:tc>
      </w:tr>
      <w:tr>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Gerente / Líder de proyecto</w:t>
            </w:r>
          </w:p>
        </w:tc>
        <w:tc>
          <w:tcPr>
            <w:tcW w:type="dxa" w:w="46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Coordinación general, seguimiento de cronograma y entregables</w:t>
            </w:r>
          </w:p>
        </w:tc>
        <w:tc>
          <w:tcPr>
            <w:tcW w:type="dxa" w:w="17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Parcial (todo el proyecto)</w:t>
            </w:r>
          </w:p>
        </w:tc>
      </w:tr>
      <w:tr>
        <w:tc>
          <w:tcPr>
            <w:tcW w:type="dxa" w:w="30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Arquitecto de datos / DBA senior SQL Server</w:t>
            </w:r>
          </w:p>
        </w:tc>
        <w:tc>
          <w:tcPr>
            <w:tcW w:type="dxa" w:w="46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Diseño e implementación de Always On o Standalone, tuning, cifrado</w:t>
            </w:r>
          </w:p>
        </w:tc>
        <w:tc>
          <w:tcPr>
            <w:tcW w:type="dxa" w:w="17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Completa (fases 2–5)</w:t>
            </w:r>
          </w:p>
        </w:tc>
      </w:tr>
      <w:tr>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Arquitecto / Ingeniero de nube Azure</w:t>
            </w:r>
          </w:p>
        </w:tc>
        <w:tc>
          <w:tcPr>
            <w:tcW w:type="dxa" w:w="46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Aprovisionamiento de Storage, Key Vault, VMs, redes en Azure</w:t>
            </w:r>
          </w:p>
        </w:tc>
        <w:tc>
          <w:tcPr>
            <w:tcW w:type="dxa" w:w="17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Completa (fases 2–4)</w:t>
            </w:r>
          </w:p>
        </w:tc>
      </w:tr>
      <w:tr>
        <w:tc>
          <w:tcPr>
            <w:tcW w:type="dxa" w:w="30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Ingeniero de redes y seguridad</w:t>
            </w:r>
          </w:p>
        </w:tc>
        <w:tc>
          <w:tcPr>
            <w:tcW w:type="dxa" w:w="46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VPN/ExpressRoute, firewalls, NSG, Private Endpoints</w:t>
            </w:r>
          </w:p>
        </w:tc>
        <w:tc>
          <w:tcPr>
            <w:tcW w:type="dxa" w:w="17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Parcial (fases 2–4)</w:t>
            </w:r>
          </w:p>
        </w:tc>
      </w:tr>
      <w:tr>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Especialista en cumplimiento / protección de datos</w:t>
            </w:r>
          </w:p>
        </w:tc>
        <w:tc>
          <w:tcPr>
            <w:tcW w:type="dxa" w:w="46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Validación de controles frente a LFPDPPP y bases de la licitación</w:t>
            </w:r>
          </w:p>
        </w:tc>
        <w:tc>
          <w:tcPr>
            <w:tcW w:type="dxa" w:w="17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Parcial (fases 1 y 5)</w:t>
            </w:r>
          </w:p>
        </w:tc>
      </w:tr>
      <w:tr>
        <w:tc>
          <w:tcPr>
            <w:tcW w:type="dxa" w:w="30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Ingeniero de pruebas (QA)</w:t>
            </w:r>
          </w:p>
        </w:tc>
        <w:tc>
          <w:tcPr>
            <w:tcW w:type="dxa" w:w="46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Pruebas de restauración, failover, carga y seguridad</w:t>
            </w:r>
          </w:p>
        </w:tc>
        <w:tc>
          <w:tcPr>
            <w:tcW w:type="dxa" w:w="17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Completa (fase 5)</w:t>
            </w:r>
          </w:p>
        </w:tc>
      </w:tr>
    </w:tbl>
    <w:p>
      <w:pPr>
        <w:spacing w:before="160"/>
      </w:pPr>
    </w:p>
    <w:p>
      <w:pPr>
        <w:pStyle w:val="Heading2"/>
        <w:spacing w:after="120" w:before="260"/>
      </w:pPr>
      <w:r>
        <w:rPr>
          <w:rFonts w:ascii="Calibri" w:cs="Calibri" w:eastAsia="Calibri" w:hAnsi="Calibri"/>
          <w:b/>
          <w:bCs/>
          <w:color w:val="2E5B9A"/>
          <w:sz w:val="24"/>
          <w:szCs w:val="24"/>
        </w:rPr>
        <w:t xml:space="preserve">9.3 Requerimientos humanos (equipo del cliente)</w:t>
      </w:r>
    </w:p>
    <w:p>
      <w:pPr>
        <w:pStyle w:val="ListParagraph"/>
        <w:numPr>
          <w:ilvl w:val="0"/>
          <w:numId w:val="2"/>
        </w:numPr>
        <w:spacing w:after="80"/>
      </w:pPr>
      <w:r>
        <w:rPr>
          <w:rFonts w:ascii="Calibri" w:cs="Calibri" w:eastAsia="Calibri" w:hAnsi="Calibri"/>
          <w:b w:val="false"/>
          <w:bCs w:val="false"/>
          <w:sz w:val="21"/>
          <w:szCs w:val="21"/>
        </w:rPr>
        <w:t xml:space="preserve">Patrocinador ejecutivo / responsable de la licitación, para decisiones de alcance y presupuesto.</w:t>
      </w:r>
    </w:p>
    <w:p>
      <w:pPr>
        <w:pStyle w:val="ListParagraph"/>
        <w:numPr>
          <w:ilvl w:val="0"/>
          <w:numId w:val="2"/>
        </w:numPr>
        <w:spacing w:after="80"/>
      </w:pPr>
      <w:r>
        <w:rPr>
          <w:rFonts w:ascii="Calibri" w:cs="Calibri" w:eastAsia="Calibri" w:hAnsi="Calibri"/>
          <w:b w:val="false"/>
          <w:bCs w:val="false"/>
          <w:sz w:val="21"/>
          <w:szCs w:val="21"/>
        </w:rPr>
        <w:t xml:space="preserve">Responsable de seguridad de la información / cumplimiento, para validar controles y aviso de privacidad.</w:t>
      </w:r>
    </w:p>
    <w:p>
      <w:pPr>
        <w:pStyle w:val="ListParagraph"/>
        <w:numPr>
          <w:ilvl w:val="0"/>
          <w:numId w:val="2"/>
        </w:numPr>
        <w:spacing w:after="80"/>
      </w:pPr>
      <w:r>
        <w:rPr>
          <w:rFonts w:ascii="Calibri" w:cs="Calibri" w:eastAsia="Calibri" w:hAnsi="Calibri"/>
          <w:b w:val="false"/>
          <w:bCs w:val="false"/>
          <w:sz w:val="21"/>
          <w:szCs w:val="21"/>
        </w:rPr>
        <w:t xml:space="preserve">Contacto de infraestructura/redes local, para habilitar conectividad VPN/ExpressRoute y accesos al sitio.</w:t>
      </w:r>
    </w:p>
    <w:p>
      <w:pPr>
        <w:pStyle w:val="ListParagraph"/>
        <w:numPr>
          <w:ilvl w:val="0"/>
          <w:numId w:val="2"/>
        </w:numPr>
        <w:spacing w:after="80"/>
      </w:pPr>
      <w:r>
        <w:rPr>
          <w:rFonts w:ascii="Calibri" w:cs="Calibri" w:eastAsia="Calibri" w:hAnsi="Calibri"/>
          <w:b w:val="false"/>
          <w:bCs w:val="false"/>
          <w:sz w:val="21"/>
          <w:szCs w:val="21"/>
        </w:rPr>
        <w:t xml:space="preserve">Equipo de operaciones, para participar en pruebas de aceptación (UAT) y capacitación.</w:t>
      </w:r>
    </w:p>
    <w:p>
      <w:pPr>
        <w:pStyle w:val="Heading1"/>
        <w:pBdr>
          <w:bottom w:val="single" w:color="1F3864" w:sz="8" w:space="4"/>
        </w:pBdr>
        <w:spacing w:after="160" w:before="360"/>
      </w:pPr>
      <w:r>
        <w:rPr>
          <w:rFonts w:ascii="Calibri" w:cs="Calibri" w:eastAsia="Calibri" w:hAnsi="Calibri"/>
          <w:b/>
          <w:bCs/>
          <w:color w:val="1F3864"/>
          <w:sz w:val="30"/>
          <w:szCs w:val="30"/>
        </w:rPr>
        <w:t xml:space="preserve">10. Tiempos de Ejecución</w:t>
      </w:r>
    </w:p>
    <w:p>
      <w:pPr>
        <w:spacing w:after="140" w:line="276"/>
      </w:pPr>
      <w:r>
        <w:rPr>
          <w:rFonts w:ascii="Calibri" w:cs="Calibri" w:eastAsia="Calibri" w:hAnsi="Calibri"/>
          <w:sz w:val="21"/>
          <w:szCs w:val="21"/>
        </w:rPr>
        <w:t xml:space="preserve">Estimación referencial para la Opción B (Standalone + Backup a Blob); la Opción A (Always On híbrido) requiere de 3 a 5 semanas adicionales, principalmente por la habilitación del enlace VPN/ExpressRoute y las pruebas de failover distribuido.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650"/>
      </w:tblGrid>
      <w:tr>
        <w:trPr>
          <w:tblHeader/>
        </w:trPr>
        <w:tc>
          <w:tcPr>
            <w:tcW w:type="dxa" w:w="26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Fase</w:t>
            </w:r>
          </w:p>
        </w:tc>
        <w:tc>
          <w:tcPr>
            <w:tcW w:type="dxa" w:w="51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Actividades principales</w:t>
            </w:r>
          </w:p>
        </w:tc>
        <w:tc>
          <w:tcPr>
            <w:tcW w:type="dxa" w:w="165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Duración estimada</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1. Análisis y descubrimiento</w:t>
            </w:r>
          </w:p>
        </w:tc>
        <w:tc>
          <w:tcPr>
            <w:tcW w:type="dxa" w:w="51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Levantamiento de requisitos, revisión de bases de licitación, definición de RTO/RPO</w:t>
            </w:r>
          </w:p>
        </w:tc>
        <w:tc>
          <w:tcPr>
            <w:tcW w:type="dxa" w:w="16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1–2 semanas</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2. Diseño de arquitectura</w:t>
            </w:r>
          </w:p>
        </w:tc>
        <w:tc>
          <w:tcPr>
            <w:tcW w:type="dxa" w:w="51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Diseño detallado, diagramas de red y datos, definición de políticas de cifrado y retención</w:t>
            </w:r>
          </w:p>
        </w:tc>
        <w:tc>
          <w:tcPr>
            <w:tcW w:type="dxa" w:w="16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2 semanas</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3. Aprovisionamiento</w:t>
            </w:r>
          </w:p>
        </w:tc>
        <w:tc>
          <w:tcPr>
            <w:tcW w:type="dxa" w:w="51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Alta de suscripción/recursos en Azure, servidor local, conectividad de red</w:t>
            </w:r>
          </w:p>
        </w:tc>
        <w:tc>
          <w:tcPr>
            <w:tcW w:type="dxa" w:w="16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2–3 semanas</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4. Implementación</w:t>
            </w:r>
          </w:p>
        </w:tc>
        <w:tc>
          <w:tcPr>
            <w:tcW w:type="dxa" w:w="51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Instalación de SQL Server, configuración de respaldos/AG, cifrado, Key Vault</w:t>
            </w:r>
          </w:p>
        </w:tc>
        <w:tc>
          <w:tcPr>
            <w:tcW w:type="dxa" w:w="16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2 semanas</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5. Pruebas</w:t>
            </w:r>
          </w:p>
        </w:tc>
        <w:tc>
          <w:tcPr>
            <w:tcW w:type="dxa" w:w="51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Pruebas de restauración/failover, seguridad, carga y aceptación (UAT)</w:t>
            </w:r>
          </w:p>
        </w:tc>
        <w:tc>
          <w:tcPr>
            <w:tcW w:type="dxa" w:w="16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1–2 semanas</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6. Documentación y cierre</w:t>
            </w:r>
          </w:p>
        </w:tc>
        <w:tc>
          <w:tcPr>
            <w:tcW w:type="dxa" w:w="51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Runbooks, transferencia de conocimiento, cierre y paso a producción</w:t>
            </w:r>
          </w:p>
        </w:tc>
        <w:tc>
          <w:tcPr>
            <w:tcW w:type="dxa" w:w="16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1 semana</w:t>
            </w:r>
          </w:p>
        </w:tc>
      </w:tr>
    </w:tbl>
    <w:p>
      <w:pPr>
        <w:spacing w:before="160"/>
      </w:pPr>
    </w:p>
    <w:p>
      <w:pPr>
        <w:spacing w:after="140" w:line="276"/>
      </w:pPr>
      <w:r>
        <w:rPr>
          <w:rFonts w:ascii="Calibri" w:cs="Calibri" w:eastAsia="Calibri" w:hAnsi="Calibri"/>
          <w:b/>
          <w:bCs/>
          <w:sz w:val="21"/>
          <w:szCs w:val="21"/>
        </w:rPr>
        <w:t xml:space="preserve">Duración total estimada: 9 a 12 semanas (Opción B) · 12 a 17 semanas (Opción A). Estos tiempos son referenciales y deben ajustarse una vez definidos el alcance final, la disponibilidad del cliente para las validaciones y los tiempos de aprovisionamiento de conectividad (particularmente críticos si se contrata ExpressRoute).</w:t>
      </w:r>
    </w:p>
    <w:p>
      <w:pPr>
        <w:pStyle w:val="Heading1"/>
        <w:pBdr>
          <w:bottom w:val="single" w:color="1F3864" w:sz="8" w:space="4"/>
        </w:pBdr>
        <w:spacing w:after="160" w:before="360"/>
      </w:pPr>
      <w:r>
        <w:rPr>
          <w:rFonts w:ascii="Calibri" w:cs="Calibri" w:eastAsia="Calibri" w:hAnsi="Calibri"/>
          <w:b/>
          <w:bCs/>
          <w:color w:val="1F3864"/>
          <w:sz w:val="30"/>
          <w:szCs w:val="30"/>
        </w:rPr>
        <w:t xml:space="preserve">11. Supuestos</w:t>
      </w:r>
    </w:p>
    <w:p>
      <w:pPr>
        <w:pStyle w:val="ListParagraph"/>
        <w:numPr>
          <w:ilvl w:val="0"/>
          <w:numId w:val="2"/>
        </w:numPr>
        <w:spacing w:after="80"/>
      </w:pPr>
      <w:r>
        <w:rPr>
          <w:rFonts w:ascii="Calibri" w:cs="Calibri" w:eastAsia="Calibri" w:hAnsi="Calibri"/>
          <w:b w:val="false"/>
          <w:bCs w:val="false"/>
          <w:sz w:val="21"/>
          <w:szCs w:val="21"/>
        </w:rPr>
        <w:t xml:space="preserve">El cliente cuenta con, o adquirirá por su cuenta, las licencias de Windows Server y SQL Server 2025 necesarias (incluyendo Software Assurance si se busca aplicar Azure Hybrid Benefit).</w:t>
      </w:r>
    </w:p>
    <w:p>
      <w:pPr>
        <w:pStyle w:val="ListParagraph"/>
        <w:numPr>
          <w:ilvl w:val="0"/>
          <w:numId w:val="2"/>
        </w:numPr>
        <w:spacing w:after="80"/>
      </w:pPr>
      <w:r>
        <w:rPr>
          <w:rFonts w:ascii="Calibri" w:cs="Calibri" w:eastAsia="Calibri" w:hAnsi="Calibri"/>
          <w:b w:val="false"/>
          <w:bCs w:val="false"/>
          <w:sz w:val="21"/>
          <w:szCs w:val="21"/>
        </w:rPr>
        <w:t xml:space="preserve">Existe conectividad a Internet estable en el sitio local; en caso de requerirse VPN/ExpressRoute, la contratación del enlace corre por cuenta del cliente conforme a lo indicado en “Fuera de alcance”.</w:t>
      </w:r>
    </w:p>
    <w:p>
      <w:pPr>
        <w:pStyle w:val="ListParagraph"/>
        <w:numPr>
          <w:ilvl w:val="0"/>
          <w:numId w:val="2"/>
        </w:numPr>
        <w:spacing w:after="80"/>
      </w:pPr>
      <w:r>
        <w:rPr>
          <w:rFonts w:ascii="Calibri" w:cs="Calibri" w:eastAsia="Calibri" w:hAnsi="Calibri"/>
          <w:b w:val="false"/>
          <w:bCs w:val="false"/>
          <w:sz w:val="21"/>
          <w:szCs w:val="21"/>
        </w:rPr>
        <w:t xml:space="preserve">El sistema/software de control de acceso biométrico expone mecanismos estándar de conexión a base de datos (ODBC, ADO.NET, API) compatibles con SQL Server 2025.</w:t>
      </w:r>
    </w:p>
    <w:p>
      <w:pPr>
        <w:pStyle w:val="ListParagraph"/>
        <w:numPr>
          <w:ilvl w:val="0"/>
          <w:numId w:val="2"/>
        </w:numPr>
        <w:spacing w:after="80"/>
      </w:pPr>
      <w:r>
        <w:rPr>
          <w:rFonts w:ascii="Calibri" w:cs="Calibri" w:eastAsia="Calibri" w:hAnsi="Calibri"/>
          <w:b w:val="false"/>
          <w:bCs w:val="false"/>
          <w:sz w:val="21"/>
          <w:szCs w:val="21"/>
        </w:rPr>
        <w:t xml:space="preserve">Los datos biométricos se almacenarán preferentemente como plantillas (templates) cifradas y no como imágenes en crudo, salvo requisito expreso en contrario de la licitación.</w:t>
      </w:r>
    </w:p>
    <w:p>
      <w:pPr>
        <w:pStyle w:val="ListParagraph"/>
        <w:numPr>
          <w:ilvl w:val="0"/>
          <w:numId w:val="2"/>
        </w:numPr>
        <w:spacing w:after="80"/>
      </w:pPr>
      <w:r>
        <w:rPr>
          <w:rFonts w:ascii="Calibri" w:cs="Calibri" w:eastAsia="Calibri" w:hAnsi="Calibri"/>
          <w:b w:val="false"/>
          <w:bCs w:val="false"/>
          <w:sz w:val="21"/>
          <w:szCs w:val="21"/>
        </w:rPr>
        <w:t xml:space="preserve">El volumen inicial de datos y la tasa de crecimiento anual serán proporcionados por el cliente/proveedor del software biométrico para afinar el dimensionamiento; en su ausencia, se utilizan supuestos referenciales en la sección de costos.</w:t>
      </w:r>
    </w:p>
    <w:p>
      <w:pPr>
        <w:pStyle w:val="ListParagraph"/>
        <w:numPr>
          <w:ilvl w:val="0"/>
          <w:numId w:val="2"/>
        </w:numPr>
        <w:spacing w:after="80"/>
      </w:pPr>
      <w:r>
        <w:rPr>
          <w:rFonts w:ascii="Calibri" w:cs="Calibri" w:eastAsia="Calibri" w:hAnsi="Calibri"/>
          <w:b w:val="false"/>
          <w:bCs w:val="false"/>
          <w:sz w:val="21"/>
          <w:szCs w:val="21"/>
        </w:rPr>
        <w:t xml:space="preserve">El cliente gestionará el consentimiento, aviso de privacidad y cumplimiento legal frente a los titulares de los datos biométricos.</w:t>
      </w:r>
    </w:p>
    <w:p>
      <w:pPr>
        <w:pStyle w:val="ListParagraph"/>
        <w:numPr>
          <w:ilvl w:val="0"/>
          <w:numId w:val="2"/>
        </w:numPr>
        <w:spacing w:after="80"/>
      </w:pPr>
      <w:r>
        <w:rPr>
          <w:rFonts w:ascii="Calibri" w:cs="Calibri" w:eastAsia="Calibri" w:hAnsi="Calibri"/>
          <w:b w:val="false"/>
          <w:bCs w:val="false"/>
          <w:sz w:val="21"/>
          <w:szCs w:val="21"/>
        </w:rPr>
        <w:t xml:space="preserve">El ambiente productivo contará con un ambiente de pruebas/staging equivalente para no afectar la operación durante las pruebas de failover/restauración.</w:t>
      </w:r>
    </w:p>
    <w:p>
      <w:pPr>
        <w:pStyle w:val="Heading1"/>
        <w:pBdr>
          <w:bottom w:val="single" w:color="1F3864" w:sz="8" w:space="4"/>
        </w:pBdr>
        <w:spacing w:after="160" w:before="360"/>
      </w:pPr>
      <w:r>
        <w:rPr>
          <w:rFonts w:ascii="Calibri" w:cs="Calibri" w:eastAsia="Calibri" w:hAnsi="Calibri"/>
          <w:b/>
          <w:bCs/>
          <w:color w:val="1F3864"/>
          <w:sz w:val="30"/>
          <w:szCs w:val="30"/>
        </w:rPr>
        <w:t xml:space="preserve">12. Estimación de Costos en Azure</w:t>
      </w:r>
    </w:p>
    <w:p>
      <w:pPr>
        <w:spacing w:after="140" w:line="276"/>
      </w:pPr>
      <w:r>
        <w:rPr>
          <w:rFonts w:ascii="Calibri" w:cs="Calibri" w:eastAsia="Calibri" w:hAnsi="Calibri"/>
          <w:sz w:val="21"/>
          <w:szCs w:val="21"/>
        </w:rPr>
        <w:t xml:space="preserve">Las siguientes cifras son estimaciones referenciales de lista (precios públicos, región genérica, USD, redondeados) para dimensionar el orden de magnitud del costo mensual recurrente en Azure. Deben validarse y refinarse con la Calculadora de Precios oficial de Azure (https://azure.microsoft.com/pricing/calculator) una vez definidos: región exacta, volumen real de datos, SKU de VM y si el cliente cuenta con licencias elegibles para Azure Hybrid Benefit.</w:t>
      </w:r>
    </w:p>
    <w:p>
      <w:pPr>
        <w:pStyle w:val="Heading2"/>
        <w:spacing w:after="120" w:before="260"/>
      </w:pPr>
      <w:r>
        <w:rPr>
          <w:rFonts w:ascii="Calibri" w:cs="Calibri" w:eastAsia="Calibri" w:hAnsi="Calibri"/>
          <w:b/>
          <w:bCs/>
          <w:color w:val="2E5B9A"/>
          <w:sz w:val="24"/>
          <w:szCs w:val="24"/>
        </w:rPr>
        <w:t xml:space="preserve">12.1 Opción B — Standalone + Backup a Blob (estimación mensual)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2150"/>
      </w:tblGrid>
      <w:tr>
        <w:trPr>
          <w:tblHeader/>
        </w:trPr>
        <w:tc>
          <w:tcPr>
            <w:tcW w:type="dxa" w:w="29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Concepto</w:t>
            </w:r>
          </w:p>
        </w:tc>
        <w:tc>
          <w:tcPr>
            <w:tcW w:type="dxa" w:w="43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Supuesto de dimensionamiento</w:t>
            </w:r>
          </w:p>
        </w:tc>
        <w:tc>
          <w:tcPr>
            <w:tcW w:type="dxa" w:w="215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Costo mensual estimado (USD)</w:t>
            </w:r>
          </w:p>
        </w:tc>
      </w:tr>
      <w:tr>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Azure Blob Storage (Cool, GRS)</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 2 TB de respaldos retenidos en rotación, redundancia geo-replicada</w:t>
            </w:r>
          </w:p>
        </w:tc>
        <w:tc>
          <w:tcPr>
            <w:tcW w:type="dxa" w:w="21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$40 – $70</w:t>
            </w:r>
          </w:p>
        </w:tc>
      </w:tr>
      <w:tr>
        <w:tc>
          <w:tcPr>
            <w:tcW w:type="dxa" w:w="29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Transacciones / operaciones de escritura-lectura</w:t>
            </w:r>
          </w:p>
        </w:tc>
        <w:tc>
          <w:tcPr>
            <w:tcW w:type="dxa" w:w="43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Copiado diario/hor. de backups</w:t>
            </w:r>
          </w:p>
        </w:tc>
        <w:tc>
          <w:tcPr>
            <w:tcW w:type="dxa" w:w="21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$5 – $15</w:t>
            </w:r>
          </w:p>
        </w:tc>
      </w:tr>
      <w:tr>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Azure Key Vault (CMK)</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Operaciones de cifrado/descifrado de bajo volumen</w:t>
            </w:r>
          </w:p>
        </w:tc>
        <w:tc>
          <w:tcPr>
            <w:tcW w:type="dxa" w:w="21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$5 – $10</w:t>
            </w:r>
          </w:p>
        </w:tc>
      </w:tr>
      <w:tr>
        <w:tc>
          <w:tcPr>
            <w:tcW w:type="dxa" w:w="29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Private Endpoint / egress ocasional</w:t>
            </w:r>
          </w:p>
        </w:tc>
        <w:tc>
          <w:tcPr>
            <w:tcW w:type="dxa" w:w="43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Transferencia periódica de backups, sin réplica continua</w:t>
            </w:r>
          </w:p>
        </w:tc>
        <w:tc>
          <w:tcPr>
            <w:tcW w:type="dxa" w:w="21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$10 – $30</w:t>
            </w:r>
          </w:p>
        </w:tc>
      </w:tr>
      <w:tr>
        <w:tc>
          <w:tcPr>
            <w:tcW w:type="dxa" w:w="29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VPN Gateway básica (opcional)</w:t>
            </w:r>
          </w:p>
        </w:tc>
        <w:tc>
          <w:tcPr>
            <w:tcW w:type="dxa" w:w="430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Si se requiere túnel dedicado en lugar de HTTPS público</w:t>
            </w:r>
          </w:p>
        </w:tc>
        <w:tc>
          <w:tcPr>
            <w:tcW w:type="dxa" w:w="21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$25 – $140</w:t>
            </w:r>
          </w:p>
        </w:tc>
      </w:tr>
      <w:tr>
        <w:tc>
          <w:tcPr>
            <w:tcW w:type="dxa" w:w="29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Total estimado Opción B</w:t>
            </w:r>
          </w:p>
        </w:tc>
        <w:tc>
          <w:tcPr>
            <w:tcW w:type="dxa" w:w="430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
            </w:r>
          </w:p>
        </w:tc>
        <w:tc>
          <w:tcPr>
            <w:tcW w:type="dxa" w:w="21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$85 – $265 / mes</w:t>
            </w:r>
          </w:p>
        </w:tc>
      </w:tr>
    </w:tbl>
    <w:p>
      <w:pPr>
        <w:spacing w:before="200"/>
      </w:pPr>
    </w:p>
    <w:p>
      <w:pPr>
        <w:pStyle w:val="Heading2"/>
        <w:spacing w:after="120" w:before="260"/>
      </w:pPr>
      <w:r>
        <w:rPr>
          <w:rFonts w:ascii="Calibri" w:cs="Calibri" w:eastAsia="Calibri" w:hAnsi="Calibri"/>
          <w:b/>
          <w:bCs/>
          <w:color w:val="2E5B9A"/>
          <w:sz w:val="24"/>
          <w:szCs w:val="24"/>
        </w:rPr>
        <w:t xml:space="preserve">12.2 Opción A — Always On híbrido (estimación mensual)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3650"/>
        <w:gridCol w:w="2150"/>
      </w:tblGrid>
      <w:tr>
        <w:trPr>
          <w:tblHeader/>
        </w:trPr>
        <w:tc>
          <w:tcPr>
            <w:tcW w:type="dxa" w:w="355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Concepto</w:t>
            </w:r>
          </w:p>
        </w:tc>
        <w:tc>
          <w:tcPr>
            <w:tcW w:type="dxa" w:w="365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Supuesto de dimensionamiento</w:t>
            </w:r>
          </w:p>
        </w:tc>
        <w:tc>
          <w:tcPr>
            <w:tcW w:type="dxa" w:w="215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Costo mensual estimado (USD)</w:t>
            </w:r>
          </w:p>
        </w:tc>
      </w:tr>
      <w:tr>
        <w:tc>
          <w:tcPr>
            <w:tcW w:type="dxa" w:w="35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2 VMs Azure (p. ej. serie D/E, 4 vCPU) con SQL Server Enterprise – pago por uso</w:t>
            </w:r>
          </w:p>
        </w:tc>
        <w:tc>
          <w:tcPr>
            <w:tcW w:type="dxa" w:w="36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Licenciamiento SQL incluido en el precio por hora (sin AHB)</w:t>
            </w:r>
          </w:p>
        </w:tc>
        <w:tc>
          <w:tcPr>
            <w:tcW w:type="dxa" w:w="21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$3,800 – $4,700</w:t>
            </w:r>
          </w:p>
        </w:tc>
      </w:tr>
      <w:tr>
        <w:tc>
          <w:tcPr>
            <w:tcW w:type="dxa" w:w="35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Mismas 2 VMs aplicando Azure Hybrid Benefit</w:t>
            </w:r>
          </w:p>
        </w:tc>
        <w:tc>
          <w:tcPr>
            <w:tcW w:type="dxa" w:w="36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Requiere licencias Enterprise + Software Assurance ya adquiridas por el cliente</w:t>
            </w:r>
          </w:p>
        </w:tc>
        <w:tc>
          <w:tcPr>
            <w:tcW w:type="dxa" w:w="21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$550 – $900</w:t>
            </w:r>
          </w:p>
        </w:tc>
      </w:tr>
      <w:tr>
        <w:tc>
          <w:tcPr>
            <w:tcW w:type="dxa" w:w="35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Discos administrados Premium SSD (datos y log)</w:t>
            </w:r>
          </w:p>
        </w:tc>
        <w:tc>
          <w:tcPr>
            <w:tcW w:type="dxa" w:w="36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 500 GB por nodo, 2 nodos</w:t>
            </w:r>
          </w:p>
        </w:tc>
        <w:tc>
          <w:tcPr>
            <w:tcW w:type="dxa" w:w="21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$150 – $220</w:t>
            </w:r>
          </w:p>
        </w:tc>
      </w:tr>
      <w:tr>
        <w:tc>
          <w:tcPr>
            <w:tcW w:type="dxa" w:w="35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VPN Gateway (VpnGw2) o ExpressRoute</w:t>
            </w:r>
          </w:p>
        </w:tc>
        <w:tc>
          <w:tcPr>
            <w:tcW w:type="dxa" w:w="36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Enlace dedicado de baja latencia para extender el WSFC</w:t>
            </w:r>
          </w:p>
        </w:tc>
        <w:tc>
          <w:tcPr>
            <w:tcW w:type="dxa" w:w="21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$370 – $1,000+</w:t>
            </w:r>
          </w:p>
        </w:tc>
      </w:tr>
      <w:tr>
        <w:tc>
          <w:tcPr>
            <w:tcW w:type="dxa" w:w="35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Cloud Witness (Blob Storage mínimo)</w:t>
            </w:r>
          </w:p>
        </w:tc>
        <w:tc>
          <w:tcPr>
            <w:tcW w:type="dxa" w:w="36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Testigo de cuórum del clúster</w:t>
            </w:r>
          </w:p>
        </w:tc>
        <w:tc>
          <w:tcPr>
            <w:tcW w:type="dxa" w:w="21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&lt; $5</w:t>
            </w:r>
          </w:p>
        </w:tc>
      </w:tr>
      <w:tr>
        <w:tc>
          <w:tcPr>
            <w:tcW w:type="dxa" w:w="35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Total estimado Opción A (pago por uso)</w:t>
            </w:r>
          </w:p>
        </w:tc>
        <w:tc>
          <w:tcPr>
            <w:tcW w:type="dxa" w:w="36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
            </w:r>
          </w:p>
        </w:tc>
        <w:tc>
          <w:tcPr>
            <w:tcW w:type="dxa" w:w="2150"/>
            <w:shd w:fill="F2F2F2"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 $4,300 – $6,000 / mes</w:t>
            </w:r>
          </w:p>
        </w:tc>
      </w:tr>
      <w:tr>
        <w:tc>
          <w:tcPr>
            <w:tcW w:type="dxa" w:w="35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Total estimado Opción A (con Azure Hybrid Benefit)</w:t>
            </w:r>
          </w:p>
        </w:tc>
        <w:tc>
          <w:tcPr>
            <w:tcW w:type="dxa" w:w="36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No incluye el costo de las licencias Enterprise+SA ya poseyéndose</w:t>
            </w:r>
          </w:p>
        </w:tc>
        <w:tc>
          <w:tcPr>
            <w:tcW w:type="dxa" w:w="2150"/>
            <w:shd w:fill="FFFFFF" w:color="auto" w:val="clear"/>
            <w:tcMar>
              <w:top w:type="dxa" w:w="80"/>
              <w:left w:type="dxa" w:w="100"/>
              <w:bottom w:type="dxa" w:w="80"/>
              <w:right w:type="dxa" w:w="100"/>
            </w:tcMar>
            <w:vAlign w:val="center"/>
          </w:tcPr>
          <w:p>
            <w:pPr>
              <w:jc w:val="left"/>
            </w:pPr>
            <w:r>
              <w:rPr>
                <w:rFonts w:ascii="Calibri" w:cs="Calibri" w:eastAsia="Calibri" w:hAnsi="Calibri"/>
                <w:color w:val="000000"/>
                <w:sz w:val="19"/>
                <w:szCs w:val="19"/>
              </w:rPr>
              <w:t xml:space="preserve">≈ $1,000 – $2,100 / mes</w:t>
            </w:r>
          </w:p>
        </w:tc>
      </w:tr>
    </w:tbl>
    <w:p>
      <w:pPr>
        <w:spacing w:before="200"/>
      </w:pPr>
    </w:p>
    <w:p>
      <w:pPr>
        <w:spacing w:after="160"/>
      </w:pPr>
      <w:r>
        <w:rPr>
          <w:rFonts w:ascii="Calibri" w:cs="Calibri" w:eastAsia="Calibri" w:hAnsi="Calibri"/>
          <w:i/>
          <w:iCs/>
          <w:color w:val="595959"/>
          <w:sz w:val="19"/>
          <w:szCs w:val="19"/>
        </w:rPr>
        <w:t xml:space="preserve">Cifras de referencia con base en precios públicos de Azure vigentes durante 2026 (Blob Storage por niveles Hot/Cool/Cold y VMs con SQL Server Enterprise/Hybrid Benefit); los precios reales varían por región, tipo de cambio y acuerdo comercial del cliente con Microsoft, por lo que se recomienda generar la cotización definitiva en la calculadora oficial antes de presentar la propuesta económica de la licitación.</w:t>
      </w:r>
    </w:p>
    <w:p>
      <w:pPr>
        <w:spacing w:after="140" w:line="276"/>
      </w:pPr>
      <w:r>
        <w:rPr>
          <w:rFonts w:ascii="Calibri" w:cs="Calibri" w:eastAsia="Calibri" w:hAnsi="Calibri"/>
          <w:b/>
          <w:bCs/>
          <w:sz w:val="21"/>
          <w:szCs w:val="21"/>
        </w:rPr>
        <w:t xml:space="preserve">Conclusión de costos: la Opción B representa aproximadamente 3% a 6% del costo mensual recurrente de la Opción A en modalidad de pago por uso, y sigue siendo notablemente más económica incluso si el cliente aplica Azure Hybrid Benefit. La brecha de costo debe contrastarse contra el valor de negocio de contar con failover automático, ya que en control de acceso físico una interrupción de minutos suele ser operacionalmente tolerable si existe un procedimiento manual de contingencia (p. ej., validación presencial temporal).</w:t>
      </w:r>
    </w:p>
    <w:p>
      <w:pPr>
        <w:pStyle w:val="Heading1"/>
        <w:pBdr>
          <w:bottom w:val="single" w:color="1F3864" w:sz="8" w:space="4"/>
        </w:pBdr>
        <w:spacing w:after="160" w:before="360"/>
      </w:pPr>
      <w:r>
        <w:rPr>
          <w:rFonts w:ascii="Calibri" w:cs="Calibri" w:eastAsia="Calibri" w:hAnsi="Calibri"/>
          <w:b/>
          <w:bCs/>
          <w:color w:val="1F3864"/>
          <w:sz w:val="30"/>
          <w:szCs w:val="30"/>
        </w:rPr>
        <w:t xml:space="preserve">13. Conclusiones</w:t>
      </w:r>
    </w:p>
    <w:p>
      <w:pPr>
        <w:pStyle w:val="ListParagraph"/>
        <w:numPr>
          <w:ilvl w:val="0"/>
          <w:numId w:val="2"/>
        </w:numPr>
        <w:spacing w:after="80"/>
      </w:pPr>
      <w:r>
        <w:rPr>
          <w:rFonts w:ascii="Calibri" w:cs="Calibri" w:eastAsia="Calibri" w:hAnsi="Calibri"/>
          <w:b w:val="false"/>
          <w:bCs w:val="false"/>
          <w:sz w:val="21"/>
          <w:szCs w:val="21"/>
        </w:rPr>
        <w:t xml:space="preserve">Ambas arquitecturas son técnicamente válidas y cumplen el requisito de la licitación de mantener copia local y copia en la nube.</w:t>
      </w:r>
    </w:p>
    <w:p>
      <w:pPr>
        <w:pStyle w:val="ListParagraph"/>
        <w:numPr>
          <w:ilvl w:val="0"/>
          <w:numId w:val="2"/>
        </w:numPr>
        <w:spacing w:after="80"/>
      </w:pPr>
      <w:r>
        <w:rPr>
          <w:rFonts w:ascii="Calibri" w:cs="Calibri" w:eastAsia="Calibri" w:hAnsi="Calibri"/>
          <w:b w:val="false"/>
          <w:bCs w:val="false"/>
          <w:sz w:val="21"/>
          <w:szCs w:val="21"/>
        </w:rPr>
        <w:t xml:space="preserve">La Opción B (Standalone + Backup cifrado a Azure Blob Storage) es la opción recomendada por su balance costo–beneficio, menor complejidad operativa y menor dependencia de conectividad dedicada.</w:t>
      </w:r>
    </w:p>
    <w:p>
      <w:pPr>
        <w:pStyle w:val="ListParagraph"/>
        <w:numPr>
          <w:ilvl w:val="0"/>
          <w:numId w:val="2"/>
        </w:numPr>
        <w:spacing w:after="80"/>
      </w:pPr>
      <w:r>
        <w:rPr>
          <w:rFonts w:ascii="Calibri" w:cs="Calibri" w:eastAsia="Calibri" w:hAnsi="Calibri"/>
          <w:b w:val="false"/>
          <w:bCs w:val="false"/>
          <w:sz w:val="21"/>
          <w:szCs w:val="21"/>
        </w:rPr>
        <w:t xml:space="preserve">La Opción A (Always On híbrido) debe reservarse para escenarios donde la licitación exija explícitamente alta disponibilidad activa con failover automático, o donde el nivel de criticidad del control de acceso así lo justifique.</w:t>
      </w:r>
    </w:p>
    <w:p>
      <w:pPr>
        <w:pStyle w:val="ListParagraph"/>
        <w:numPr>
          <w:ilvl w:val="0"/>
          <w:numId w:val="2"/>
        </w:numPr>
        <w:spacing w:after="80"/>
      </w:pPr>
      <w:r>
        <w:rPr>
          <w:rFonts w:ascii="Calibri" w:cs="Calibri" w:eastAsia="Calibri" w:hAnsi="Calibri"/>
          <w:b w:val="false"/>
          <w:bCs w:val="false"/>
          <w:sz w:val="21"/>
          <w:szCs w:val="21"/>
        </w:rPr>
        <w:t xml:space="preserve">Se recomienda validar con el área legal del cliente los requisitos específicos de protección de datos biométricos antes de la implementación final.</w:t>
      </w:r>
    </w:p>
    <w:p>
      <w:pPr>
        <w:pStyle w:val="ListParagraph"/>
        <w:numPr>
          <w:ilvl w:val="0"/>
          <w:numId w:val="2"/>
        </w:numPr>
        <w:spacing w:after="80"/>
      </w:pPr>
      <w:r>
        <w:rPr>
          <w:rFonts w:ascii="Calibri" w:cs="Calibri" w:eastAsia="Calibri" w:hAnsi="Calibri"/>
          <w:b w:val="false"/>
          <w:bCs w:val="false"/>
          <w:sz w:val="21"/>
          <w:szCs w:val="21"/>
        </w:rPr>
        <w:t xml:space="preserve">El presente documento sirve como base para la propuesta técnica y económica a integrar en la licitación; se recomienda refinar la estimación de costos con la calculadora oficial de Azure antes de su presentación formal.</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Propuesta – Arquitectura DB Sistema Biométrico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2026-07-31T22:48:44.686Z</dcterms:created>
  <dcterms:modified xsi:type="dcterms:W3CDTF">2026-07-31T22:48:44.699Z</dcterms:modified>
</cp:coreProperties>
</file>

<file path=docProps/custom.xml><?xml version="1.0" encoding="utf-8"?>
<Properties xmlns="http://schemas.openxmlformats.org/officeDocument/2006/custom-properties" xmlns:vt="http://schemas.openxmlformats.org/officeDocument/2006/docPropsVTypes"/>
</file>