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3864"/>
          <w:sz w:val="44"/>
          <w:szCs w:val="44"/>
        </w:rPr>
        <w:t xml:space="preserve">PROPUESTA DE SERVICIOS PROFESIONALES</w:t>
      </w:r>
    </w:p>
    <w:p>
      <w:pPr>
        <w:spacing w:after="100" w:before="200"/>
        <w:jc w:val="center"/>
      </w:pPr>
      <w:r>
        <w:rPr>
          <w:rFonts w:ascii="Calibri" w:cs="Calibri" w:eastAsia="Calibri" w:hAnsi="Calibri"/>
          <w:b/>
          <w:bCs/>
          <w:color w:val="2E74B5"/>
          <w:sz w:val="32"/>
          <w:szCs w:val="32"/>
        </w:rPr>
        <w:t xml:space="preserve">Remediación de Identidad Híbrida</w:t>
      </w:r>
    </w:p>
    <w:p>
      <w:pPr>
        <w:spacing w:after="600"/>
        <w:jc w:val="center"/>
      </w:pPr>
      <w:r>
        <w:rPr>
          <w:rFonts w:ascii="Calibri" w:cs="Calibri" w:eastAsia="Calibri" w:hAnsi="Calibri"/>
          <w:i/>
          <w:iCs/>
          <w:color w:val="595959"/>
          <w:sz w:val="24"/>
          <w:szCs w:val="24"/>
        </w:rPr>
        <w:t xml:space="preserve">Recuperación de administración de Active Directory / Microsoft Entra ID (M365)</w:t>
      </w:r>
    </w:p>
    <w:p>
      <w:pPr>
        <w:spacing w:before="1600"/>
        <w:jc w:val="center"/>
      </w:pPr>
      <w:r>
        <w:rPr>
          <w:rFonts w:ascii="Calibri" w:cs="Calibri" w:eastAsia="Calibri" w:hAnsi="Calibri"/>
          <w:color w:val="595959"/>
          <w:sz w:val="22"/>
          <w:szCs w:val="22"/>
        </w:rPr>
        <w:t xml:space="preserve">Preparado para:</w:t>
      </w:r>
    </w:p>
    <w:p>
      <w:pPr>
        <w:spacing w:after="400"/>
        <w:jc w:val="center"/>
      </w:pPr>
      <w:r>
        <w:rPr>
          <w:rFonts w:ascii="Calibri" w:cs="Calibri" w:eastAsia="Calibri" w:hAnsi="Calibri"/>
          <w:b/>
          <w:bCs/>
          <w:color w:val="1F3864"/>
          <w:sz w:val="26"/>
          <w:szCs w:val="26"/>
        </w:rPr>
        <w:t xml:space="preserve">[Nombre del Cliente]</w:t>
      </w:r>
    </w:p>
    <w:p>
      <w:pPr>
        <w:jc w:val="center"/>
      </w:pPr>
      <w:r>
        <w:rPr>
          <w:rFonts w:ascii="Calibri" w:cs="Calibri" w:eastAsia="Calibri" w:hAnsi="Calibri"/>
          <w:color w:val="595959"/>
          <w:sz w:val="21"/>
          <w:szCs w:val="21"/>
        </w:rPr>
        <w:t xml:space="preserve">Preparado por: [Nombre del Consultor / Empresa]</w:t>
      </w:r>
    </w:p>
    <w:p>
      <w:pPr>
        <w:jc w:val="center"/>
      </w:pPr>
      <w:r>
        <w:rPr>
          <w:rFonts w:ascii="Calibri" w:cs="Calibri" w:eastAsia="Calibri" w:hAnsi="Calibri"/>
          <w:color w:val="595959"/>
          <w:sz w:val="21"/>
          <w:szCs w:val="21"/>
        </w:rPr>
        <w:t xml:space="preserve">Fecha: 27 de julio de 2026</w:t>
      </w:r>
    </w:p>
    <w:p>
      <w:pPr>
        <w:spacing w:before="100"/>
        <w:jc w:val="center"/>
      </w:pPr>
      <w:r>
        <w:rPr>
          <w:rFonts w:ascii="Calibri" w:cs="Calibri" w:eastAsia="Calibri" w:hAnsi="Calibri"/>
          <w:color w:val="595959"/>
          <w:sz w:val="21"/>
          <w:szCs w:val="21"/>
        </w:rPr>
        <w:t xml:space="preserve">Versión: 1.0 — Confidencial</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1. Resumen Ejecutivo</w:t>
      </w:r>
    </w:p>
    <w:p>
      <w:pPr>
        <w:spacing w:after="160" w:line="276"/>
        <w:jc w:val="both"/>
      </w:pPr>
      <w:r>
        <w:rPr>
          <w:rFonts w:ascii="Calibri" w:cs="Calibri" w:eastAsia="Calibri" w:hAnsi="Calibri"/>
          <w:sz w:val="21"/>
          <w:szCs w:val="21"/>
        </w:rPr>
        <w:t xml:space="preserve">Hace aproximadamente un año, el cliente sufrió la pérdida del dominio de Active Directory (AD DS) local, lo cual provocó que Microsoft Entra ID Connect (anteriormente Azure AD Connect) dejara de sincronizar objetos entre el directorio local y Microsoft Entra ID (M365). Como consecuencia, el tenant de Microsoft 365 conserva miles — o cientos, según el tamaño del cliente — de objetos marcados como sincronizados desde un origen local (DirSyncEnabled: true) que ya no existe, generando "objetos huérfanos" sin origen autoritativo (SourceAnchor / immutableId) administrable.</w:t>
      </w:r>
    </w:p>
    <w:p>
      <w:pPr>
        <w:spacing w:after="160" w:line="276"/>
        <w:jc w:val="both"/>
      </w:pPr>
      <w:r>
        <w:rPr>
          <w:rFonts w:ascii="Calibri" w:cs="Calibri" w:eastAsia="Calibri" w:hAnsi="Calibri"/>
          <w:sz w:val="21"/>
          <w:szCs w:val="21"/>
        </w:rPr>
        <w:t xml:space="preserve">Esta condición bloquea la gestión nativa de identidades: no es posible modificar de forma consistente atributos clave (UPN, nombre, apellidos, membresías gobernadas por AD), no se pueden dar de alta nuevas cuentas siguiendo el proceso normal de la organización, y existe un riesgo de seguridad creciente al no poder deshabilitar o purgar cuentas de forma controlada. Los servicios de colaboración (Exchange Online, Teams, SharePoint Online) continúan operando para los usuarios ya existentes gracias a que sus sesiones, tokens y permisos ya emitidos permanecen activos, pero esta estabilidad es aparente y se irá degradando con el tiempo (rotación de personal, vencimiento de contraseñas, expiración de tokens, nuevas altas no soportadas).</w:t>
      </w:r>
    </w:p>
    <w:p>
      <w:pPr>
        <w:spacing w:after="160" w:line="276"/>
        <w:jc w:val="both"/>
      </w:pPr>
      <w:r>
        <w:rPr>
          <w:rFonts w:ascii="Calibri" w:cs="Calibri" w:eastAsia="Calibri" w:hAnsi="Calibri"/>
          <w:sz w:val="21"/>
          <w:szCs w:val="21"/>
        </w:rPr>
        <w:t xml:space="preserve">Esta propuesta presenta un plan de remediación integral para restaurar la capacidad de administración de identidades del cliente, evaluando dos rutas de solución técnica (cloud-only vs. reconstrucción de dominio con re-hibridación), y recomendando la ruta más adecuada en función de riesgo, tiempo y costo. Se incluyen arquitectura objetivo, alcance, cronograma, matriz de riesgos, consideraciones de respaldo, licenciamiento y servicios de Azure requeridos.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Duración estimada</w:t>
            </w:r>
          </w:p>
        </w:tc>
        <w:tc>
          <w:tcPr>
            <w:tcW w:type="dxa" w:w="3117"/>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Modalidad</w:t>
            </w:r>
          </w:p>
        </w:tc>
        <w:tc>
          <w:tcPr>
            <w:tcW w:type="dxa" w:w="3116"/>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Riesgo si no se actúa</w:t>
            </w:r>
          </w:p>
        </w:tc>
      </w:tr>
      <w:tr>
        <w:tc>
          <w:tcPr>
            <w:tcW w:type="dxa" w:w="3117"/>
            <w:shd w:fill="F2F2F2"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6 a 10 semanas (según ruta elegida)</w:t>
            </w:r>
          </w:p>
        </w:tc>
        <w:tc>
          <w:tcPr>
            <w:tcW w:type="dxa" w:w="3117"/>
            <w:shd w:fill="F2F2F2"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Remoto + ventanas de corte coordinadas</w:t>
            </w:r>
          </w:p>
        </w:tc>
        <w:tc>
          <w:tcPr>
            <w:tcW w:type="dxa" w:w="3117"/>
            <w:shd w:fill="F8CBAD" w:val="clear"/>
            <w:tcMar>
              <w:top w:type="dxa" w:w="100"/>
              <w:left w:type="dxa" w:w="100"/>
              <w:bottom w:type="dxa" w:w="100"/>
              <w:right w:type="dxa" w:w="100"/>
            </w:tcMar>
            <w:vAlign w:val="center"/>
          </w:tcPr>
          <w:p>
            <w:pPr>
              <w:jc w:val="left"/>
            </w:pPr>
            <w:r>
              <w:rPr>
                <w:rFonts w:ascii="Calibri" w:cs="Calibri" w:eastAsia="Calibri" w:hAnsi="Calibri"/>
                <w:b/>
                <w:bCs/>
                <w:color w:val="C00000"/>
                <w:sz w:val="20"/>
                <w:szCs w:val="20"/>
              </w:rPr>
              <w:t xml:space="preserve">Alto — creciente con el tiempo</w:t>
            </w:r>
          </w:p>
        </w:tc>
      </w:tr>
    </w:tbl>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2. Situación Actual</w:t>
      </w:r>
    </w:p>
    <w:p>
      <w:pPr>
        <w:spacing w:after="160" w:line="276"/>
        <w:jc w:val="both"/>
      </w:pPr>
      <w:r>
        <w:rPr>
          <w:rFonts w:ascii="Calibri" w:cs="Calibri" w:eastAsia="Calibri" w:hAnsi="Calibri"/>
          <w:sz w:val="21"/>
          <w:szCs w:val="21"/>
        </w:rPr>
        <w:t xml:space="preserve">Con base en la llamada de descubrimiento sostenida con el cliente, se identifica el siguiente estado actual del ambiente de identidad e infraestructura:</w:t>
      </w:r>
    </w:p>
    <w:p>
      <w:pPr>
        <w:pStyle w:val="Heading2"/>
        <w:spacing w:after="150" w:before="300"/>
      </w:pPr>
      <w:r>
        <w:rPr>
          <w:rFonts w:ascii="Calibri" w:cs="Calibri" w:eastAsia="Calibri" w:hAnsi="Calibri"/>
          <w:b/>
          <w:bCs/>
          <w:color w:val="2E74B5"/>
          <w:sz w:val="24"/>
          <w:szCs w:val="24"/>
        </w:rPr>
        <w:t xml:space="preserve">2.1 Pérdida del dominio de Active Directory</w:t>
      </w:r>
    </w:p>
    <w:p>
      <w:pPr>
        <w:pStyle w:val="ListParagraph"/>
        <w:numPr>
          <w:ilvl w:val="0"/>
          <w:numId w:val="2"/>
        </w:numPr>
        <w:spacing w:after="90"/>
      </w:pPr>
      <w:r>
        <w:rPr>
          <w:rFonts w:ascii="Calibri" w:cs="Calibri" w:eastAsia="Calibri" w:hAnsi="Calibri"/>
          <w:b w:val="false"/>
          <w:bCs w:val="false"/>
          <w:sz w:val="21"/>
          <w:szCs w:val="21"/>
        </w:rPr>
        <w:t xml:space="preserve">El bosque/dominio de Active Directory local se perdió hace aproximadamente un año (sin controladores de dominio funcionales ni respaldo recuperable conocido a la fecha).</w:t>
      </w:r>
    </w:p>
    <w:p>
      <w:pPr>
        <w:pStyle w:val="ListParagraph"/>
        <w:numPr>
          <w:ilvl w:val="0"/>
          <w:numId w:val="2"/>
        </w:numPr>
        <w:spacing w:after="90"/>
      </w:pPr>
      <w:r>
        <w:rPr>
          <w:rFonts w:ascii="Calibri" w:cs="Calibri" w:eastAsia="Calibri" w:hAnsi="Calibri"/>
          <w:b w:val="false"/>
          <w:bCs w:val="false"/>
          <w:sz w:val="21"/>
          <w:szCs w:val="21"/>
        </w:rPr>
        <w:t xml:space="preserve">Microsoft Entra ID Connect dejó de operar por la ausencia del origen local, quedando la sincronización detenida ("stale").</w:t>
      </w:r>
    </w:p>
    <w:p>
      <w:pPr>
        <w:pStyle w:val="ListParagraph"/>
        <w:numPr>
          <w:ilvl w:val="0"/>
          <w:numId w:val="2"/>
        </w:numPr>
        <w:spacing w:after="90"/>
      </w:pPr>
      <w:r>
        <w:rPr>
          <w:rFonts w:ascii="Calibri" w:cs="Calibri" w:eastAsia="Calibri" w:hAnsi="Calibri"/>
          <w:b w:val="false"/>
          <w:bCs w:val="false"/>
          <w:sz w:val="21"/>
          <w:szCs w:val="21"/>
        </w:rPr>
        <w:t xml:space="preserve">No existe, a la fecha, un plan de recuperación de desastre (DR) ejecutado para el dominio local.</w:t>
      </w:r>
    </w:p>
    <w:p>
      <w:pPr>
        <w:pStyle w:val="Heading2"/>
        <w:spacing w:after="150" w:before="300"/>
      </w:pPr>
      <w:r>
        <w:rPr>
          <w:rFonts w:ascii="Calibri" w:cs="Calibri" w:eastAsia="Calibri" w:hAnsi="Calibri"/>
          <w:b/>
          <w:bCs/>
          <w:color w:val="2E74B5"/>
          <w:sz w:val="24"/>
          <w:szCs w:val="24"/>
        </w:rPr>
        <w:t xml:space="preserve">2.2 Objetos huérfanos en Microsoft Entra ID</w:t>
      </w:r>
    </w:p>
    <w:p>
      <w:pPr>
        <w:pStyle w:val="ListParagraph"/>
        <w:numPr>
          <w:ilvl w:val="0"/>
          <w:numId w:val="2"/>
        </w:numPr>
        <w:spacing w:after="90"/>
      </w:pPr>
      <w:r>
        <w:rPr>
          <w:rFonts w:ascii="Calibri" w:cs="Calibri" w:eastAsia="Calibri" w:hAnsi="Calibri"/>
          <w:b w:val="false"/>
          <w:bCs w:val="false"/>
          <w:sz w:val="21"/>
          <w:szCs w:val="21"/>
        </w:rPr>
        <w:t xml:space="preserve">Los objetos (usuarios, grupos, contactos) permanecen marcados como DirSyncEnabled: true ("Synced with Active Directory"), aunque su origen ya no existe.</w:t>
      </w:r>
    </w:p>
    <w:p>
      <w:pPr>
        <w:pStyle w:val="ListParagraph"/>
        <w:numPr>
          <w:ilvl w:val="0"/>
          <w:numId w:val="2"/>
        </w:numPr>
        <w:spacing w:after="90"/>
      </w:pPr>
      <w:r>
        <w:rPr>
          <w:rFonts w:ascii="Calibri" w:cs="Calibri" w:eastAsia="Calibri" w:hAnsi="Calibri"/>
          <w:b w:val="false"/>
          <w:bCs w:val="false"/>
          <w:sz w:val="21"/>
          <w:szCs w:val="21"/>
        </w:rPr>
        <w:t xml:space="preserve">Se perdió la referencia autoritativa de origen (SourceAnchor / ms-DS-ConsistencyGuid / immutableId), lo que impide una futura re-sincronización limpia sin un procedimiento de "hard match".</w:t>
      </w:r>
    </w:p>
    <w:p>
      <w:pPr>
        <w:pStyle w:val="ListParagraph"/>
        <w:numPr>
          <w:ilvl w:val="0"/>
          <w:numId w:val="2"/>
        </w:numPr>
        <w:spacing w:after="90"/>
      </w:pPr>
      <w:r>
        <w:rPr>
          <w:rFonts w:ascii="Calibri" w:cs="Calibri" w:eastAsia="Calibri" w:hAnsi="Calibri"/>
          <w:b w:val="false"/>
          <w:bCs w:val="false"/>
          <w:sz w:val="21"/>
          <w:szCs w:val="21"/>
        </w:rPr>
        <w:t xml:space="preserve">Los atributos de origen local (onPremisesX) quedaron congelados en su último valor sincronizado.</w:t>
      </w:r>
    </w:p>
    <w:p>
      <w:pPr>
        <w:pStyle w:val="Heading2"/>
        <w:spacing w:after="150" w:before="300"/>
      </w:pPr>
      <w:r>
        <w:rPr>
          <w:rFonts w:ascii="Calibri" w:cs="Calibri" w:eastAsia="Calibri" w:hAnsi="Calibri"/>
          <w:b/>
          <w:bCs/>
          <w:color w:val="2E74B5"/>
          <w:sz w:val="24"/>
          <w:szCs w:val="24"/>
        </w:rPr>
        <w:t xml:space="preserve">2.3 Bloqueo administrativo en Entra ID</w:t>
      </w:r>
    </w:p>
    <w:p>
      <w:pPr>
        <w:pStyle w:val="ListParagraph"/>
        <w:numPr>
          <w:ilvl w:val="0"/>
          <w:numId w:val="2"/>
        </w:numPr>
        <w:spacing w:after="90"/>
      </w:pPr>
      <w:r>
        <w:rPr>
          <w:rFonts w:ascii="Calibri" w:cs="Calibri" w:eastAsia="Calibri" w:hAnsi="Calibri"/>
          <w:b w:val="false"/>
          <w:bCs w:val="false"/>
          <w:sz w:val="21"/>
          <w:szCs w:val="21"/>
        </w:rPr>
        <w:t xml:space="preserve">El portal de administración de Entra ID restringe la edición directa de atributos considerados "de origen local" (UPN, nombre, algunos atributos de proxy, membresías administradas por AD) mientras el objeto conserve DirSyncEnabled: true.</w:t>
      </w:r>
    </w:p>
    <w:p>
      <w:pPr>
        <w:pStyle w:val="ListParagraph"/>
        <w:numPr>
          <w:ilvl w:val="0"/>
          <w:numId w:val="2"/>
        </w:numPr>
        <w:spacing w:after="90"/>
      </w:pPr>
      <w:r>
        <w:rPr>
          <w:rFonts w:ascii="Calibri" w:cs="Calibri" w:eastAsia="Calibri" w:hAnsi="Calibri"/>
          <w:b w:val="false"/>
          <w:bCs w:val="false"/>
          <w:sz w:val="21"/>
          <w:szCs w:val="21"/>
        </w:rPr>
        <w:t xml:space="preserve">Algunas operaciones sí son posibles vía Microsoft Graph API / PowerShell con permisos elevados, pero no son parte del flujo administrativo estándar del cliente ni están soportadas de forma indefinida por Microsoft en este estado híbrido "huérfano".</w:t>
      </w:r>
    </w:p>
    <w:p>
      <w:pPr>
        <w:pStyle w:val="ListParagraph"/>
        <w:numPr>
          <w:ilvl w:val="0"/>
          <w:numId w:val="2"/>
        </w:numPr>
        <w:spacing w:after="90"/>
      </w:pPr>
      <w:r>
        <w:rPr>
          <w:rFonts w:ascii="Calibri" w:cs="Calibri" w:eastAsia="Calibri" w:hAnsi="Calibri"/>
          <w:b w:val="false"/>
          <w:bCs w:val="false"/>
          <w:sz w:val="21"/>
          <w:szCs w:val="21"/>
        </w:rPr>
        <w:t xml:space="preserve">No es posible dar de alta nuevos usuarios siguiendo el proceso normal de aprovisionamiento (ya que el proceso actual del cliente depende del alta en AD local, inexistente).</w:t>
      </w:r>
    </w:p>
    <w:p>
      <w:pPr>
        <w:pStyle w:val="Heading2"/>
        <w:spacing w:after="150" w:before="300"/>
      </w:pPr>
      <w:r>
        <w:rPr>
          <w:rFonts w:ascii="Calibri" w:cs="Calibri" w:eastAsia="Calibri" w:hAnsi="Calibri"/>
          <w:b/>
          <w:bCs/>
          <w:color w:val="2E74B5"/>
          <w:sz w:val="24"/>
          <w:szCs w:val="24"/>
        </w:rPr>
        <w:t xml:space="preserve">2.4 Continuidad operativa aparente</w:t>
      </w:r>
    </w:p>
    <w:p>
      <w:pPr>
        <w:pStyle w:val="ListParagraph"/>
        <w:numPr>
          <w:ilvl w:val="0"/>
          <w:numId w:val="2"/>
        </w:numPr>
        <w:spacing w:after="90"/>
      </w:pPr>
      <w:r>
        <w:rPr>
          <w:rFonts w:ascii="Calibri" w:cs="Calibri" w:eastAsia="Calibri" w:hAnsi="Calibri"/>
          <w:b w:val="false"/>
          <w:bCs w:val="false"/>
          <w:sz w:val="21"/>
          <w:szCs w:val="21"/>
        </w:rPr>
        <w:t xml:space="preserve">Los usuarios actuales continúan utilizando Microsoft Teams, Outlook y SharePoint con normalidad, ya que sus identidades en la nube siguen activas y con licencias asignadas.</w:t>
      </w:r>
    </w:p>
    <w:p>
      <w:pPr>
        <w:pStyle w:val="ListParagraph"/>
        <w:numPr>
          <w:ilvl w:val="0"/>
          <w:numId w:val="2"/>
        </w:numPr>
        <w:spacing w:after="90"/>
      </w:pPr>
      <w:r>
        <w:rPr>
          <w:rFonts w:ascii="Calibri" w:cs="Calibri" w:eastAsia="Calibri" w:hAnsi="Calibri"/>
          <w:b w:val="false"/>
          <w:bCs w:val="false"/>
          <w:sz w:val="21"/>
          <w:szCs w:val="21"/>
        </w:rPr>
        <w:t xml:space="preserve">Los permisos de SharePoint Online no se han alterado de forma inmediata: los permisos directos ya otorgados a usuarios y grupos existentes permanecen escritos en las listas de control de acceso (ACL) de los sitios.</w:t>
      </w:r>
    </w:p>
    <w:p>
      <w:pPr>
        <w:pStyle w:val="ListParagraph"/>
        <w:numPr>
          <w:ilvl w:val="0"/>
          <w:numId w:val="2"/>
        </w:numPr>
        <w:spacing w:after="90"/>
      </w:pPr>
      <w:r>
        <w:rPr>
          <w:rFonts w:ascii="Calibri" w:cs="Calibri" w:eastAsia="Calibri" w:hAnsi="Calibri"/>
          <w:b w:val="false"/>
          <w:bCs w:val="false"/>
          <w:sz w:val="21"/>
          <w:szCs w:val="21"/>
        </w:rPr>
        <w:t xml:space="preserve">En Microsoft Teams, los miembros actuales de los equipos pueden chatear y reunirse con normalidad; sin embargo, no es posible incorporar usuarios nuevos a la organización bajo el proceso estándar.</w:t>
      </w:r>
    </w:p>
    <w:p>
      <w:pPr>
        <w:pStyle w:val="Heading2"/>
        <w:spacing w:after="150" w:before="300"/>
      </w:pPr>
      <w:r>
        <w:rPr>
          <w:rFonts w:ascii="Calibri" w:cs="Calibri" w:eastAsia="Calibri" w:hAnsi="Calibri"/>
          <w:b/>
          <w:bCs/>
          <w:color w:val="2E74B5"/>
          <w:sz w:val="24"/>
          <w:szCs w:val="24"/>
        </w:rPr>
        <w:t xml:space="preserve">2.5 Riesgos derivados de la condición actual</w:t>
      </w:r>
    </w:p>
    <w:p>
      <w:pPr>
        <w:pStyle w:val="ListParagraph"/>
        <w:numPr>
          <w:ilvl w:val="0"/>
          <w:numId w:val="2"/>
        </w:numPr>
        <w:spacing w:after="90"/>
      </w:pPr>
      <w:r>
        <w:rPr>
          <w:rFonts w:ascii="Calibri" w:cs="Calibri" w:eastAsia="Calibri" w:hAnsi="Calibri"/>
          <w:b w:val="false"/>
          <w:bCs w:val="false"/>
          <w:sz w:val="21"/>
          <w:szCs w:val="21"/>
        </w:rPr>
        <w:t xml:space="preserve">Imposibilidad de dar de baja formalmente a colaboradores que egresan de la organización mediante el proceso estándar (riesgo de seguridad y cumplimiento).</w:t>
      </w:r>
    </w:p>
    <w:p>
      <w:pPr>
        <w:pStyle w:val="ListParagraph"/>
        <w:numPr>
          <w:ilvl w:val="0"/>
          <w:numId w:val="2"/>
        </w:numPr>
        <w:spacing w:after="90"/>
      </w:pPr>
      <w:r>
        <w:rPr>
          <w:rFonts w:ascii="Calibri" w:cs="Calibri" w:eastAsia="Calibri" w:hAnsi="Calibri"/>
          <w:b w:val="false"/>
          <w:bCs w:val="false"/>
          <w:sz w:val="21"/>
          <w:szCs w:val="21"/>
        </w:rPr>
        <w:t xml:space="preserve">Imposibilidad de altas de nuevos colaboradores de forma estandarizada, afectando la operación de RH/IT.</w:t>
      </w:r>
    </w:p>
    <w:p>
      <w:pPr>
        <w:pStyle w:val="ListParagraph"/>
        <w:numPr>
          <w:ilvl w:val="0"/>
          <w:numId w:val="2"/>
        </w:numPr>
        <w:spacing w:after="90"/>
      </w:pPr>
      <w:r>
        <w:rPr>
          <w:rFonts w:ascii="Calibri" w:cs="Calibri" w:eastAsia="Calibri" w:hAnsi="Calibri"/>
          <w:b w:val="false"/>
          <w:bCs w:val="false"/>
          <w:sz w:val="21"/>
          <w:szCs w:val="21"/>
        </w:rPr>
        <w:t xml:space="preserve">Dependencia de tokens y sesiones activas cuya validez no está garantizada de forma indefinida (expiración, revocación por políticas de Conditional Access, cambios de contraseña).</w:t>
      </w:r>
    </w:p>
    <w:p>
      <w:pPr>
        <w:pStyle w:val="ListParagraph"/>
        <w:numPr>
          <w:ilvl w:val="0"/>
          <w:numId w:val="2"/>
        </w:numPr>
        <w:spacing w:after="90"/>
      </w:pPr>
      <w:r>
        <w:rPr>
          <w:rFonts w:ascii="Calibri" w:cs="Calibri" w:eastAsia="Calibri" w:hAnsi="Calibri"/>
          <w:b w:val="false"/>
          <w:bCs w:val="false"/>
          <w:sz w:val="21"/>
          <w:szCs w:val="21"/>
        </w:rPr>
        <w:t xml:space="preserve">Ausencia de una fuente única y confiable de identidad ("source of truth"), lo que incrementa el riesgo de inconsistencias, cuentas duplicadas y superficie de ataque.</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3. Objetivos del Proyecto</w:t>
      </w:r>
    </w:p>
    <w:p>
      <w:pPr>
        <w:pStyle w:val="Heading2"/>
        <w:spacing w:after="150" w:before="300"/>
      </w:pPr>
      <w:r>
        <w:rPr>
          <w:rFonts w:ascii="Calibri" w:cs="Calibri" w:eastAsia="Calibri" w:hAnsi="Calibri"/>
          <w:b/>
          <w:bCs/>
          <w:color w:val="2E74B5"/>
          <w:sz w:val="24"/>
          <w:szCs w:val="24"/>
        </w:rPr>
        <w:t xml:space="preserve">3.1 Objetivo General</w:t>
      </w:r>
    </w:p>
    <w:p>
      <w:pPr>
        <w:spacing w:after="160" w:line="276"/>
        <w:jc w:val="both"/>
      </w:pPr>
      <w:r>
        <w:rPr>
          <w:rFonts w:ascii="Calibri" w:cs="Calibri" w:eastAsia="Calibri" w:hAnsi="Calibri"/>
          <w:sz w:val="21"/>
          <w:szCs w:val="21"/>
        </w:rPr>
        <w:t xml:space="preserve">Restaurar la capacidad de administración completa, segura y sostenible de las identidades del cliente en Microsoft Entra ID, eliminando la condición de objetos huérfanos y estableciendo una fuente de autoridad de identidad clara (cloud-only o híbrida re-sincronizada), sin interrumpir la operación de los servicios de Microsoft 365 durante la transición.</w:t>
      </w:r>
    </w:p>
    <w:p>
      <w:pPr>
        <w:pStyle w:val="Heading2"/>
        <w:spacing w:after="150" w:before="300"/>
      </w:pPr>
      <w:r>
        <w:rPr>
          <w:rFonts w:ascii="Calibri" w:cs="Calibri" w:eastAsia="Calibri" w:hAnsi="Calibri"/>
          <w:b/>
          <w:bCs/>
          <w:color w:val="2E74B5"/>
          <w:sz w:val="24"/>
          <w:szCs w:val="24"/>
        </w:rPr>
        <w:t xml:space="preserve">3.2 Objetivos Específicos</w:t>
      </w:r>
    </w:p>
    <w:p>
      <w:pPr>
        <w:pStyle w:val="ListParagraph"/>
        <w:numPr>
          <w:ilvl w:val="0"/>
          <w:numId w:val="3"/>
        </w:numPr>
        <w:spacing w:after="90"/>
      </w:pPr>
      <w:r>
        <w:rPr>
          <w:rFonts w:ascii="Calibri" w:cs="Calibri" w:eastAsia="Calibri" w:hAnsi="Calibri"/>
          <w:sz w:val="21"/>
          <w:szCs w:val="21"/>
        </w:rPr>
        <w:t xml:space="preserve">Diagnosticar y documentar el estado completo de los objetos sincronizados (usuarios, grupos, contactos, dispositivos) en Microsoft Entra ID.</w:t>
      </w:r>
    </w:p>
    <w:p>
      <w:pPr>
        <w:pStyle w:val="ListParagraph"/>
        <w:numPr>
          <w:ilvl w:val="0"/>
          <w:numId w:val="3"/>
        </w:numPr>
        <w:spacing w:after="90"/>
      </w:pPr>
      <w:r>
        <w:rPr>
          <w:rFonts w:ascii="Calibri" w:cs="Calibri" w:eastAsia="Calibri" w:hAnsi="Calibri"/>
          <w:sz w:val="21"/>
          <w:szCs w:val="21"/>
        </w:rPr>
        <w:t xml:space="preserve">Definir y validar con el cliente la estrategia de identidad objetivo (cloud-only vs. rehibridación con nuevo bosque AD).</w:t>
      </w:r>
    </w:p>
    <w:p>
      <w:pPr>
        <w:pStyle w:val="ListParagraph"/>
        <w:numPr>
          <w:ilvl w:val="0"/>
          <w:numId w:val="3"/>
        </w:numPr>
        <w:spacing w:after="90"/>
      </w:pPr>
      <w:r>
        <w:rPr>
          <w:rFonts w:ascii="Calibri" w:cs="Calibri" w:eastAsia="Calibri" w:hAnsi="Calibri"/>
          <w:sz w:val="21"/>
          <w:szCs w:val="21"/>
        </w:rPr>
        <w:t xml:space="preserve">Eliminar la marca DirSyncEnabled de los objetos huérfanos de forma controlada, sin afectar licencias, buzones, membresías ni permisos ya asignados.</w:t>
      </w:r>
    </w:p>
    <w:p>
      <w:pPr>
        <w:pStyle w:val="ListParagraph"/>
        <w:numPr>
          <w:ilvl w:val="0"/>
          <w:numId w:val="3"/>
        </w:numPr>
        <w:spacing w:after="90"/>
      </w:pPr>
      <w:r>
        <w:rPr>
          <w:rFonts w:ascii="Calibri" w:cs="Calibri" w:eastAsia="Calibri" w:hAnsi="Calibri"/>
          <w:sz w:val="21"/>
          <w:szCs w:val="21"/>
        </w:rPr>
        <w:t xml:space="preserve">Restablecer el flujo estándar de altas, bajas y cambios (ABC) de usuarios.</w:t>
      </w:r>
    </w:p>
    <w:p>
      <w:pPr>
        <w:pStyle w:val="ListParagraph"/>
        <w:numPr>
          <w:ilvl w:val="0"/>
          <w:numId w:val="3"/>
        </w:numPr>
        <w:spacing w:after="90"/>
      </w:pPr>
      <w:r>
        <w:rPr>
          <w:rFonts w:ascii="Calibri" w:cs="Calibri" w:eastAsia="Calibri" w:hAnsi="Calibri"/>
          <w:sz w:val="21"/>
          <w:szCs w:val="21"/>
        </w:rPr>
        <w:t xml:space="preserve">Minimizar/eliminar el riesgo de duplicidad de identidades y pérdida de acceso a recursos (correo, OneDrive, Teams, SharePoint) durante la transición.</w:t>
      </w:r>
    </w:p>
    <w:p>
      <w:pPr>
        <w:pStyle w:val="ListParagraph"/>
        <w:numPr>
          <w:ilvl w:val="0"/>
          <w:numId w:val="3"/>
        </w:numPr>
        <w:spacing w:after="90"/>
      </w:pPr>
      <w:r>
        <w:rPr>
          <w:rFonts w:ascii="Calibri" w:cs="Calibri" w:eastAsia="Calibri" w:hAnsi="Calibri"/>
          <w:sz w:val="21"/>
          <w:szCs w:val="21"/>
        </w:rPr>
        <w:t xml:space="preserve">Fortalecer la postura de seguridad de identidad (MFA, Conditional Access, revisión de cuentas privilegiadas) como parte de la remediación.</w:t>
      </w:r>
    </w:p>
    <w:p>
      <w:pPr>
        <w:pStyle w:val="ListParagraph"/>
        <w:numPr>
          <w:ilvl w:val="0"/>
          <w:numId w:val="3"/>
        </w:numPr>
        <w:spacing w:after="90"/>
      </w:pPr>
      <w:r>
        <w:rPr>
          <w:rFonts w:ascii="Calibri" w:cs="Calibri" w:eastAsia="Calibri" w:hAnsi="Calibri"/>
          <w:sz w:val="21"/>
          <w:szCs w:val="21"/>
        </w:rPr>
        <w:t xml:space="preserve">Dejar documentación operativa y un plan de continuidad para evitar la recurrencia del problema (incluyendo respaldo del nuevo entorno de identidad).</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4. Solución Propuesta</w:t>
      </w:r>
    </w:p>
    <w:p>
      <w:pPr>
        <w:spacing w:after="160" w:line="276"/>
        <w:jc w:val="both"/>
      </w:pPr>
      <w:r>
        <w:rPr>
          <w:rFonts w:ascii="Calibri" w:cs="Calibri" w:eastAsia="Calibri" w:hAnsi="Calibri"/>
          <w:sz w:val="21"/>
          <w:szCs w:val="21"/>
        </w:rPr>
        <w:t xml:space="preserve">La remediación de un escenario de "objetos huérfanos" por pérdida del origen local tiene dos rutas técnicas válidas reconocidas por Microsoft. Ambas se presentan a continuación para que el cliente tome una decisión informada; en la sección 4.3 se incluye la recomendación.</w:t>
      </w:r>
    </w:p>
    <w:p>
      <w:pPr>
        <w:pStyle w:val="Heading2"/>
        <w:spacing w:after="150" w:before="300"/>
      </w:pPr>
      <w:r>
        <w:rPr>
          <w:rFonts w:ascii="Calibri" w:cs="Calibri" w:eastAsia="Calibri" w:hAnsi="Calibri"/>
          <w:b/>
          <w:bCs/>
          <w:color w:val="2E74B5"/>
          <w:sz w:val="24"/>
          <w:szCs w:val="24"/>
        </w:rPr>
        <w:t xml:space="preserve">4.1 Opción A — Migración a identidad Cloud-Only (recomendada en la mayoría de los escenarios sin AD recuperable)</w:t>
      </w:r>
    </w:p>
    <w:p>
      <w:pPr>
        <w:spacing w:after="160" w:line="276"/>
        <w:jc w:val="both"/>
      </w:pPr>
      <w:r>
        <w:rPr>
          <w:rFonts w:ascii="Calibri" w:cs="Calibri" w:eastAsia="Calibri" w:hAnsi="Calibri"/>
          <w:sz w:val="21"/>
          <w:szCs w:val="21"/>
        </w:rPr>
        <w:t xml:space="preserve">Consiste en desactivar formalmente la sincronización de directorio en el tenant y convertir todos los objetos afectados de "sincronizados" a "administrados en la nube" (cloud-managed), estableciendo a Microsoft Entra ID como única fuente de autoridad de identidad.</w:t>
      </w:r>
    </w:p>
    <w:p>
      <w:pPr>
        <w:pStyle w:val="ListParagraph"/>
        <w:numPr>
          <w:ilvl w:val="0"/>
          <w:numId w:val="2"/>
        </w:numPr>
        <w:spacing w:after="90"/>
      </w:pPr>
      <w:r>
        <w:rPr>
          <w:rFonts w:ascii="Calibri" w:cs="Calibri" w:eastAsia="Calibri" w:hAnsi="Calibri"/>
          <w:b w:val="false"/>
          <w:bCs w:val="false"/>
          <w:sz w:val="21"/>
          <w:szCs w:val="21"/>
        </w:rPr>
        <w:t xml:space="preserve">Inventario y respaldo (exportación) de todos los objetos sincronizados y sus atributos actuales, antes de cualquier cambio.</w:t>
      </w:r>
    </w:p>
    <w:p>
      <w:pPr>
        <w:pStyle w:val="ListParagraph"/>
        <w:numPr>
          <w:ilvl w:val="0"/>
          <w:numId w:val="2"/>
        </w:numPr>
        <w:spacing w:after="90"/>
      </w:pPr>
      <w:r>
        <w:rPr>
          <w:rFonts w:ascii="Calibri" w:cs="Calibri" w:eastAsia="Calibri" w:hAnsi="Calibri"/>
          <w:b w:val="false"/>
          <w:bCs w:val="false"/>
          <w:sz w:val="21"/>
          <w:szCs w:val="21"/>
        </w:rPr>
        <w:t xml:space="preserve">Desactivación controlada de Microsoft Entra Connect / DirSync a nivel de tenant ("Convert to cloud-only"), liberando el bloqueo DirSyncEnabled en todos los objetos afectados.</w:t>
      </w:r>
    </w:p>
    <w:p>
      <w:pPr>
        <w:pStyle w:val="ListParagraph"/>
        <w:numPr>
          <w:ilvl w:val="0"/>
          <w:numId w:val="2"/>
        </w:numPr>
        <w:spacing w:after="90"/>
      </w:pPr>
      <w:r>
        <w:rPr>
          <w:rFonts w:ascii="Calibri" w:cs="Calibri" w:eastAsia="Calibri" w:hAnsi="Calibri"/>
          <w:b w:val="false"/>
          <w:bCs w:val="false"/>
          <w:sz w:val="21"/>
          <w:szCs w:val="21"/>
        </w:rPr>
        <w:t xml:space="preserve">Los buzones, licencias, membresías de grupo y permisos existentes se conservan, ya que el ObjectId (GUID) de cada objeto en Entra ID no cambia durante la conversión.</w:t>
      </w:r>
    </w:p>
    <w:p>
      <w:pPr>
        <w:pStyle w:val="ListParagraph"/>
        <w:numPr>
          <w:ilvl w:val="0"/>
          <w:numId w:val="2"/>
        </w:numPr>
        <w:spacing w:after="90"/>
      </w:pPr>
      <w:r>
        <w:rPr>
          <w:rFonts w:ascii="Calibri" w:cs="Calibri" w:eastAsia="Calibri" w:hAnsi="Calibri"/>
          <w:b w:val="false"/>
          <w:bCs w:val="false"/>
          <w:sz w:val="21"/>
          <w:szCs w:val="21"/>
        </w:rPr>
        <w:t xml:space="preserve">Se restablece de inmediato la capacidad de crear, modificar y deshabilitar usuarios de forma nativa desde el Centro de administración de Microsoft 365 / Entra ID.</w:t>
      </w:r>
    </w:p>
    <w:p>
      <w:pPr>
        <w:pStyle w:val="ListParagraph"/>
        <w:numPr>
          <w:ilvl w:val="0"/>
          <w:numId w:val="2"/>
        </w:numPr>
        <w:spacing w:after="90"/>
      </w:pPr>
      <w:r>
        <w:rPr>
          <w:rFonts w:ascii="Calibri" w:cs="Calibri" w:eastAsia="Calibri" w:hAnsi="Calibri"/>
          <w:b w:val="false"/>
          <w:bCs w:val="false"/>
          <w:sz w:val="21"/>
          <w:szCs w:val="21"/>
        </w:rPr>
        <w:t xml:space="preserve">Se recomienda para clientes que no requieren reconstruir el dominio local (por ejemplo, si ya migraron o planean migrar la mayoría de la infraestructura hacia la nube: Entra ID, Intune, Azure Files/AVD en lugar de servidores de archivos e impresión locales).</w:t>
      </w:r>
    </w:p>
    <w:p>
      <w:pPr>
        <w:pStyle w:val="Heading3"/>
        <w:spacing w:after="100" w:before="200"/>
      </w:pPr>
      <w:r>
        <w:rPr>
          <w:rFonts w:ascii="Calibri" w:cs="Calibri" w:eastAsia="Calibri" w:hAnsi="Calibri"/>
          <w:b/>
          <w:bCs/>
          <w:color w:val="595959"/>
          <w:sz w:val="22"/>
          <w:szCs w:val="22"/>
        </w:rPr>
        <w:t xml:space="preserve">Consideraciones clave de la Opción A</w:t>
      </w:r>
    </w:p>
    <w:p>
      <w:pPr>
        <w:pStyle w:val="ListParagraph"/>
        <w:numPr>
          <w:ilvl w:val="0"/>
          <w:numId w:val="2"/>
        </w:numPr>
        <w:spacing w:after="90"/>
      </w:pPr>
      <w:r>
        <w:rPr>
          <w:rFonts w:ascii="Calibri" w:cs="Calibri" w:eastAsia="Calibri" w:hAnsi="Calibri"/>
          <w:b w:val="false"/>
          <w:bCs w:val="false"/>
          <w:sz w:val="21"/>
          <w:szCs w:val="21"/>
        </w:rPr>
        <w:t xml:space="preserve">Si en el futuro se desea volver a un modelo híbrido, se deberá ejecutar un proceso de "hard match" (vía atributo ms-DS-ConsistencyGuid) para evitar duplicar usuarios; esto es totalmente viable y se documenta en la sección 4.4.</w:t>
      </w:r>
    </w:p>
    <w:p>
      <w:pPr>
        <w:pStyle w:val="ListParagraph"/>
        <w:numPr>
          <w:ilvl w:val="0"/>
          <w:numId w:val="2"/>
        </w:numPr>
        <w:spacing w:after="90"/>
      </w:pPr>
      <w:r>
        <w:rPr>
          <w:rFonts w:ascii="Calibri" w:cs="Calibri" w:eastAsia="Calibri" w:hAnsi="Calibri"/>
          <w:b w:val="false"/>
          <w:bCs w:val="false"/>
          <w:sz w:val="21"/>
          <w:szCs w:val="21"/>
        </w:rPr>
        <w:t xml:space="preserve">Los usuarios deberán establecer una nueva contraseña administrada en la nube (o se sincronizará vía Self-Service Password Reset / Temporary Access Pass).</w:t>
      </w:r>
    </w:p>
    <w:p>
      <w:pPr>
        <w:pStyle w:val="ListParagraph"/>
        <w:numPr>
          <w:ilvl w:val="0"/>
          <w:numId w:val="2"/>
        </w:numPr>
        <w:spacing w:after="90"/>
      </w:pPr>
      <w:r>
        <w:rPr>
          <w:rFonts w:ascii="Calibri" w:cs="Calibri" w:eastAsia="Calibri" w:hAnsi="Calibri"/>
          <w:b w:val="false"/>
          <w:bCs w:val="false"/>
          <w:sz w:val="21"/>
          <w:szCs w:val="21"/>
        </w:rPr>
        <w:t xml:space="preserve">No se requiere replicar controladores de dominio; reduce drásticamente el costo operativo de mantener AD DS local.</w:t>
      </w:r>
    </w:p>
    <w:p>
      <w:pPr>
        <w:pStyle w:val="Heading2"/>
        <w:spacing w:after="150" w:before="300"/>
      </w:pPr>
      <w:r>
        <w:rPr>
          <w:rFonts w:ascii="Calibri" w:cs="Calibri" w:eastAsia="Calibri" w:hAnsi="Calibri"/>
          <w:b/>
          <w:bCs/>
          <w:color w:val="2E74B5"/>
          <w:sz w:val="24"/>
          <w:szCs w:val="24"/>
        </w:rPr>
        <w:t xml:space="preserve">4.2 Opción B — Reconstrucción de bosque AD y Re-hibridación (Hard Match)</w:t>
      </w:r>
    </w:p>
    <w:p>
      <w:pPr>
        <w:spacing w:after="160" w:line="276"/>
        <w:jc w:val="both"/>
      </w:pPr>
      <w:r>
        <w:rPr>
          <w:rFonts w:ascii="Calibri" w:cs="Calibri" w:eastAsia="Calibri" w:hAnsi="Calibri"/>
          <w:sz w:val="21"/>
          <w:szCs w:val="21"/>
        </w:rPr>
        <w:t xml:space="preserve">Consiste en levantar un nuevo bosque/dominio de Active Directory (nuevos controladores de dominio), reinstalar Microsoft Entra Connect, y ejecutar un proceso de emparejamiento manual ("hard match") entre los nuevos objetos de AD y los objetos existentes en Entra ID, utilizando el atributo ms-DS-ConsistencyGuid como ancla de origen (SourceAnchor).</w:t>
      </w:r>
    </w:p>
    <w:p>
      <w:pPr>
        <w:pStyle w:val="ListParagraph"/>
        <w:numPr>
          <w:ilvl w:val="0"/>
          <w:numId w:val="2"/>
        </w:numPr>
        <w:spacing w:after="90"/>
      </w:pPr>
      <w:r>
        <w:rPr>
          <w:rFonts w:ascii="Calibri" w:cs="Calibri" w:eastAsia="Calibri" w:hAnsi="Calibri"/>
          <w:b w:val="false"/>
          <w:bCs w:val="false"/>
          <w:sz w:val="21"/>
          <w:szCs w:val="21"/>
        </w:rPr>
        <w:t xml:space="preserve">Requiere levantar un nuevo dominio AD DS (nuevo SID de dominio), lo cual implica volver a unir todas las estaciones de trabajo y servidores al dominio.</w:t>
      </w:r>
    </w:p>
    <w:p>
      <w:pPr>
        <w:pStyle w:val="ListParagraph"/>
        <w:numPr>
          <w:ilvl w:val="0"/>
          <w:numId w:val="2"/>
        </w:numPr>
        <w:spacing w:after="90"/>
      </w:pPr>
      <w:r>
        <w:rPr>
          <w:rFonts w:ascii="Calibri" w:cs="Calibri" w:eastAsia="Calibri" w:hAnsi="Calibri"/>
          <w:b w:val="false"/>
          <w:bCs w:val="false"/>
          <w:sz w:val="21"/>
          <w:szCs w:val="21"/>
        </w:rPr>
        <w:t xml:space="preserve">Requiere recrear la estructura de OUs, GPOs, cuentas de servicio y relaciones de confianza que existían previamente (no se recuperan automáticamente).</w:t>
      </w:r>
    </w:p>
    <w:p>
      <w:pPr>
        <w:pStyle w:val="ListParagraph"/>
        <w:numPr>
          <w:ilvl w:val="0"/>
          <w:numId w:val="2"/>
        </w:numPr>
        <w:spacing w:after="90"/>
      </w:pPr>
      <w:r>
        <w:rPr>
          <w:rFonts w:ascii="Calibri" w:cs="Calibri" w:eastAsia="Calibri" w:hAnsi="Calibri"/>
          <w:b w:val="false"/>
          <w:bCs w:val="false"/>
          <w:sz w:val="21"/>
          <w:szCs w:val="21"/>
        </w:rPr>
        <w:t xml:space="preserve">El proceso de hard match debe ejecutarse objeto por objeto (o vía script masivo) antes de habilitar la sincronización completa, para evitar la creación de usuarios duplicados en Entra ID.</w:t>
      </w:r>
    </w:p>
    <w:p>
      <w:pPr>
        <w:pStyle w:val="ListParagraph"/>
        <w:numPr>
          <w:ilvl w:val="0"/>
          <w:numId w:val="2"/>
        </w:numPr>
        <w:spacing w:after="90"/>
      </w:pPr>
      <w:r>
        <w:rPr>
          <w:rFonts w:ascii="Calibri" w:cs="Calibri" w:eastAsia="Calibri" w:hAnsi="Calibri"/>
          <w:b w:val="false"/>
          <w:bCs w:val="false"/>
          <w:sz w:val="21"/>
          <w:szCs w:val="21"/>
        </w:rPr>
        <w:t xml:space="preserve">Es la ruta adecuada únicamente si el cliente depende de manera crítica de servicios on-premises que requieren autenticación Kerberos/NTLM tradicional (aplicaciones legacy, servidores de archivos locales, impresión, RADIUS, etc.).</w:t>
      </w:r>
    </w:p>
    <w:p>
      <w:pPr>
        <w:pStyle w:val="Heading3"/>
        <w:spacing w:after="100" w:before="200"/>
      </w:pPr>
      <w:r>
        <w:rPr>
          <w:rFonts w:ascii="Calibri" w:cs="Calibri" w:eastAsia="Calibri" w:hAnsi="Calibri"/>
          <w:b/>
          <w:bCs/>
          <w:color w:val="595959"/>
          <w:sz w:val="22"/>
          <w:szCs w:val="22"/>
        </w:rPr>
        <w:t xml:space="preserve">Consideraciones clave de la Opción B</w:t>
      </w:r>
    </w:p>
    <w:p>
      <w:pPr>
        <w:pStyle w:val="ListParagraph"/>
        <w:numPr>
          <w:ilvl w:val="0"/>
          <w:numId w:val="2"/>
        </w:numPr>
        <w:spacing w:after="90"/>
      </w:pPr>
      <w:r>
        <w:rPr>
          <w:rFonts w:ascii="Calibri" w:cs="Calibri" w:eastAsia="Calibri" w:hAnsi="Calibri"/>
          <w:b w:val="false"/>
          <w:bCs w:val="false"/>
          <w:sz w:val="21"/>
          <w:szCs w:val="21"/>
        </w:rPr>
        <w:t xml:space="preserve">Es la ruta de mayor duración, costo y riesgo operativo, ya que reconstruye infraestructura crítica desde cero.</w:t>
      </w:r>
    </w:p>
    <w:p>
      <w:pPr>
        <w:pStyle w:val="ListParagraph"/>
        <w:numPr>
          <w:ilvl w:val="0"/>
          <w:numId w:val="2"/>
        </w:numPr>
        <w:spacing w:after="90"/>
      </w:pPr>
      <w:r>
        <w:rPr>
          <w:rFonts w:ascii="Calibri" w:cs="Calibri" w:eastAsia="Calibri" w:hAnsi="Calibri"/>
          <w:b w:val="false"/>
          <w:bCs w:val="false"/>
          <w:sz w:val="21"/>
          <w:szCs w:val="21"/>
        </w:rPr>
        <w:t xml:space="preserve">Requiere una ventana de mantenimiento amplia y pruebas exhaustivas antes de reactivar la sincronización en producción.</w:t>
      </w:r>
    </w:p>
    <w:p>
      <w:pPr>
        <w:pStyle w:val="ListParagraph"/>
        <w:numPr>
          <w:ilvl w:val="0"/>
          <w:numId w:val="2"/>
        </w:numPr>
        <w:spacing w:after="90"/>
      </w:pPr>
      <w:r>
        <w:rPr>
          <w:rFonts w:ascii="Calibri" w:cs="Calibri" w:eastAsia="Calibri" w:hAnsi="Calibri"/>
          <w:b w:val="false"/>
          <w:bCs w:val="false"/>
          <w:sz w:val="21"/>
          <w:szCs w:val="21"/>
        </w:rPr>
        <w:t xml:space="preserve">Debe usarse Staged Rollout de Microsoft Entra Connect para validar la sincronización con un grupo piloto antes del corte total.</w:t>
      </w:r>
    </w:p>
    <w:p>
      <w:pPr>
        <w:pStyle w:val="Heading2"/>
        <w:spacing w:after="150" w:before="300"/>
      </w:pPr>
      <w:r>
        <w:rPr>
          <w:rFonts w:ascii="Calibri" w:cs="Calibri" w:eastAsia="Calibri" w:hAnsi="Calibri"/>
          <w:b/>
          <w:bCs/>
          <w:color w:val="2E74B5"/>
          <w:sz w:val="24"/>
          <w:szCs w:val="24"/>
        </w:rPr>
        <w:t xml:space="preserve">4.3 Recomendación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DCE6F1" w:val="clear"/>
            <w:tcMar>
              <w:top w:type="dxa" w:w="150"/>
              <w:left w:type="dxa" w:w="150"/>
              <w:bottom w:type="dxa" w:w="150"/>
              <w:right w:type="dxa" w:w="150"/>
            </w:tcMar>
          </w:tcPr>
          <w:p>
            <w:r>
              <w:rPr>
                <w:rFonts w:ascii="Calibri" w:cs="Calibri" w:eastAsia="Calibri" w:hAnsi="Calibri"/>
                <w:b/>
                <w:bCs/>
                <w:color w:val="1F3864"/>
                <w:sz w:val="21"/>
                <w:szCs w:val="21"/>
              </w:rPr>
              <w:t xml:space="preserve">Se recomienda la Opción A (Cloud-Only) como ruta principal, </w:t>
            </w:r>
          </w:p>
          <w:p>
            <w:pPr>
              <w:spacing w:before="100"/>
              <w:jc w:val="both"/>
            </w:pPr>
            <w:r>
              <w:rPr>
                <w:rFonts w:ascii="Calibri" w:cs="Calibri" w:eastAsia="Calibri" w:hAnsi="Calibri"/>
                <w:sz w:val="21"/>
                <w:szCs w:val="21"/>
              </w:rPr>
              <w:t xml:space="preserve">dado que: (1) no existe un respaldo recuperable del dominio local, por lo que reconstruirlo implica partir prácticamente desde cero; (2) el escenario descrito muestra dependencia funcional casi total en servicios de M365 (Teams, Outlook, SharePoint); y (3) reduce el tiempo de exposición al riesgo actual de forma significativamente más rápida que la Opción B. La decisión final debe confirmarse con el cliente en el taller de descubrimiento (Fase 1), una vez inventariados los sistemas locales que pudieran depender de Kerberos/LDAP tradicional (por ejemplo: file servers, impresoras, ERP local, RADIUS/802.1X, aplicaciones legacy).</w:t>
            </w:r>
          </w:p>
        </w:tc>
      </w:tr>
    </w:tbl>
    <w:p>
      <w:pPr>
        <w:spacing w:before="200"/>
      </w:pPr>
    </w:p>
    <w:p>
      <w:pPr>
        <w:pStyle w:val="Heading2"/>
        <w:spacing w:after="150" w:before="300"/>
      </w:pPr>
      <w:r>
        <w:rPr>
          <w:rFonts w:ascii="Calibri" w:cs="Calibri" w:eastAsia="Calibri" w:hAnsi="Calibri"/>
          <w:b/>
          <w:bCs/>
          <w:color w:val="2E74B5"/>
          <w:sz w:val="24"/>
          <w:szCs w:val="24"/>
        </w:rPr>
        <w:t xml:space="preserve">4.4 Metodología de remediación (alto nivel, Opción A)</w:t>
      </w:r>
    </w:p>
    <w:p>
      <w:pPr>
        <w:pStyle w:val="ListParagraph"/>
        <w:numPr>
          <w:ilvl w:val="0"/>
          <w:numId w:val="3"/>
        </w:numPr>
        <w:spacing w:after="90"/>
      </w:pPr>
      <w:r>
        <w:rPr>
          <w:rFonts w:ascii="Calibri" w:cs="Calibri" w:eastAsia="Calibri" w:hAnsi="Calibri"/>
          <w:sz w:val="21"/>
          <w:szCs w:val="21"/>
        </w:rPr>
        <w:t xml:space="preserve">Fase 0 — Descubrimiento y respaldo: exportación completa de objetos de Entra ID (usuarios, grupos, atributos onPremises*, membresías, licencias) vía Microsoft Graph PowerShell.</w:t>
      </w:r>
    </w:p>
    <w:p>
      <w:pPr>
        <w:pStyle w:val="ListParagraph"/>
        <w:numPr>
          <w:ilvl w:val="0"/>
          <w:numId w:val="3"/>
        </w:numPr>
        <w:spacing w:after="90"/>
      </w:pPr>
      <w:r>
        <w:rPr>
          <w:rFonts w:ascii="Calibri" w:cs="Calibri" w:eastAsia="Calibri" w:hAnsi="Calibri"/>
          <w:sz w:val="21"/>
          <w:szCs w:val="21"/>
        </w:rPr>
        <w:t xml:space="preserve">Fase 1 — Validación de estrategia con el cliente (Cloud-only vs. Híbrido) y confirmación de alcance.</w:t>
      </w:r>
    </w:p>
    <w:p>
      <w:pPr>
        <w:pStyle w:val="ListParagraph"/>
        <w:numPr>
          <w:ilvl w:val="0"/>
          <w:numId w:val="3"/>
        </w:numPr>
        <w:spacing w:after="90"/>
      </w:pPr>
      <w:r>
        <w:rPr>
          <w:rFonts w:ascii="Calibri" w:cs="Calibri" w:eastAsia="Calibri" w:hAnsi="Calibri"/>
          <w:sz w:val="21"/>
          <w:szCs w:val="21"/>
        </w:rPr>
        <w:t xml:space="preserve">Fase 2 — Preparación: revisión de UPNs y dominios verificados, validación de licencias, congelamiento de cambios no críticos.</w:t>
      </w:r>
    </w:p>
    <w:p>
      <w:pPr>
        <w:pStyle w:val="ListParagraph"/>
        <w:numPr>
          <w:ilvl w:val="0"/>
          <w:numId w:val="3"/>
        </w:numPr>
        <w:spacing w:after="90"/>
      </w:pPr>
      <w:r>
        <w:rPr>
          <w:rFonts w:ascii="Calibri" w:cs="Calibri" w:eastAsia="Calibri" w:hAnsi="Calibri"/>
          <w:sz w:val="21"/>
          <w:szCs w:val="21"/>
        </w:rPr>
        <w:t xml:space="preserve">Fase 3 — Ejecución del corte: deshabilitación de DirSync a nivel de tenant / conversión a cloud-managed.</w:t>
      </w:r>
    </w:p>
    <w:p>
      <w:pPr>
        <w:pStyle w:val="ListParagraph"/>
        <w:numPr>
          <w:ilvl w:val="0"/>
          <w:numId w:val="3"/>
        </w:numPr>
        <w:spacing w:after="90"/>
      </w:pPr>
      <w:r>
        <w:rPr>
          <w:rFonts w:ascii="Calibri" w:cs="Calibri" w:eastAsia="Calibri" w:hAnsi="Calibri"/>
          <w:sz w:val="21"/>
          <w:szCs w:val="21"/>
        </w:rPr>
        <w:t xml:space="preserve">Fase 4 — Remediación de atributos: normalización de UPN, nombres, managers, membresías huérfanas.</w:t>
      </w:r>
    </w:p>
    <w:p>
      <w:pPr>
        <w:pStyle w:val="ListParagraph"/>
        <w:numPr>
          <w:ilvl w:val="0"/>
          <w:numId w:val="3"/>
        </w:numPr>
        <w:spacing w:after="90"/>
      </w:pPr>
      <w:r>
        <w:rPr>
          <w:rFonts w:ascii="Calibri" w:cs="Calibri" w:eastAsia="Calibri" w:hAnsi="Calibri"/>
          <w:sz w:val="21"/>
          <w:szCs w:val="21"/>
        </w:rPr>
        <w:t xml:space="preserve">Fase 5 — Endurecimiento de seguridad: habilitación/revisión de MFA, Conditional Access, revisión de cuentas privilegiadas y roles.</w:t>
      </w:r>
    </w:p>
    <w:p>
      <w:pPr>
        <w:pStyle w:val="ListParagraph"/>
        <w:numPr>
          <w:ilvl w:val="0"/>
          <w:numId w:val="3"/>
        </w:numPr>
        <w:spacing w:after="90"/>
      </w:pPr>
      <w:r>
        <w:rPr>
          <w:rFonts w:ascii="Calibri" w:cs="Calibri" w:eastAsia="Calibri" w:hAnsi="Calibri"/>
          <w:sz w:val="21"/>
          <w:szCs w:val="21"/>
        </w:rPr>
        <w:t xml:space="preserve">Fase 6 — Restablecimiento del flujo ABC (altas/bajas/cambios) y entrega de documentación operativa.</w:t>
      </w:r>
    </w:p>
    <w:p>
      <w:pPr>
        <w:pStyle w:val="ListParagraph"/>
        <w:numPr>
          <w:ilvl w:val="0"/>
          <w:numId w:val="3"/>
        </w:numPr>
        <w:spacing w:after="90"/>
      </w:pPr>
      <w:r>
        <w:rPr>
          <w:rFonts w:ascii="Calibri" w:cs="Calibri" w:eastAsia="Calibri" w:hAnsi="Calibri"/>
          <w:sz w:val="21"/>
          <w:szCs w:val="21"/>
        </w:rPr>
        <w:t xml:space="preserve">Fase 7 — Hipercuidado (hypercare) post-implementación y cierre de proyecto.</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5. Arquitectura Propuesta</w:t>
      </w:r>
    </w:p>
    <w:p>
      <w:pPr>
        <w:spacing w:after="160" w:line="276"/>
        <w:jc w:val="both"/>
      </w:pPr>
      <w:r>
        <w:rPr>
          <w:rFonts w:ascii="Calibri" w:cs="Calibri" w:eastAsia="Calibri" w:hAnsi="Calibri"/>
          <w:sz w:val="21"/>
          <w:szCs w:val="21"/>
        </w:rPr>
        <w:t xml:space="preserve">A continuación se describe la arquitectura objetivo para la Opción A (Cloud-Only), la ruta recomendada:</w:t>
      </w:r>
    </w:p>
    <w:p>
      <w:pPr>
        <w:pStyle w:val="Heading2"/>
        <w:spacing w:after="150" w:before="300"/>
      </w:pPr>
      <w:r>
        <w:rPr>
          <w:rFonts w:ascii="Calibri" w:cs="Calibri" w:eastAsia="Calibri" w:hAnsi="Calibri"/>
          <w:b/>
          <w:bCs/>
          <w:color w:val="2E74B5"/>
          <w:sz w:val="24"/>
          <w:szCs w:val="24"/>
        </w:rPr>
        <w:t xml:space="preserve">5.1 Estado actual (AS-IS)</w:t>
      </w:r>
    </w:p>
    <w:p>
      <w:pPr>
        <w:pStyle w:val="ListParagraph"/>
        <w:numPr>
          <w:ilvl w:val="0"/>
          <w:numId w:val="2"/>
        </w:numPr>
        <w:spacing w:after="90"/>
      </w:pPr>
      <w:r>
        <w:rPr>
          <w:rFonts w:ascii="Calibri" w:cs="Calibri" w:eastAsia="Calibri" w:hAnsi="Calibri"/>
          <w:b w:val="false"/>
          <w:bCs w:val="false"/>
          <w:sz w:val="21"/>
          <w:szCs w:val="21"/>
        </w:rPr>
        <w:t xml:space="preserve">Active Directory local: perdido / no disponible (0 controladores de dominio funcionales).</w:t>
      </w:r>
    </w:p>
    <w:p>
      <w:pPr>
        <w:pStyle w:val="ListParagraph"/>
        <w:numPr>
          <w:ilvl w:val="0"/>
          <w:numId w:val="2"/>
        </w:numPr>
        <w:spacing w:after="90"/>
      </w:pPr>
      <w:r>
        <w:rPr>
          <w:rFonts w:ascii="Calibri" w:cs="Calibri" w:eastAsia="Calibri" w:hAnsi="Calibri"/>
          <w:b w:val="false"/>
          <w:bCs w:val="false"/>
          <w:sz w:val="21"/>
          <w:szCs w:val="21"/>
        </w:rPr>
        <w:t xml:space="preserve">Microsoft Entra Connect: detenido, sin sincronización activa desde hace ~1 año.</w:t>
      </w:r>
    </w:p>
    <w:p>
      <w:pPr>
        <w:pStyle w:val="ListParagraph"/>
        <w:numPr>
          <w:ilvl w:val="0"/>
          <w:numId w:val="2"/>
        </w:numPr>
        <w:spacing w:after="90"/>
      </w:pPr>
      <w:r>
        <w:rPr>
          <w:rFonts w:ascii="Calibri" w:cs="Calibri" w:eastAsia="Calibri" w:hAnsi="Calibri"/>
          <w:b w:val="false"/>
          <w:bCs w:val="false"/>
          <w:sz w:val="21"/>
          <w:szCs w:val="21"/>
        </w:rPr>
        <w:t xml:space="preserve">Microsoft Entra ID: contiene objetos "synced" huérfanos (DirSyncEnabled: true, sin origen).</w:t>
      </w:r>
    </w:p>
    <w:p>
      <w:pPr>
        <w:pStyle w:val="ListParagraph"/>
        <w:numPr>
          <w:ilvl w:val="0"/>
          <w:numId w:val="2"/>
        </w:numPr>
        <w:spacing w:after="90"/>
      </w:pPr>
      <w:r>
        <w:rPr>
          <w:rFonts w:ascii="Calibri" w:cs="Calibri" w:eastAsia="Calibri" w:hAnsi="Calibri"/>
          <w:b w:val="false"/>
          <w:bCs w:val="false"/>
          <w:sz w:val="21"/>
          <w:szCs w:val="21"/>
        </w:rPr>
        <w:t xml:space="preserve">Microsoft 365 (Exchange Online, SharePoint Online, Teams): operativo para usuarios existentes; licenciamiento intacto.</w:t>
      </w:r>
    </w:p>
    <w:p>
      <w:pPr>
        <w:pStyle w:val="Heading2"/>
        <w:spacing w:after="150" w:before="300"/>
      </w:pPr>
      <w:r>
        <w:rPr>
          <w:rFonts w:ascii="Calibri" w:cs="Calibri" w:eastAsia="Calibri" w:hAnsi="Calibri"/>
          <w:b/>
          <w:bCs/>
          <w:color w:val="2E74B5"/>
          <w:sz w:val="24"/>
          <w:szCs w:val="24"/>
        </w:rPr>
        <w:t xml:space="preserve">5.2 Estado objetivo (TO-BE) — Cloud-Only</w:t>
      </w:r>
    </w:p>
    <w:p>
      <w:pPr>
        <w:pStyle w:val="ListParagraph"/>
        <w:numPr>
          <w:ilvl w:val="0"/>
          <w:numId w:val="2"/>
        </w:numPr>
        <w:spacing w:after="90"/>
      </w:pPr>
      <w:r>
        <w:rPr>
          <w:rFonts w:ascii="Calibri" w:cs="Calibri" w:eastAsia="Calibri" w:hAnsi="Calibri"/>
          <w:b w:val="false"/>
          <w:bCs w:val="false"/>
          <w:sz w:val="21"/>
          <w:szCs w:val="21"/>
        </w:rPr>
        <w:t xml:space="preserve">Microsoft Entra ID como única fuente de autoridad de identidad (sin AD DS local ni Entra Connect).</w:t>
      </w:r>
    </w:p>
    <w:p>
      <w:pPr>
        <w:pStyle w:val="ListParagraph"/>
        <w:numPr>
          <w:ilvl w:val="0"/>
          <w:numId w:val="2"/>
        </w:numPr>
        <w:spacing w:after="90"/>
      </w:pPr>
      <w:r>
        <w:rPr>
          <w:rFonts w:ascii="Calibri" w:cs="Calibri" w:eastAsia="Calibri" w:hAnsi="Calibri"/>
          <w:b w:val="false"/>
          <w:bCs w:val="false"/>
          <w:sz w:val="21"/>
          <w:szCs w:val="21"/>
        </w:rPr>
        <w:t xml:space="preserve">Autenticación: Microsoft Entra ID nativo con MFA obligatorio y políticas de Conditional Access basadas en riesgo.</w:t>
      </w:r>
    </w:p>
    <w:p>
      <w:pPr>
        <w:pStyle w:val="ListParagraph"/>
        <w:numPr>
          <w:ilvl w:val="0"/>
          <w:numId w:val="2"/>
        </w:numPr>
        <w:spacing w:after="90"/>
      </w:pPr>
      <w:r>
        <w:rPr>
          <w:rFonts w:ascii="Calibri" w:cs="Calibri" w:eastAsia="Calibri" w:hAnsi="Calibri"/>
          <w:b w:val="false"/>
          <w:bCs w:val="false"/>
          <w:sz w:val="21"/>
          <w:szCs w:val="21"/>
        </w:rPr>
        <w:t xml:space="preserve">Gestión de dispositivos: Microsoft Intune / Entra ID join para equipos, sustituyendo GPOs locales por Configuration Profiles y Compliance Policies.</w:t>
      </w:r>
    </w:p>
    <w:p>
      <w:pPr>
        <w:pStyle w:val="ListParagraph"/>
        <w:numPr>
          <w:ilvl w:val="0"/>
          <w:numId w:val="2"/>
        </w:numPr>
        <w:spacing w:after="90"/>
      </w:pPr>
      <w:r>
        <w:rPr>
          <w:rFonts w:ascii="Calibri" w:cs="Calibri" w:eastAsia="Calibri" w:hAnsi="Calibri"/>
          <w:b w:val="false"/>
          <w:bCs w:val="false"/>
          <w:sz w:val="21"/>
          <w:szCs w:val="21"/>
        </w:rPr>
        <w:t xml:space="preserve">Gestión de identidad privilegiada: Microsoft Entra Privileged Identity Management (PIM) para roles administrativos.</w:t>
      </w:r>
    </w:p>
    <w:p>
      <w:pPr>
        <w:pStyle w:val="ListParagraph"/>
        <w:numPr>
          <w:ilvl w:val="0"/>
          <w:numId w:val="2"/>
        </w:numPr>
        <w:spacing w:after="90"/>
      </w:pPr>
      <w:r>
        <w:rPr>
          <w:rFonts w:ascii="Calibri" w:cs="Calibri" w:eastAsia="Calibri" w:hAnsi="Calibri"/>
          <w:b w:val="false"/>
          <w:bCs w:val="false"/>
          <w:sz w:val="21"/>
          <w:szCs w:val="21"/>
        </w:rPr>
        <w:t xml:space="preserve">Automatización de ABC: Microsoft Entra ID + Lifecycle Workflows (o integración con el sistema de RH del cliente vía Graph API / HR-driven provisioning).</w:t>
      </w:r>
    </w:p>
    <w:p>
      <w:pPr>
        <w:pStyle w:val="ListParagraph"/>
        <w:numPr>
          <w:ilvl w:val="0"/>
          <w:numId w:val="2"/>
        </w:numPr>
        <w:spacing w:after="90"/>
      </w:pPr>
      <w:r>
        <w:rPr>
          <w:rFonts w:ascii="Calibri" w:cs="Calibri" w:eastAsia="Calibri" w:hAnsi="Calibri"/>
          <w:b w:val="false"/>
          <w:bCs w:val="false"/>
          <w:sz w:val="21"/>
          <w:szCs w:val="21"/>
        </w:rPr>
        <w:t xml:space="preserve">Autoservicio: Self-Service Password Reset (SSPR) y Self-Service Group Management habilitados.</w:t>
      </w:r>
    </w:p>
    <w:p>
      <w:pPr>
        <w:pStyle w:val="ListParagraph"/>
        <w:numPr>
          <w:ilvl w:val="0"/>
          <w:numId w:val="2"/>
        </w:numPr>
        <w:spacing w:after="90"/>
      </w:pPr>
      <w:r>
        <w:rPr>
          <w:rFonts w:ascii="Calibri" w:cs="Calibri" w:eastAsia="Calibri" w:hAnsi="Calibri"/>
          <w:b w:val="false"/>
          <w:bCs w:val="false"/>
          <w:sz w:val="21"/>
          <w:szCs w:val="21"/>
        </w:rPr>
        <w:t xml:space="preserve">Monitoreo y auditoría: Microsoft Entra ID Logs + integración a Microsoft Sentinel o Log Analytics (si aplica) para trazabilidad de cambios de identidad.</w:t>
      </w:r>
    </w:p>
    <w:p>
      <w:pPr>
        <w:pStyle w:val="Heading2"/>
        <w:spacing w:after="150" w:before="300"/>
      </w:pPr>
      <w:r>
        <w:rPr>
          <w:rFonts w:ascii="Calibri" w:cs="Calibri" w:eastAsia="Calibri" w:hAnsi="Calibri"/>
          <w:b/>
          <w:bCs/>
          <w:color w:val="2E74B5"/>
          <w:sz w:val="24"/>
          <w:szCs w:val="24"/>
        </w:rPr>
        <w:t xml:space="preserve">5.3 Componentes clave del entorno objetivo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50"/>
      </w:tblGrid>
      <w:tr>
        <w:tc>
          <w:tcPr>
            <w:tcW w:type="dxa" w:w="280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Componente</w:t>
            </w:r>
          </w:p>
        </w:tc>
        <w:tc>
          <w:tcPr>
            <w:tcW w:type="dxa" w:w="330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Función</w:t>
            </w:r>
          </w:p>
        </w:tc>
        <w:tc>
          <w:tcPr>
            <w:tcW w:type="dxa" w:w="325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Licencia / Servicio</w:t>
            </w:r>
          </w:p>
        </w:tc>
      </w:tr>
      <w:tr>
        <w:tc>
          <w:tcPr>
            <w:tcW w:type="dxa" w:w="28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Microsoft Entra ID (P1/P2)</w:t>
            </w:r>
          </w:p>
        </w:tc>
        <w:tc>
          <w:tcPr>
            <w:tcW w:type="dxa" w:w="33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Directorio, autenticación, Conditional Access, PIM</w:t>
            </w:r>
          </w:p>
        </w:tc>
        <w:tc>
          <w:tcPr>
            <w:tcW w:type="dxa" w:w="32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Entra ID P1 o P2 (incluido en M365 E3/E5 o standalone)</w:t>
            </w:r>
          </w:p>
        </w:tc>
      </w:tr>
      <w:tr>
        <w:tc>
          <w:tcPr>
            <w:tcW w:type="dxa" w:w="28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Microsoft Entra Lifecycle Workflows</w:t>
            </w:r>
          </w:p>
        </w:tc>
        <w:tc>
          <w:tcPr>
            <w:tcW w:type="dxa" w:w="33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Automatización de altas/bajas/cambios</w:t>
            </w:r>
          </w:p>
        </w:tc>
        <w:tc>
          <w:tcPr>
            <w:tcW w:type="dxa" w:w="32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Entra ID Governance</w:t>
            </w:r>
          </w:p>
        </w:tc>
      </w:tr>
      <w:tr>
        <w:tc>
          <w:tcPr>
            <w:tcW w:type="dxa" w:w="28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Microsoft Intune</w:t>
            </w:r>
          </w:p>
        </w:tc>
        <w:tc>
          <w:tcPr>
            <w:tcW w:type="dxa" w:w="33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Gestión de dispositivos cloud-native</w:t>
            </w:r>
          </w:p>
        </w:tc>
        <w:tc>
          <w:tcPr>
            <w:tcW w:type="dxa" w:w="32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Microsoft 365 E3/E5 o Intune Plan 1</w:t>
            </w:r>
          </w:p>
        </w:tc>
      </w:tr>
      <w:tr>
        <w:tc>
          <w:tcPr>
            <w:tcW w:type="dxa" w:w="28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Multi-Factor Authentication</w:t>
            </w:r>
          </w:p>
        </w:tc>
        <w:tc>
          <w:tcPr>
            <w:tcW w:type="dxa" w:w="33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Segundo factor de autenticación</w:t>
            </w:r>
          </w:p>
        </w:tc>
        <w:tc>
          <w:tcPr>
            <w:tcW w:type="dxa" w:w="32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Incluido en Entra ID (Security Defaults o CA)</w:t>
            </w:r>
          </w:p>
        </w:tc>
      </w:tr>
      <w:tr>
        <w:tc>
          <w:tcPr>
            <w:tcW w:type="dxa" w:w="28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Self-Service Password Reset</w:t>
            </w:r>
          </w:p>
        </w:tc>
        <w:tc>
          <w:tcPr>
            <w:tcW w:type="dxa" w:w="33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Autogestión de contraseñas</w:t>
            </w:r>
          </w:p>
        </w:tc>
        <w:tc>
          <w:tcPr>
            <w:tcW w:type="dxa" w:w="32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Entra ID P1</w:t>
            </w:r>
          </w:p>
        </w:tc>
      </w:tr>
      <w:tr>
        <w:tc>
          <w:tcPr>
            <w:tcW w:type="dxa" w:w="28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Microsoft Entra PIM</w:t>
            </w:r>
          </w:p>
        </w:tc>
        <w:tc>
          <w:tcPr>
            <w:tcW w:type="dxa" w:w="33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Administración de acceso privilegiado Just-In-Time</w:t>
            </w:r>
          </w:p>
        </w:tc>
        <w:tc>
          <w:tcPr>
            <w:tcW w:type="dxa" w:w="32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Entra ID P2</w:t>
            </w:r>
          </w:p>
        </w:tc>
      </w:tr>
      <w:tr>
        <w:tc>
          <w:tcPr>
            <w:tcW w:type="dxa" w:w="28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Microsoft Purview (opcional)</w:t>
            </w:r>
          </w:p>
        </w:tc>
        <w:tc>
          <w:tcPr>
            <w:tcW w:type="dxa" w:w="33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Cumplimiento, DLP, retención</w:t>
            </w:r>
          </w:p>
        </w:tc>
        <w:tc>
          <w:tcPr>
            <w:tcW w:type="dxa" w:w="32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M365 E5 Compliance (opcional)</w:t>
            </w:r>
          </w:p>
        </w:tc>
      </w:tr>
      <w:tr>
        <w:tc>
          <w:tcPr>
            <w:tcW w:type="dxa" w:w="28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Azure Log Analytics / Sentinel (opcional)</w:t>
            </w:r>
          </w:p>
        </w:tc>
        <w:tc>
          <w:tcPr>
            <w:tcW w:type="dxa" w:w="33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Monitoreo y detección de anomalías de identidad</w:t>
            </w:r>
          </w:p>
        </w:tc>
        <w:tc>
          <w:tcPr>
            <w:tcW w:type="dxa" w:w="32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Consumo Azure (pago por uso)</w:t>
            </w:r>
          </w:p>
        </w:tc>
      </w:tr>
    </w:tbl>
    <w:p>
      <w:pPr>
        <w:spacing w:before="300"/>
      </w:pPr>
    </w:p>
    <w:p>
      <w:pPr>
        <w:pStyle w:val="Heading2"/>
        <w:spacing w:after="150" w:before="300"/>
      </w:pPr>
      <w:r>
        <w:rPr>
          <w:rFonts w:ascii="Calibri" w:cs="Calibri" w:eastAsia="Calibri" w:hAnsi="Calibri"/>
          <w:b/>
          <w:bCs/>
          <w:color w:val="2E74B5"/>
          <w:sz w:val="24"/>
          <w:szCs w:val="24"/>
        </w:rPr>
        <w:t xml:space="preserve">5.4 Diagrama de flujo (alto nivel)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200"/>
              <w:left w:type="dxa" w:w="200"/>
              <w:bottom w:type="dxa" w:w="200"/>
              <w:right w:type="dxa" w:w="200"/>
            </w:tcMar>
          </w:tcPr>
          <w:p>
            <w:pPr>
              <w:jc w:val="center"/>
            </w:pPr>
            <w:r>
              <w:rPr>
                <w:rFonts w:ascii="Calibri" w:cs="Calibri" w:eastAsia="Calibri" w:hAnsi="Calibri"/>
                <w:b/>
                <w:bCs/>
                <w:color w:val="C00000"/>
                <w:sz w:val="20"/>
                <w:szCs w:val="20"/>
              </w:rPr>
              <w:t xml:space="preserve">[ AD DS local — PERDIDO ]</w:t>
            </w:r>
          </w:p>
          <w:p>
            <w:pPr>
              <w:jc w:val="center"/>
            </w:pPr>
            <w:r>
              <w:rPr>
                <w:rFonts w:ascii="Calibri" w:cs="Calibri" w:eastAsia="Calibri" w:hAnsi="Calibri"/>
                <w:b w:val="false"/>
                <w:bCs w:val="false"/>
                <w:color w:val="000000"/>
                <w:sz w:val="18"/>
                <w:szCs w:val="18"/>
              </w:rPr>
              <w:t xml:space="preserve">↓  (sin sincronización — Entra Connect detenido)</w:t>
            </w:r>
          </w:p>
          <w:p>
            <w:pPr>
              <w:jc w:val="center"/>
            </w:pPr>
            <w:r>
              <w:rPr>
                <w:rFonts w:ascii="Calibri" w:cs="Calibri" w:eastAsia="Calibri" w:hAnsi="Calibri"/>
                <w:b/>
                <w:bCs/>
                <w:color w:val="BF8F00"/>
                <w:sz w:val="20"/>
                <w:szCs w:val="20"/>
              </w:rPr>
              <w:t xml:space="preserve">[ Microsoft Entra ID — objetos huérfanos DirSyncEnabled=true ]</w:t>
            </w:r>
          </w:p>
          <w:p>
            <w:pPr>
              <w:jc w:val="center"/>
            </w:pPr>
            <w:r>
              <w:rPr>
                <w:rFonts w:ascii="Calibri" w:cs="Calibri" w:eastAsia="Calibri" w:hAnsi="Calibri"/>
                <w:b w:val="false"/>
                <w:bCs w:val="false"/>
                <w:color w:val="000000"/>
                <w:sz w:val="18"/>
                <w:szCs w:val="18"/>
              </w:rPr>
              <w:t xml:space="preserve">↓  (Fase 3: conversión a cloud-managed)</w:t>
            </w:r>
          </w:p>
          <w:p>
            <w:pPr>
              <w:jc w:val="center"/>
            </w:pPr>
            <w:r>
              <w:rPr>
                <w:rFonts w:ascii="Calibri" w:cs="Calibri" w:eastAsia="Calibri" w:hAnsi="Calibri"/>
                <w:b/>
                <w:bCs/>
                <w:color w:val="375623"/>
                <w:sz w:val="20"/>
                <w:szCs w:val="20"/>
              </w:rPr>
              <w:t xml:space="preserve">[ Microsoft Entra ID — Cloud-Only, fuente única de autoridad ]</w:t>
            </w:r>
          </w:p>
          <w:p>
            <w:pPr>
              <w:jc w:val="center"/>
            </w:pPr>
            <w:r>
              <w:rPr>
                <w:rFonts w:ascii="Calibri" w:cs="Calibri" w:eastAsia="Calibri" w:hAnsi="Calibri"/>
                <w:b w:val="false"/>
                <w:bCs w:val="false"/>
                <w:color w:val="000000"/>
                <w:sz w:val="18"/>
                <w:szCs w:val="18"/>
              </w:rPr>
              <w:t xml:space="preserve">↓</w:t>
            </w:r>
          </w:p>
          <w:p>
            <w:pPr>
              <w:jc w:val="center"/>
            </w:pPr>
            <w:r>
              <w:rPr>
                <w:rFonts w:ascii="Calibri" w:cs="Calibri" w:eastAsia="Calibri" w:hAnsi="Calibri"/>
                <w:b w:val="false"/>
                <w:bCs w:val="false"/>
                <w:color w:val="000000"/>
                <w:sz w:val="19"/>
                <w:szCs w:val="19"/>
              </w:rPr>
              <w:t xml:space="preserve">Exchange Online   |   SharePoint Online   |   Teams   |   Intune   |   PIM / Conditional Access</w:t>
            </w:r>
          </w:p>
        </w:tc>
      </w:tr>
    </w:tbl>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6. Alcance del Proyecto</w:t>
      </w:r>
    </w:p>
    <w:p>
      <w:pPr>
        <w:pStyle w:val="Heading2"/>
        <w:spacing w:after="150" w:before="300"/>
      </w:pPr>
      <w:r>
        <w:rPr>
          <w:rFonts w:ascii="Calibri" w:cs="Calibri" w:eastAsia="Calibri" w:hAnsi="Calibri"/>
          <w:b/>
          <w:bCs/>
          <w:color w:val="2E74B5"/>
          <w:sz w:val="24"/>
          <w:szCs w:val="24"/>
        </w:rPr>
        <w:t xml:space="preserve">6.1 Incluye</w:t>
      </w:r>
    </w:p>
    <w:p>
      <w:pPr>
        <w:pStyle w:val="ListParagraph"/>
        <w:numPr>
          <w:ilvl w:val="0"/>
          <w:numId w:val="2"/>
        </w:numPr>
        <w:spacing w:after="90"/>
      </w:pPr>
      <w:r>
        <w:rPr>
          <w:rFonts w:ascii="Calibri" w:cs="Calibri" w:eastAsia="Calibri" w:hAnsi="Calibri"/>
          <w:b w:val="false"/>
          <w:bCs w:val="false"/>
          <w:sz w:val="21"/>
          <w:szCs w:val="21"/>
        </w:rPr>
        <w:t xml:space="preserve">Diagnóstico completo del tenant de Microsoft Entra ID: inventario de objetos sincronizados, atributos onPremises*, grupos y membresías afectadas.</w:t>
      </w:r>
    </w:p>
    <w:p>
      <w:pPr>
        <w:pStyle w:val="ListParagraph"/>
        <w:numPr>
          <w:ilvl w:val="0"/>
          <w:numId w:val="2"/>
        </w:numPr>
        <w:spacing w:after="90"/>
      </w:pPr>
      <w:r>
        <w:rPr>
          <w:rFonts w:ascii="Calibri" w:cs="Calibri" w:eastAsia="Calibri" w:hAnsi="Calibri"/>
          <w:b w:val="false"/>
          <w:bCs w:val="false"/>
          <w:sz w:val="21"/>
          <w:szCs w:val="21"/>
        </w:rPr>
        <w:t xml:space="preserve">Exportación y respaldo de todos los objetos y atributos antes de cualquier cambio.</w:t>
      </w:r>
    </w:p>
    <w:p>
      <w:pPr>
        <w:pStyle w:val="ListParagraph"/>
        <w:numPr>
          <w:ilvl w:val="0"/>
          <w:numId w:val="2"/>
        </w:numPr>
        <w:spacing w:after="90"/>
      </w:pPr>
      <w:r>
        <w:rPr>
          <w:rFonts w:ascii="Calibri" w:cs="Calibri" w:eastAsia="Calibri" w:hAnsi="Calibri"/>
          <w:b w:val="false"/>
          <w:bCs w:val="false"/>
          <w:sz w:val="21"/>
          <w:szCs w:val="21"/>
        </w:rPr>
        <w:t xml:space="preserve">Definición conjunta con el cliente de la estrategia de identidad objetivo (taller de decisión Cloud-Only vs. Híbrido).</w:t>
      </w:r>
    </w:p>
    <w:p>
      <w:pPr>
        <w:pStyle w:val="ListParagraph"/>
        <w:numPr>
          <w:ilvl w:val="0"/>
          <w:numId w:val="2"/>
        </w:numPr>
        <w:spacing w:after="90"/>
      </w:pPr>
      <w:r>
        <w:rPr>
          <w:rFonts w:ascii="Calibri" w:cs="Calibri" w:eastAsia="Calibri" w:hAnsi="Calibri"/>
          <w:b w:val="false"/>
          <w:bCs w:val="false"/>
          <w:sz w:val="21"/>
          <w:szCs w:val="21"/>
        </w:rPr>
        <w:t xml:space="preserve">Ejecución de la conversión de objetos de "synced" a "cloud-managed" (Opción A) o el proceso de hard match (si se opta por Opción B, cotizado por separado — ver 6.3).</w:t>
      </w:r>
    </w:p>
    <w:p>
      <w:pPr>
        <w:pStyle w:val="ListParagraph"/>
        <w:numPr>
          <w:ilvl w:val="0"/>
          <w:numId w:val="2"/>
        </w:numPr>
        <w:spacing w:after="90"/>
      </w:pPr>
      <w:r>
        <w:rPr>
          <w:rFonts w:ascii="Calibri" w:cs="Calibri" w:eastAsia="Calibri" w:hAnsi="Calibri"/>
          <w:b w:val="false"/>
          <w:bCs w:val="false"/>
          <w:sz w:val="21"/>
          <w:szCs w:val="21"/>
        </w:rPr>
        <w:t xml:space="preserve">Remediación de atributos críticos (UPN, nombres, managers, membresías rotas).</w:t>
      </w:r>
    </w:p>
    <w:p>
      <w:pPr>
        <w:pStyle w:val="ListParagraph"/>
        <w:numPr>
          <w:ilvl w:val="0"/>
          <w:numId w:val="2"/>
        </w:numPr>
        <w:spacing w:after="90"/>
      </w:pPr>
      <w:r>
        <w:rPr>
          <w:rFonts w:ascii="Calibri" w:cs="Calibri" w:eastAsia="Calibri" w:hAnsi="Calibri"/>
          <w:b w:val="false"/>
          <w:bCs w:val="false"/>
          <w:sz w:val="21"/>
          <w:szCs w:val="21"/>
        </w:rPr>
        <w:t xml:space="preserve">Configuración/validación de políticas de seguridad de identidad: MFA, Conditional Access básico, revisión de roles con privilegios.</w:t>
      </w:r>
    </w:p>
    <w:p>
      <w:pPr>
        <w:pStyle w:val="ListParagraph"/>
        <w:numPr>
          <w:ilvl w:val="0"/>
          <w:numId w:val="2"/>
        </w:numPr>
        <w:spacing w:after="90"/>
      </w:pPr>
      <w:r>
        <w:rPr>
          <w:rFonts w:ascii="Calibri" w:cs="Calibri" w:eastAsia="Calibri" w:hAnsi="Calibri"/>
          <w:b w:val="false"/>
          <w:bCs w:val="false"/>
          <w:sz w:val="21"/>
          <w:szCs w:val="21"/>
        </w:rPr>
        <w:t xml:space="preserve">Restablecimiento del proceso estándar de altas, bajas y cambios (ABC) de usuarios.</w:t>
      </w:r>
    </w:p>
    <w:p>
      <w:pPr>
        <w:pStyle w:val="ListParagraph"/>
        <w:numPr>
          <w:ilvl w:val="0"/>
          <w:numId w:val="2"/>
        </w:numPr>
        <w:spacing w:after="90"/>
      </w:pPr>
      <w:r>
        <w:rPr>
          <w:rFonts w:ascii="Calibri" w:cs="Calibri" w:eastAsia="Calibri" w:hAnsi="Calibri"/>
          <w:b w:val="false"/>
          <w:bCs w:val="false"/>
          <w:sz w:val="21"/>
          <w:szCs w:val="21"/>
        </w:rPr>
        <w:t xml:space="preserve">Pruebas funcionales de acceso a Exchange Online, SharePoint Online y Teams posteriores al corte.</w:t>
      </w:r>
    </w:p>
    <w:p>
      <w:pPr>
        <w:pStyle w:val="ListParagraph"/>
        <w:numPr>
          <w:ilvl w:val="0"/>
          <w:numId w:val="2"/>
        </w:numPr>
        <w:spacing w:after="90"/>
      </w:pPr>
      <w:r>
        <w:rPr>
          <w:rFonts w:ascii="Calibri" w:cs="Calibri" w:eastAsia="Calibri" w:hAnsi="Calibri"/>
          <w:b w:val="false"/>
          <w:bCs w:val="false"/>
          <w:sz w:val="21"/>
          <w:szCs w:val="21"/>
        </w:rPr>
        <w:t xml:space="preserve">Documentación operativa (runbook) y sesión de transferencia de conocimiento (KT) al equipo de IT del cliente.</w:t>
      </w:r>
    </w:p>
    <w:p>
      <w:pPr>
        <w:pStyle w:val="ListParagraph"/>
        <w:numPr>
          <w:ilvl w:val="0"/>
          <w:numId w:val="2"/>
        </w:numPr>
        <w:spacing w:after="90"/>
      </w:pPr>
      <w:r>
        <w:rPr>
          <w:rFonts w:ascii="Calibri" w:cs="Calibri" w:eastAsia="Calibri" w:hAnsi="Calibri"/>
          <w:b w:val="false"/>
          <w:bCs w:val="false"/>
          <w:sz w:val="21"/>
          <w:szCs w:val="21"/>
        </w:rPr>
        <w:t xml:space="preserve">Acompañamiento en hipercuidado (hypercare) durante 2 semanas posteriores al corte.</w:t>
      </w:r>
    </w:p>
    <w:p>
      <w:pPr>
        <w:pStyle w:val="Heading2"/>
        <w:spacing w:after="150" w:before="300"/>
      </w:pPr>
      <w:r>
        <w:rPr>
          <w:rFonts w:ascii="Calibri" w:cs="Calibri" w:eastAsia="Calibri" w:hAnsi="Calibri"/>
          <w:b/>
          <w:bCs/>
          <w:color w:val="2E74B5"/>
          <w:sz w:val="24"/>
          <w:szCs w:val="24"/>
        </w:rPr>
        <w:t xml:space="preserve">6.2 No incluye (ver también sección 7 — Fuera de Alcance)</w:t>
      </w:r>
    </w:p>
    <w:p>
      <w:pPr>
        <w:pStyle w:val="ListParagraph"/>
        <w:numPr>
          <w:ilvl w:val="0"/>
          <w:numId w:val="2"/>
        </w:numPr>
        <w:spacing w:after="90"/>
      </w:pPr>
      <w:r>
        <w:rPr>
          <w:rFonts w:ascii="Calibri" w:cs="Calibri" w:eastAsia="Calibri" w:hAnsi="Calibri"/>
          <w:b w:val="false"/>
          <w:bCs w:val="false"/>
          <w:sz w:val="21"/>
          <w:szCs w:val="21"/>
        </w:rPr>
        <w:t xml:space="preserve">Migración de datos de correo, OneDrive o SharePoint (no aplica; no se ven afectados por este proyecto).</w:t>
      </w:r>
    </w:p>
    <w:p>
      <w:pPr>
        <w:pStyle w:val="ListParagraph"/>
        <w:numPr>
          <w:ilvl w:val="0"/>
          <w:numId w:val="2"/>
        </w:numPr>
        <w:spacing w:after="90"/>
      </w:pPr>
      <w:r>
        <w:rPr>
          <w:rFonts w:ascii="Calibri" w:cs="Calibri" w:eastAsia="Calibri" w:hAnsi="Calibri"/>
          <w:b w:val="false"/>
          <w:bCs w:val="false"/>
          <w:sz w:val="21"/>
          <w:szCs w:val="21"/>
        </w:rPr>
        <w:t xml:space="preserve">Desarrollo de integraciones personalizadas con sistemas de RH distintos a los ya usados por el cliente, salvo que se defina como entregable adicional.</w:t>
      </w:r>
    </w:p>
    <w:p>
      <w:pPr>
        <w:pStyle w:val="Heading2"/>
        <w:spacing w:after="150" w:before="300"/>
      </w:pPr>
      <w:r>
        <w:rPr>
          <w:rFonts w:ascii="Calibri" w:cs="Calibri" w:eastAsia="Calibri" w:hAnsi="Calibri"/>
          <w:b/>
          <w:bCs/>
          <w:color w:val="2E74B5"/>
          <w:sz w:val="24"/>
          <w:szCs w:val="24"/>
        </w:rPr>
        <w:t xml:space="preserve">6.3 Alcance condicional — Opción B (si el cliente la selecciona)</w:t>
      </w:r>
    </w:p>
    <w:p>
      <w:pPr>
        <w:pStyle w:val="ListParagraph"/>
        <w:numPr>
          <w:ilvl w:val="0"/>
          <w:numId w:val="2"/>
        </w:numPr>
        <w:spacing w:after="90"/>
      </w:pPr>
      <w:r>
        <w:rPr>
          <w:rFonts w:ascii="Calibri" w:cs="Calibri" w:eastAsia="Calibri" w:hAnsi="Calibri"/>
          <w:b w:val="false"/>
          <w:bCs w:val="false"/>
          <w:sz w:val="21"/>
          <w:szCs w:val="21"/>
        </w:rPr>
        <w:t xml:space="preserve">Diseño y construcción de nuevo bosque/dominio de Active Directory (hasta 2 controladores de dominio, físicos o virtuales).</w:t>
      </w:r>
    </w:p>
    <w:p>
      <w:pPr>
        <w:pStyle w:val="ListParagraph"/>
        <w:numPr>
          <w:ilvl w:val="0"/>
          <w:numId w:val="2"/>
        </w:numPr>
        <w:spacing w:after="90"/>
      </w:pPr>
      <w:r>
        <w:rPr>
          <w:rFonts w:ascii="Calibri" w:cs="Calibri" w:eastAsia="Calibri" w:hAnsi="Calibri"/>
          <w:b w:val="false"/>
          <w:bCs w:val="false"/>
          <w:sz w:val="21"/>
          <w:szCs w:val="21"/>
        </w:rPr>
        <w:t xml:space="preserve">Definición de estructura de OUs, GPOs base (contraseñas, bloqueo de cuentas, seguridad) — sin migrar GPOs legacy no documentadas.</w:t>
      </w:r>
    </w:p>
    <w:p>
      <w:pPr>
        <w:pStyle w:val="ListParagraph"/>
        <w:numPr>
          <w:ilvl w:val="0"/>
          <w:numId w:val="2"/>
        </w:numPr>
        <w:spacing w:after="90"/>
      </w:pPr>
      <w:r>
        <w:rPr>
          <w:rFonts w:ascii="Calibri" w:cs="Calibri" w:eastAsia="Calibri" w:hAnsi="Calibri"/>
          <w:b w:val="false"/>
          <w:bCs w:val="false"/>
          <w:sz w:val="21"/>
          <w:szCs w:val="21"/>
        </w:rPr>
        <w:t xml:space="preserve">Reinstalación y configuración de Microsoft Entra Connect con Staged Rollout.</w:t>
      </w:r>
    </w:p>
    <w:p>
      <w:pPr>
        <w:pStyle w:val="ListParagraph"/>
        <w:numPr>
          <w:ilvl w:val="0"/>
          <w:numId w:val="2"/>
        </w:numPr>
        <w:spacing w:after="90"/>
      </w:pPr>
      <w:r>
        <w:rPr>
          <w:rFonts w:ascii="Calibri" w:cs="Calibri" w:eastAsia="Calibri" w:hAnsi="Calibri"/>
          <w:b w:val="false"/>
          <w:bCs w:val="false"/>
          <w:sz w:val="21"/>
          <w:szCs w:val="21"/>
        </w:rPr>
        <w:t xml:space="preserve">Ejecución de hard match vía ms-DS-ConsistencyGuid para 100% de los objetos identificados en el inventario de Fase 0.</w:t>
      </w:r>
    </w:p>
    <w:p>
      <w:pPr>
        <w:pStyle w:val="ListParagraph"/>
        <w:numPr>
          <w:ilvl w:val="0"/>
          <w:numId w:val="2"/>
        </w:numPr>
        <w:spacing w:after="90"/>
      </w:pPr>
      <w:r>
        <w:rPr>
          <w:rFonts w:ascii="Calibri" w:cs="Calibri" w:eastAsia="Calibri" w:hAnsi="Calibri"/>
          <w:b w:val="false"/>
          <w:bCs w:val="false"/>
          <w:sz w:val="21"/>
          <w:szCs w:val="21"/>
        </w:rPr>
        <w:t xml:space="preserve">Re-unión al dominio (rejoin) de estaciones de trabajo — cotizado por dispositivo según cantidad final a confirmar con el cliente.</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7. Fuera de Alcance</w:t>
      </w:r>
    </w:p>
    <w:p>
      <w:pPr>
        <w:pStyle w:val="ListParagraph"/>
        <w:numPr>
          <w:ilvl w:val="0"/>
          <w:numId w:val="2"/>
        </w:numPr>
        <w:spacing w:after="90"/>
      </w:pPr>
      <w:r>
        <w:rPr>
          <w:rFonts w:ascii="Calibri" w:cs="Calibri" w:eastAsia="Calibri" w:hAnsi="Calibri"/>
          <w:b w:val="false"/>
          <w:bCs w:val="false"/>
          <w:sz w:val="21"/>
          <w:szCs w:val="21"/>
        </w:rPr>
        <w:t xml:space="preserve">Recuperación forense o intento de restauración del dominio de Active Directory original perdido (se asume no recuperable; si el cliente cuenta con algún respaldo de System State o backup de DCs no mencionado, debe informarlo antes del inicio para su evaluación).</w:t>
      </w:r>
    </w:p>
    <w:p>
      <w:pPr>
        <w:pStyle w:val="ListParagraph"/>
        <w:numPr>
          <w:ilvl w:val="0"/>
          <w:numId w:val="2"/>
        </w:numPr>
        <w:spacing w:after="90"/>
      </w:pPr>
      <w:r>
        <w:rPr>
          <w:rFonts w:ascii="Calibri" w:cs="Calibri" w:eastAsia="Calibri" w:hAnsi="Calibri"/>
          <w:b w:val="false"/>
          <w:bCs w:val="false"/>
          <w:sz w:val="21"/>
          <w:szCs w:val="21"/>
        </w:rPr>
        <w:t xml:space="preserve">Migración o remediación de servidores de aplicaciones, bases de datos, ERP/CRM locales, salvo su inventario a nivel de dependencia de autenticación.</w:t>
      </w:r>
    </w:p>
    <w:p>
      <w:pPr>
        <w:pStyle w:val="ListParagraph"/>
        <w:numPr>
          <w:ilvl w:val="0"/>
          <w:numId w:val="2"/>
        </w:numPr>
        <w:spacing w:after="90"/>
      </w:pPr>
      <w:r>
        <w:rPr>
          <w:rFonts w:ascii="Calibri" w:cs="Calibri" w:eastAsia="Calibri" w:hAnsi="Calibri"/>
          <w:b w:val="false"/>
          <w:bCs w:val="false"/>
          <w:sz w:val="21"/>
          <w:szCs w:val="21"/>
        </w:rPr>
        <w:t xml:space="preserve">Adquisición de hardware nuevo (servidores físicos), en caso de seleccionarse la Opción B.</w:t>
      </w:r>
    </w:p>
    <w:p>
      <w:pPr>
        <w:pStyle w:val="ListParagraph"/>
        <w:numPr>
          <w:ilvl w:val="0"/>
          <w:numId w:val="2"/>
        </w:numPr>
        <w:spacing w:after="90"/>
      </w:pPr>
      <w:r>
        <w:rPr>
          <w:rFonts w:ascii="Calibri" w:cs="Calibri" w:eastAsia="Calibri" w:hAnsi="Calibri"/>
          <w:b w:val="false"/>
          <w:bCs w:val="false"/>
          <w:sz w:val="21"/>
          <w:szCs w:val="21"/>
        </w:rPr>
        <w:t xml:space="preserve">Renovación, compra o gestión de licenciamiento (se asesorará y dimensionará, pero la adquisición corre por cuenta del cliente o su proveedor de licenciamiento — ver sección 12).</w:t>
      </w:r>
    </w:p>
    <w:p>
      <w:pPr>
        <w:pStyle w:val="ListParagraph"/>
        <w:numPr>
          <w:ilvl w:val="0"/>
          <w:numId w:val="2"/>
        </w:numPr>
        <w:spacing w:after="90"/>
      </w:pPr>
      <w:r>
        <w:rPr>
          <w:rFonts w:ascii="Calibri" w:cs="Calibri" w:eastAsia="Calibri" w:hAnsi="Calibri"/>
          <w:b w:val="false"/>
          <w:bCs w:val="false"/>
          <w:sz w:val="21"/>
          <w:szCs w:val="21"/>
        </w:rPr>
        <w:t xml:space="preserve">Soporte técnico continuo posterior al periodo de hipercuidado (disponible bajo un contrato de soporte administrado, cotizado por separado).</w:t>
      </w:r>
    </w:p>
    <w:p>
      <w:pPr>
        <w:pStyle w:val="ListParagraph"/>
        <w:numPr>
          <w:ilvl w:val="0"/>
          <w:numId w:val="2"/>
        </w:numPr>
        <w:spacing w:after="90"/>
      </w:pPr>
      <w:r>
        <w:rPr>
          <w:rFonts w:ascii="Calibri" w:cs="Calibri" w:eastAsia="Calibri" w:hAnsi="Calibri"/>
          <w:b w:val="false"/>
          <w:bCs w:val="false"/>
          <w:sz w:val="21"/>
          <w:szCs w:val="21"/>
        </w:rPr>
        <w:t xml:space="preserve">Capacitación end-user extensa más allá de comunicados y una guía rápida de referencia.</w:t>
      </w:r>
    </w:p>
    <w:p>
      <w:pPr>
        <w:pStyle w:val="ListParagraph"/>
        <w:numPr>
          <w:ilvl w:val="0"/>
          <w:numId w:val="2"/>
        </w:numPr>
        <w:spacing w:after="90"/>
      </w:pPr>
      <w:r>
        <w:rPr>
          <w:rFonts w:ascii="Calibri" w:cs="Calibri" w:eastAsia="Calibri" w:hAnsi="Calibri"/>
          <w:b w:val="false"/>
          <w:bCs w:val="false"/>
          <w:sz w:val="21"/>
          <w:szCs w:val="21"/>
        </w:rPr>
        <w:t xml:space="preserve">Remediación de vulnerabilidades de seguridad no relacionadas con identidad (por ejemplo, endpoint security, firewall, redes).</w:t>
      </w:r>
    </w:p>
    <w:p>
      <w:pPr>
        <w:pStyle w:val="ListParagraph"/>
        <w:numPr>
          <w:ilvl w:val="0"/>
          <w:numId w:val="2"/>
        </w:numPr>
        <w:spacing w:after="90"/>
      </w:pPr>
      <w:r>
        <w:rPr>
          <w:rFonts w:ascii="Calibri" w:cs="Calibri" w:eastAsia="Calibri" w:hAnsi="Calibri"/>
          <w:b w:val="false"/>
          <w:bCs w:val="false"/>
          <w:sz w:val="21"/>
          <w:szCs w:val="21"/>
        </w:rPr>
        <w:t xml:space="preserve">Migración de un proveedor de nube distinto o de otro tenant de Microsoft 365 (fuera de alcance total).</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8. Requerimientos Técnicos y Humanos</w:t>
      </w:r>
    </w:p>
    <w:p>
      <w:pPr>
        <w:pStyle w:val="Heading2"/>
        <w:spacing w:after="150" w:before="300"/>
      </w:pPr>
      <w:r>
        <w:rPr>
          <w:rFonts w:ascii="Calibri" w:cs="Calibri" w:eastAsia="Calibri" w:hAnsi="Calibri"/>
          <w:b/>
          <w:bCs/>
          <w:color w:val="2E74B5"/>
          <w:sz w:val="24"/>
          <w:szCs w:val="24"/>
        </w:rPr>
        <w:t xml:space="preserve">8.1 Requerimientos técnicos (a proveer por el cliente)</w:t>
      </w:r>
    </w:p>
    <w:p>
      <w:pPr>
        <w:pStyle w:val="ListParagraph"/>
        <w:numPr>
          <w:ilvl w:val="0"/>
          <w:numId w:val="2"/>
        </w:numPr>
        <w:spacing w:after="90"/>
      </w:pPr>
      <w:r>
        <w:rPr>
          <w:rFonts w:ascii="Calibri" w:cs="Calibri" w:eastAsia="Calibri" w:hAnsi="Calibri"/>
          <w:b w:val="false"/>
          <w:bCs w:val="false"/>
          <w:sz w:val="21"/>
          <w:szCs w:val="21"/>
        </w:rPr>
        <w:t xml:space="preserve">Acceso a una cuenta con rol de Administrador Global (Global Administrator) en el tenant de Microsoft Entra ID / Microsoft 365.</w:t>
      </w:r>
    </w:p>
    <w:p>
      <w:pPr>
        <w:pStyle w:val="ListParagraph"/>
        <w:numPr>
          <w:ilvl w:val="0"/>
          <w:numId w:val="2"/>
        </w:numPr>
        <w:spacing w:after="90"/>
      </w:pPr>
      <w:r>
        <w:rPr>
          <w:rFonts w:ascii="Calibri" w:cs="Calibri" w:eastAsia="Calibri" w:hAnsi="Calibri"/>
          <w:b w:val="false"/>
          <w:bCs w:val="false"/>
          <w:sz w:val="21"/>
          <w:szCs w:val="21"/>
        </w:rPr>
        <w:t xml:space="preserve">Acceso a la consola del servidor donde estuvo instalado Microsoft Entra Connect (si existe, para revisión histórica de configuración) — opcional, no bloqueante.</w:t>
      </w:r>
    </w:p>
    <w:p>
      <w:pPr>
        <w:pStyle w:val="ListParagraph"/>
        <w:numPr>
          <w:ilvl w:val="0"/>
          <w:numId w:val="2"/>
        </w:numPr>
        <w:spacing w:after="90"/>
      </w:pPr>
      <w:r>
        <w:rPr>
          <w:rFonts w:ascii="Calibri" w:cs="Calibri" w:eastAsia="Calibri" w:hAnsi="Calibri"/>
          <w:b w:val="false"/>
          <w:bCs w:val="false"/>
          <w:sz w:val="21"/>
          <w:szCs w:val="21"/>
        </w:rPr>
        <w:t xml:space="preserve">Inventario actualizado (o acceso para generarlo) de estaciones de trabajo y servidores, indicando cuáles dependen de autenticación Kerberos/NTLM local.</w:t>
      </w:r>
    </w:p>
    <w:p>
      <w:pPr>
        <w:pStyle w:val="ListParagraph"/>
        <w:numPr>
          <w:ilvl w:val="0"/>
          <w:numId w:val="2"/>
        </w:numPr>
        <w:spacing w:after="90"/>
      </w:pPr>
      <w:r>
        <w:rPr>
          <w:rFonts w:ascii="Calibri" w:cs="Calibri" w:eastAsia="Calibri" w:hAnsi="Calibri"/>
          <w:b w:val="false"/>
          <w:bCs w:val="false"/>
          <w:sz w:val="21"/>
          <w:szCs w:val="21"/>
        </w:rPr>
        <w:t xml:space="preserve">Ambiente de pruebas o grupo piloto de usuarios (5–10 personas) para validar el proceso antes del corte general.</w:t>
      </w:r>
    </w:p>
    <w:p>
      <w:pPr>
        <w:pStyle w:val="ListParagraph"/>
        <w:numPr>
          <w:ilvl w:val="0"/>
          <w:numId w:val="2"/>
        </w:numPr>
        <w:spacing w:after="90"/>
      </w:pPr>
      <w:r>
        <w:rPr>
          <w:rFonts w:ascii="Calibri" w:cs="Calibri" w:eastAsia="Calibri" w:hAnsi="Calibri"/>
          <w:b w:val="false"/>
          <w:bCs w:val="false"/>
          <w:sz w:val="21"/>
          <w:szCs w:val="21"/>
        </w:rPr>
        <w:t xml:space="preserve">Conectividad y VPN (si aplica) para el equipo consultor, en caso de requerir acceso a componentes on-premises.</w:t>
      </w:r>
    </w:p>
    <w:p>
      <w:pPr>
        <w:pStyle w:val="ListParagraph"/>
        <w:numPr>
          <w:ilvl w:val="0"/>
          <w:numId w:val="2"/>
        </w:numPr>
        <w:spacing w:after="90"/>
      </w:pPr>
      <w:r>
        <w:rPr>
          <w:rFonts w:ascii="Calibri" w:cs="Calibri" w:eastAsia="Calibri" w:hAnsi="Calibri"/>
          <w:b w:val="false"/>
          <w:bCs w:val="false"/>
          <w:sz w:val="21"/>
          <w:szCs w:val="21"/>
        </w:rPr>
        <w:t xml:space="preserve">En caso de optar por la Opción B: infraestructura (física o virtual) disponible para desplegar los nuevos controladores de dominio.</w:t>
      </w:r>
    </w:p>
    <w:p>
      <w:pPr>
        <w:pStyle w:val="Heading2"/>
        <w:spacing w:after="150" w:before="300"/>
      </w:pPr>
      <w:r>
        <w:rPr>
          <w:rFonts w:ascii="Calibri" w:cs="Calibri" w:eastAsia="Calibri" w:hAnsi="Calibri"/>
          <w:b/>
          <w:bCs/>
          <w:color w:val="2E74B5"/>
          <w:sz w:val="24"/>
          <w:szCs w:val="24"/>
        </w:rPr>
        <w:t xml:space="preserve">8.2 Requerimientos humanos — Equipo del proveedor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50"/>
      </w:tblGrid>
      <w:tr>
        <w:tc>
          <w:tcPr>
            <w:tcW w:type="dxa" w:w="340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Rol</w:t>
            </w:r>
          </w:p>
        </w:tc>
        <w:tc>
          <w:tcPr>
            <w:tcW w:type="dxa" w:w="340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Responsabilidad</w:t>
            </w:r>
          </w:p>
        </w:tc>
        <w:tc>
          <w:tcPr>
            <w:tcW w:type="dxa" w:w="255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Dedicación</w:t>
            </w:r>
          </w:p>
        </w:tc>
      </w:tr>
      <w:tr>
        <w:tc>
          <w:tcPr>
            <w:tcW w:type="dxa" w:w="34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Arquitecto de Identidad (Lead)</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Diseño de solución, decisiones técnicas críticas, validación del corte</w:t>
            </w:r>
          </w:p>
        </w:tc>
        <w:tc>
          <w:tcPr>
            <w:tcW w:type="dxa" w:w="25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Parcial — todo el proyecto</w:t>
            </w:r>
          </w:p>
        </w:tc>
      </w:tr>
      <w:tr>
        <w:tc>
          <w:tcPr>
            <w:tcW w:type="dxa" w:w="34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Ingeniero de Microsoft 365 / Entra ID</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Ejecución técnica: scripts, conversión, remediación de atributos</w:t>
            </w:r>
          </w:p>
        </w:tc>
        <w:tc>
          <w:tcPr>
            <w:tcW w:type="dxa" w:w="25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Tiempo completo — fases 2 a 6</w:t>
            </w:r>
          </w:p>
        </w:tc>
      </w:tr>
      <w:tr>
        <w:tc>
          <w:tcPr>
            <w:tcW w:type="dxa" w:w="34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Especialista en seguridad de identidad</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Configuración de MFA, Conditional Access, PIM</w:t>
            </w:r>
          </w:p>
        </w:tc>
        <w:tc>
          <w:tcPr>
            <w:tcW w:type="dxa" w:w="25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Parcial — fases 5 y 6</w:t>
            </w:r>
          </w:p>
        </w:tc>
      </w:tr>
      <w:tr>
        <w:tc>
          <w:tcPr>
            <w:tcW w:type="dxa" w:w="34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Gerente de Proyecto (PM)</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Coordinación, seguimiento, comunicación con el cliente</w:t>
            </w:r>
          </w:p>
        </w:tc>
        <w:tc>
          <w:tcPr>
            <w:tcW w:type="dxa" w:w="25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Parcial — todo el proyecto</w:t>
            </w:r>
          </w:p>
        </w:tc>
      </w:tr>
      <w:tr>
        <w:tc>
          <w:tcPr>
            <w:tcW w:type="dxa" w:w="34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Ingeniero de Active Directory (solo si Opción B)</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Diseño y construcción del nuevo bosque AD, GPOs, hard match</w:t>
            </w:r>
          </w:p>
        </w:tc>
        <w:tc>
          <w:tcPr>
            <w:tcW w:type="dxa" w:w="25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Tiempo completo — fases 2 a 5 (Opción B)</w:t>
            </w:r>
          </w:p>
        </w:tc>
      </w:tr>
    </w:tbl>
    <w:p>
      <w:pPr>
        <w:spacing w:before="300"/>
      </w:pPr>
    </w:p>
    <w:p>
      <w:pPr>
        <w:pStyle w:val="Heading2"/>
        <w:spacing w:after="150" w:before="300"/>
      </w:pPr>
      <w:r>
        <w:rPr>
          <w:rFonts w:ascii="Calibri" w:cs="Calibri" w:eastAsia="Calibri" w:hAnsi="Calibri"/>
          <w:b/>
          <w:bCs/>
          <w:color w:val="2E74B5"/>
          <w:sz w:val="24"/>
          <w:szCs w:val="24"/>
        </w:rPr>
        <w:t xml:space="preserve">8.3 Requerimientos humanos — Equipo del cliente</w:t>
      </w:r>
    </w:p>
    <w:p>
      <w:pPr>
        <w:pStyle w:val="ListParagraph"/>
        <w:numPr>
          <w:ilvl w:val="0"/>
          <w:numId w:val="2"/>
        </w:numPr>
        <w:spacing w:after="90"/>
      </w:pPr>
      <w:r>
        <w:rPr>
          <w:rFonts w:ascii="Calibri" w:cs="Calibri" w:eastAsia="Calibri" w:hAnsi="Calibri"/>
          <w:b w:val="false"/>
          <w:bCs w:val="false"/>
          <w:sz w:val="21"/>
          <w:szCs w:val="21"/>
        </w:rPr>
        <w:t xml:space="preserve">Sponsor ejecutivo con autoridad para aprobar la ventana de corte y decisiones de identidad.</w:t>
      </w:r>
    </w:p>
    <w:p>
      <w:pPr>
        <w:pStyle w:val="ListParagraph"/>
        <w:numPr>
          <w:ilvl w:val="0"/>
          <w:numId w:val="2"/>
        </w:numPr>
        <w:spacing w:after="90"/>
      </w:pPr>
      <w:r>
        <w:rPr>
          <w:rFonts w:ascii="Calibri" w:cs="Calibri" w:eastAsia="Calibri" w:hAnsi="Calibri"/>
          <w:b w:val="false"/>
          <w:bCs w:val="false"/>
          <w:sz w:val="21"/>
          <w:szCs w:val="21"/>
        </w:rPr>
        <w:t xml:space="preserve">Responsable de IT / Administrador de sistemas, disponible durante las ventanas de trabajo (incluyendo posible fuera de horario laboral).</w:t>
      </w:r>
    </w:p>
    <w:p>
      <w:pPr>
        <w:pStyle w:val="ListParagraph"/>
        <w:numPr>
          <w:ilvl w:val="0"/>
          <w:numId w:val="2"/>
        </w:numPr>
        <w:spacing w:after="90"/>
      </w:pPr>
      <w:r>
        <w:rPr>
          <w:rFonts w:ascii="Calibri" w:cs="Calibri" w:eastAsia="Calibri" w:hAnsi="Calibri"/>
          <w:b w:val="false"/>
          <w:bCs w:val="false"/>
          <w:sz w:val="21"/>
          <w:szCs w:val="21"/>
        </w:rPr>
        <w:t xml:space="preserve">Responsable de Recursos Humanos, para validar el proceso de altas/bajas objetivo (ABC).</w:t>
      </w:r>
    </w:p>
    <w:p>
      <w:pPr>
        <w:pStyle w:val="ListParagraph"/>
        <w:numPr>
          <w:ilvl w:val="0"/>
          <w:numId w:val="2"/>
        </w:numPr>
        <w:spacing w:after="90"/>
      </w:pPr>
      <w:r>
        <w:rPr>
          <w:rFonts w:ascii="Calibri" w:cs="Calibri" w:eastAsia="Calibri" w:hAnsi="Calibri"/>
          <w:b w:val="false"/>
          <w:bCs w:val="false"/>
          <w:sz w:val="21"/>
          <w:szCs w:val="21"/>
        </w:rPr>
        <w:t xml:space="preserve">Usuarios piloto disponibles para pruebas de aceptación (UAT) antes del corte masivo.</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9. Supuestos</w:t>
      </w:r>
    </w:p>
    <w:p>
      <w:pPr>
        <w:pStyle w:val="ListParagraph"/>
        <w:numPr>
          <w:ilvl w:val="0"/>
          <w:numId w:val="2"/>
        </w:numPr>
        <w:spacing w:after="90"/>
      </w:pPr>
      <w:r>
        <w:rPr>
          <w:rFonts w:ascii="Calibri" w:cs="Calibri" w:eastAsia="Calibri" w:hAnsi="Calibri"/>
          <w:b w:val="false"/>
          <w:bCs w:val="false"/>
          <w:sz w:val="21"/>
          <w:szCs w:val="21"/>
        </w:rPr>
        <w:t xml:space="preserve">El tenant de Microsoft 365 / Entra ID se encuentra activo, con licenciamiento vigente y sin suspensiones por falta de pago.</w:t>
      </w:r>
    </w:p>
    <w:p>
      <w:pPr>
        <w:pStyle w:val="ListParagraph"/>
        <w:numPr>
          <w:ilvl w:val="0"/>
          <w:numId w:val="2"/>
        </w:numPr>
        <w:spacing w:after="90"/>
      </w:pPr>
      <w:r>
        <w:rPr>
          <w:rFonts w:ascii="Calibri" w:cs="Calibri" w:eastAsia="Calibri" w:hAnsi="Calibri"/>
          <w:b w:val="false"/>
          <w:bCs w:val="false"/>
          <w:sz w:val="21"/>
          <w:szCs w:val="21"/>
        </w:rPr>
        <w:t xml:space="preserve">No existe un respaldo recuperable (System State / backup de controlador de dominio) del bosque AD perdido; de existir, deberá informarse antes del inicio, ya que podría cambiar la ruta recomendada.</w:t>
      </w:r>
    </w:p>
    <w:p>
      <w:pPr>
        <w:pStyle w:val="ListParagraph"/>
        <w:numPr>
          <w:ilvl w:val="0"/>
          <w:numId w:val="2"/>
        </w:numPr>
        <w:spacing w:after="90"/>
      </w:pPr>
      <w:r>
        <w:rPr>
          <w:rFonts w:ascii="Calibri" w:cs="Calibri" w:eastAsia="Calibri" w:hAnsi="Calibri"/>
          <w:b w:val="false"/>
          <w:bCs w:val="false"/>
          <w:sz w:val="21"/>
          <w:szCs w:val="21"/>
        </w:rPr>
        <w:t xml:space="preserve">El cliente cuenta con al menos una cuenta de Administrador Global funcional y con MFA configurado para el proyecto.</w:t>
      </w:r>
    </w:p>
    <w:p>
      <w:pPr>
        <w:pStyle w:val="ListParagraph"/>
        <w:numPr>
          <w:ilvl w:val="0"/>
          <w:numId w:val="2"/>
        </w:numPr>
        <w:spacing w:after="90"/>
      </w:pPr>
      <w:r>
        <w:rPr>
          <w:rFonts w:ascii="Calibri" w:cs="Calibri" w:eastAsia="Calibri" w:hAnsi="Calibri"/>
          <w:b w:val="false"/>
          <w:bCs w:val="false"/>
          <w:sz w:val="21"/>
          <w:szCs w:val="21"/>
        </w:rPr>
        <w:t xml:space="preserve">Los datos en Exchange Online, SharePoint Online y OneDrive no se han visto comprometidos ni requieren remediación como parte de este alcance.</w:t>
      </w:r>
    </w:p>
    <w:p>
      <w:pPr>
        <w:pStyle w:val="ListParagraph"/>
        <w:numPr>
          <w:ilvl w:val="0"/>
          <w:numId w:val="2"/>
        </w:numPr>
        <w:spacing w:after="90"/>
      </w:pPr>
      <w:r>
        <w:rPr>
          <w:rFonts w:ascii="Calibri" w:cs="Calibri" w:eastAsia="Calibri" w:hAnsi="Calibri"/>
          <w:b w:val="false"/>
          <w:bCs w:val="false"/>
          <w:sz w:val="21"/>
          <w:szCs w:val="21"/>
        </w:rPr>
        <w:t xml:space="preserve">El número de objetos (usuarios/grupos) afectados será confirmado en la Fase 0 (Descubrimiento); el cronograma y esfuerzo consideran un rango de hasta 500 objetos — ajustable si el volumen real difiere de forma significativa.</w:t>
      </w:r>
    </w:p>
    <w:p>
      <w:pPr>
        <w:pStyle w:val="ListParagraph"/>
        <w:numPr>
          <w:ilvl w:val="0"/>
          <w:numId w:val="2"/>
        </w:numPr>
        <w:spacing w:after="90"/>
      </w:pPr>
      <w:r>
        <w:rPr>
          <w:rFonts w:ascii="Calibri" w:cs="Calibri" w:eastAsia="Calibri" w:hAnsi="Calibri"/>
          <w:b w:val="false"/>
          <w:bCs w:val="false"/>
          <w:sz w:val="21"/>
          <w:szCs w:val="21"/>
        </w:rPr>
        <w:t xml:space="preserve">El cliente participará activamente en las sesiones de validación y en la ventana de corte, dado que ciertas decisiones (por ejemplo, UPNs finales) requieren su aprobación directa.</w:t>
      </w:r>
    </w:p>
    <w:p>
      <w:pPr>
        <w:pStyle w:val="ListParagraph"/>
        <w:numPr>
          <w:ilvl w:val="0"/>
          <w:numId w:val="2"/>
        </w:numPr>
        <w:spacing w:after="90"/>
      </w:pPr>
      <w:r>
        <w:rPr>
          <w:rFonts w:ascii="Calibri" w:cs="Calibri" w:eastAsia="Calibri" w:hAnsi="Calibri"/>
          <w:b w:val="false"/>
          <w:bCs w:val="false"/>
          <w:sz w:val="21"/>
          <w:szCs w:val="21"/>
        </w:rPr>
        <w:t xml:space="preserve">No se identifican, a la fecha de esta propuesta, aplicaciones críticas on-premises con dependencia estricta de Kerberos/LDAP tradicional; de existir, deberán reportarse durante la Fase 0 para reevaluar la ruta de solución.</w:t>
      </w:r>
    </w:p>
    <w:p>
      <w:pPr>
        <w:pStyle w:val="ListParagraph"/>
        <w:numPr>
          <w:ilvl w:val="0"/>
          <w:numId w:val="2"/>
        </w:numPr>
        <w:spacing w:after="90"/>
      </w:pPr>
      <w:r>
        <w:rPr>
          <w:rFonts w:ascii="Calibri" w:cs="Calibri" w:eastAsia="Calibri" w:hAnsi="Calibri"/>
          <w:b w:val="false"/>
          <w:bCs w:val="false"/>
          <w:sz w:val="21"/>
          <w:szCs w:val="21"/>
        </w:rPr>
        <w:t xml:space="preserve">Los precios y tiempos de esta propuesta son válidos por 30 días naturales a partir de su fecha de emisión.</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10. Matriz de Riesgos</w:t>
      </w:r>
    </w:p>
    <w:p>
      <w:pPr>
        <w:spacing w:after="160" w:line="276"/>
        <w:jc w:val="both"/>
      </w:pPr>
      <w:r>
        <w:rPr>
          <w:rFonts w:ascii="Calibri" w:cs="Calibri" w:eastAsia="Calibri" w:hAnsi="Calibri"/>
          <w:sz w:val="21"/>
          <w:szCs w:val="21"/>
        </w:rPr>
        <w:t xml:space="preserve">La siguiente matriz identifica los principales riesgos del proyecto, su probabilidad, impacto y estrategia de mitigación: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1300"/>
        <w:gridCol w:w="1300"/>
        <w:gridCol w:w="3400"/>
      </w:tblGrid>
      <w:tr>
        <w:tc>
          <w:tcPr>
            <w:tcW w:type="dxa" w:w="335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Riesgo</w:t>
            </w:r>
          </w:p>
        </w:tc>
        <w:tc>
          <w:tcPr>
            <w:tcW w:type="dxa" w:w="130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Probabilidad</w:t>
            </w:r>
          </w:p>
        </w:tc>
        <w:tc>
          <w:tcPr>
            <w:tcW w:type="dxa" w:w="130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Impacto</w:t>
            </w:r>
          </w:p>
        </w:tc>
        <w:tc>
          <w:tcPr>
            <w:tcW w:type="dxa" w:w="340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Mitigación</w:t>
            </w:r>
          </w:p>
        </w:tc>
      </w:tr>
      <w:tr>
        <w:tc>
          <w:tcPr>
            <w:tcW w:type="dxa" w:w="33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Pérdida de acceso a Teams/Outlook/SharePoint durante el corte</w:t>
            </w:r>
          </w:p>
        </w:tc>
        <w:tc>
          <w:tcPr>
            <w:tcW w:type="dxa" w:w="1300"/>
            <w:shd w:fill="FFE699" w:val="clear"/>
            <w:tcMar>
              <w:top w:type="dxa" w:w="100"/>
              <w:left w:type="dxa" w:w="100"/>
              <w:bottom w:type="dxa" w:w="100"/>
              <w:right w:type="dxa" w:w="100"/>
            </w:tcMar>
            <w:vAlign w:val="center"/>
          </w:tcPr>
          <w:p>
            <w:pPr>
              <w:jc w:val="center"/>
            </w:pPr>
            <w:r>
              <w:rPr>
                <w:rFonts w:ascii="Calibri" w:cs="Calibri" w:eastAsia="Calibri" w:hAnsi="Calibri"/>
                <w:b/>
                <w:bCs/>
                <w:color w:val="BF8F00"/>
                <w:sz w:val="20"/>
                <w:szCs w:val="20"/>
              </w:rPr>
              <w:t xml:space="preserve">Medio</w:t>
            </w:r>
          </w:p>
        </w:tc>
        <w:tc>
          <w:tcPr>
            <w:tcW w:type="dxa" w:w="1300"/>
            <w:shd w:fill="F8CBAD" w:val="clear"/>
            <w:tcMar>
              <w:top w:type="dxa" w:w="100"/>
              <w:left w:type="dxa" w:w="100"/>
              <w:bottom w:type="dxa" w:w="100"/>
              <w:right w:type="dxa" w:w="100"/>
            </w:tcMar>
            <w:vAlign w:val="center"/>
          </w:tcPr>
          <w:p>
            <w:pPr>
              <w:jc w:val="center"/>
            </w:pPr>
            <w:r>
              <w:rPr>
                <w:rFonts w:ascii="Calibri" w:cs="Calibri" w:eastAsia="Calibri" w:hAnsi="Calibri"/>
                <w:b/>
                <w:bCs/>
                <w:color w:val="C00000"/>
                <w:sz w:val="20"/>
                <w:szCs w:val="20"/>
              </w:rPr>
              <w:t xml:space="preserve">Alto</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Ejecutar corte en ventana de bajo uso; pruebas piloto previas; plan de rollback documentado</w:t>
            </w:r>
          </w:p>
        </w:tc>
      </w:tr>
      <w:tr>
        <w:tc>
          <w:tcPr>
            <w:tcW w:type="dxa" w:w="33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Creación de usuarios duplicados al re-hibridar (Opción B)</w:t>
            </w:r>
          </w:p>
        </w:tc>
        <w:tc>
          <w:tcPr>
            <w:tcW w:type="dxa" w:w="1300"/>
            <w:shd w:fill="F8CBAD" w:val="clear"/>
            <w:tcMar>
              <w:top w:type="dxa" w:w="100"/>
              <w:left w:type="dxa" w:w="100"/>
              <w:bottom w:type="dxa" w:w="100"/>
              <w:right w:type="dxa" w:w="100"/>
            </w:tcMar>
            <w:vAlign w:val="center"/>
          </w:tcPr>
          <w:p>
            <w:pPr>
              <w:jc w:val="center"/>
            </w:pPr>
            <w:r>
              <w:rPr>
                <w:rFonts w:ascii="Calibri" w:cs="Calibri" w:eastAsia="Calibri" w:hAnsi="Calibri"/>
                <w:b/>
                <w:bCs/>
                <w:color w:val="C00000"/>
                <w:sz w:val="20"/>
                <w:szCs w:val="20"/>
              </w:rPr>
              <w:t xml:space="preserve">Alto</w:t>
            </w:r>
          </w:p>
        </w:tc>
        <w:tc>
          <w:tcPr>
            <w:tcW w:type="dxa" w:w="1300"/>
            <w:shd w:fill="F8CBAD" w:val="clear"/>
            <w:tcMar>
              <w:top w:type="dxa" w:w="100"/>
              <w:left w:type="dxa" w:w="100"/>
              <w:bottom w:type="dxa" w:w="100"/>
              <w:right w:type="dxa" w:w="100"/>
            </w:tcMar>
            <w:vAlign w:val="center"/>
          </w:tcPr>
          <w:p>
            <w:pPr>
              <w:jc w:val="center"/>
            </w:pPr>
            <w:r>
              <w:rPr>
                <w:rFonts w:ascii="Calibri" w:cs="Calibri" w:eastAsia="Calibri" w:hAnsi="Calibri"/>
                <w:b/>
                <w:bCs/>
                <w:color w:val="C00000"/>
                <w:sz w:val="20"/>
                <w:szCs w:val="20"/>
              </w:rPr>
              <w:t xml:space="preserve">Alto</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Hard match obligatorio vía ms-DS-ConsistencyGuid antes de habilitar sync completo; Staged Rollout</w:t>
            </w:r>
          </w:p>
        </w:tc>
      </w:tr>
      <w:tr>
        <w:tc>
          <w:tcPr>
            <w:tcW w:type="dxa" w:w="33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Pérdida de membresías de grupos con permisos críticos</w:t>
            </w:r>
          </w:p>
        </w:tc>
        <w:tc>
          <w:tcPr>
            <w:tcW w:type="dxa" w:w="1300"/>
            <w:shd w:fill="FFE699" w:val="clear"/>
            <w:tcMar>
              <w:top w:type="dxa" w:w="100"/>
              <w:left w:type="dxa" w:w="100"/>
              <w:bottom w:type="dxa" w:w="100"/>
              <w:right w:type="dxa" w:w="100"/>
            </w:tcMar>
            <w:vAlign w:val="center"/>
          </w:tcPr>
          <w:p>
            <w:pPr>
              <w:jc w:val="center"/>
            </w:pPr>
            <w:r>
              <w:rPr>
                <w:rFonts w:ascii="Calibri" w:cs="Calibri" w:eastAsia="Calibri" w:hAnsi="Calibri"/>
                <w:b/>
                <w:bCs/>
                <w:color w:val="BF8F00"/>
                <w:sz w:val="20"/>
                <w:szCs w:val="20"/>
              </w:rPr>
              <w:t xml:space="preserve">Medio</w:t>
            </w:r>
          </w:p>
        </w:tc>
        <w:tc>
          <w:tcPr>
            <w:tcW w:type="dxa" w:w="1300"/>
            <w:shd w:fill="FFE699" w:val="clear"/>
            <w:tcMar>
              <w:top w:type="dxa" w:w="100"/>
              <w:left w:type="dxa" w:w="100"/>
              <w:bottom w:type="dxa" w:w="100"/>
              <w:right w:type="dxa" w:w="100"/>
            </w:tcMar>
            <w:vAlign w:val="center"/>
          </w:tcPr>
          <w:p>
            <w:pPr>
              <w:jc w:val="center"/>
            </w:pPr>
            <w:r>
              <w:rPr>
                <w:rFonts w:ascii="Calibri" w:cs="Calibri" w:eastAsia="Calibri" w:hAnsi="Calibri"/>
                <w:b/>
                <w:bCs/>
                <w:color w:val="BF8F00"/>
                <w:sz w:val="20"/>
                <w:szCs w:val="20"/>
              </w:rPr>
              <w:t xml:space="preserve">Medio</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Exportación completa de membresías previa al corte; validación post-corte contra el inventario</w:t>
            </w:r>
          </w:p>
        </w:tc>
      </w:tr>
      <w:tr>
        <w:tc>
          <w:tcPr>
            <w:tcW w:type="dxa" w:w="33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Volumen real de objetos mayor al estimado</w:t>
            </w:r>
          </w:p>
        </w:tc>
        <w:tc>
          <w:tcPr>
            <w:tcW w:type="dxa" w:w="1300"/>
            <w:shd w:fill="FFE699" w:val="clear"/>
            <w:tcMar>
              <w:top w:type="dxa" w:w="100"/>
              <w:left w:type="dxa" w:w="100"/>
              <w:bottom w:type="dxa" w:w="100"/>
              <w:right w:type="dxa" w:w="100"/>
            </w:tcMar>
            <w:vAlign w:val="center"/>
          </w:tcPr>
          <w:p>
            <w:pPr>
              <w:jc w:val="center"/>
            </w:pPr>
            <w:r>
              <w:rPr>
                <w:rFonts w:ascii="Calibri" w:cs="Calibri" w:eastAsia="Calibri" w:hAnsi="Calibri"/>
                <w:b/>
                <w:bCs/>
                <w:color w:val="BF8F00"/>
                <w:sz w:val="20"/>
                <w:szCs w:val="20"/>
              </w:rPr>
              <w:t xml:space="preserve">Medio</w:t>
            </w:r>
          </w:p>
        </w:tc>
        <w:tc>
          <w:tcPr>
            <w:tcW w:type="dxa" w:w="1300"/>
            <w:shd w:fill="FFE699" w:val="clear"/>
            <w:tcMar>
              <w:top w:type="dxa" w:w="100"/>
              <w:left w:type="dxa" w:w="100"/>
              <w:bottom w:type="dxa" w:w="100"/>
              <w:right w:type="dxa" w:w="100"/>
            </w:tcMar>
            <w:vAlign w:val="center"/>
          </w:tcPr>
          <w:p>
            <w:pPr>
              <w:jc w:val="center"/>
            </w:pPr>
            <w:r>
              <w:rPr>
                <w:rFonts w:ascii="Calibri" w:cs="Calibri" w:eastAsia="Calibri" w:hAnsi="Calibri"/>
                <w:b/>
                <w:bCs/>
                <w:color w:val="BF8F00"/>
                <w:sz w:val="20"/>
                <w:szCs w:val="20"/>
              </w:rPr>
              <w:t xml:space="preserve">Medio</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Confirmación de alcance y ajuste de cronograma/esfuerzo al cierre de Fase 0</w:t>
            </w:r>
          </w:p>
        </w:tc>
      </w:tr>
      <w:tr>
        <w:tc>
          <w:tcPr>
            <w:tcW w:type="dxa" w:w="33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Indisponibilidad de un Administrador Global durante el corte</w:t>
            </w:r>
          </w:p>
        </w:tc>
        <w:tc>
          <w:tcPr>
            <w:tcW w:type="dxa" w:w="1300"/>
            <w:shd w:fill="C6E0B4" w:val="clear"/>
            <w:tcMar>
              <w:top w:type="dxa" w:w="100"/>
              <w:left w:type="dxa" w:w="100"/>
              <w:bottom w:type="dxa" w:w="100"/>
              <w:right w:type="dxa" w:w="100"/>
            </w:tcMar>
            <w:vAlign w:val="center"/>
          </w:tcPr>
          <w:p>
            <w:pPr>
              <w:jc w:val="center"/>
            </w:pPr>
            <w:r>
              <w:rPr>
                <w:rFonts w:ascii="Calibri" w:cs="Calibri" w:eastAsia="Calibri" w:hAnsi="Calibri"/>
                <w:b/>
                <w:bCs/>
                <w:color w:val="375623"/>
                <w:sz w:val="20"/>
                <w:szCs w:val="20"/>
              </w:rPr>
              <w:t xml:space="preserve">Bajo</w:t>
            </w:r>
          </w:p>
        </w:tc>
        <w:tc>
          <w:tcPr>
            <w:tcW w:type="dxa" w:w="1300"/>
            <w:shd w:fill="F8CBAD" w:val="clear"/>
            <w:tcMar>
              <w:top w:type="dxa" w:w="100"/>
              <w:left w:type="dxa" w:w="100"/>
              <w:bottom w:type="dxa" w:w="100"/>
              <w:right w:type="dxa" w:w="100"/>
            </w:tcMar>
            <w:vAlign w:val="center"/>
          </w:tcPr>
          <w:p>
            <w:pPr>
              <w:jc w:val="center"/>
            </w:pPr>
            <w:r>
              <w:rPr>
                <w:rFonts w:ascii="Calibri" w:cs="Calibri" w:eastAsia="Calibri" w:hAnsi="Calibri"/>
                <w:b/>
                <w:bCs/>
                <w:color w:val="C00000"/>
                <w:sz w:val="20"/>
                <w:szCs w:val="20"/>
              </w:rPr>
              <w:t xml:space="preserve">Alto</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Confirmar disponibilidad y cuenta de emergencia (break-glass) antes de iniciar Fase 3</w:t>
            </w:r>
          </w:p>
        </w:tc>
      </w:tr>
      <w:tr>
        <w:tc>
          <w:tcPr>
            <w:tcW w:type="dxa" w:w="33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Dependencias on-premises no reportadas (apps legacy, RADIUS, impresión)</w:t>
            </w:r>
          </w:p>
        </w:tc>
        <w:tc>
          <w:tcPr>
            <w:tcW w:type="dxa" w:w="1300"/>
            <w:shd w:fill="FFE699" w:val="clear"/>
            <w:tcMar>
              <w:top w:type="dxa" w:w="100"/>
              <w:left w:type="dxa" w:w="100"/>
              <w:bottom w:type="dxa" w:w="100"/>
              <w:right w:type="dxa" w:w="100"/>
            </w:tcMar>
            <w:vAlign w:val="center"/>
          </w:tcPr>
          <w:p>
            <w:pPr>
              <w:jc w:val="center"/>
            </w:pPr>
            <w:r>
              <w:rPr>
                <w:rFonts w:ascii="Calibri" w:cs="Calibri" w:eastAsia="Calibri" w:hAnsi="Calibri"/>
                <w:b/>
                <w:bCs/>
                <w:color w:val="BF8F00"/>
                <w:sz w:val="20"/>
                <w:szCs w:val="20"/>
              </w:rPr>
              <w:t xml:space="preserve">Medio</w:t>
            </w:r>
          </w:p>
        </w:tc>
        <w:tc>
          <w:tcPr>
            <w:tcW w:type="dxa" w:w="1300"/>
            <w:shd w:fill="F8CBAD" w:val="clear"/>
            <w:tcMar>
              <w:top w:type="dxa" w:w="100"/>
              <w:left w:type="dxa" w:w="100"/>
              <w:bottom w:type="dxa" w:w="100"/>
              <w:right w:type="dxa" w:w="100"/>
            </w:tcMar>
            <w:vAlign w:val="center"/>
          </w:tcPr>
          <w:p>
            <w:pPr>
              <w:jc w:val="center"/>
            </w:pPr>
            <w:r>
              <w:rPr>
                <w:rFonts w:ascii="Calibri" w:cs="Calibri" w:eastAsia="Calibri" w:hAnsi="Calibri"/>
                <w:b/>
                <w:bCs/>
                <w:color w:val="C00000"/>
                <w:sz w:val="20"/>
                <w:szCs w:val="20"/>
              </w:rPr>
              <w:t xml:space="preserve">Alto</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Levantamiento exhaustivo en Fase 0/1; checkpoint de decisión antes del corte</w:t>
            </w:r>
          </w:p>
        </w:tc>
      </w:tr>
      <w:tr>
        <w:tc>
          <w:tcPr>
            <w:tcW w:type="dxa" w:w="33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Resistencia al cambio de contraseña por parte de usuarios finales (Opción A)</w:t>
            </w:r>
          </w:p>
        </w:tc>
        <w:tc>
          <w:tcPr>
            <w:tcW w:type="dxa" w:w="1300"/>
            <w:shd w:fill="F8CBAD" w:val="clear"/>
            <w:tcMar>
              <w:top w:type="dxa" w:w="100"/>
              <w:left w:type="dxa" w:w="100"/>
              <w:bottom w:type="dxa" w:w="100"/>
              <w:right w:type="dxa" w:w="100"/>
            </w:tcMar>
            <w:vAlign w:val="center"/>
          </w:tcPr>
          <w:p>
            <w:pPr>
              <w:jc w:val="center"/>
            </w:pPr>
            <w:r>
              <w:rPr>
                <w:rFonts w:ascii="Calibri" w:cs="Calibri" w:eastAsia="Calibri" w:hAnsi="Calibri"/>
                <w:b/>
                <w:bCs/>
                <w:color w:val="C00000"/>
                <w:sz w:val="20"/>
                <w:szCs w:val="20"/>
              </w:rPr>
              <w:t xml:space="preserve">Alto</w:t>
            </w:r>
          </w:p>
        </w:tc>
        <w:tc>
          <w:tcPr>
            <w:tcW w:type="dxa" w:w="1300"/>
            <w:shd w:fill="C6E0B4" w:val="clear"/>
            <w:tcMar>
              <w:top w:type="dxa" w:w="100"/>
              <w:left w:type="dxa" w:w="100"/>
              <w:bottom w:type="dxa" w:w="100"/>
              <w:right w:type="dxa" w:w="100"/>
            </w:tcMar>
            <w:vAlign w:val="center"/>
          </w:tcPr>
          <w:p>
            <w:pPr>
              <w:jc w:val="center"/>
            </w:pPr>
            <w:r>
              <w:rPr>
                <w:rFonts w:ascii="Calibri" w:cs="Calibri" w:eastAsia="Calibri" w:hAnsi="Calibri"/>
                <w:b/>
                <w:bCs/>
                <w:color w:val="375623"/>
                <w:sz w:val="20"/>
                <w:szCs w:val="20"/>
              </w:rPr>
              <w:t xml:space="preserve">Bajo</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Comunicación anticipada, SSPR habilitado, mesa de ayuda reforzada durante hypercare</w:t>
            </w:r>
          </w:p>
        </w:tc>
      </w:tr>
      <w:tr>
        <w:tc>
          <w:tcPr>
            <w:tcW w:type="dxa" w:w="33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Rollback complejo una vez ejecutada la conversión a cloud-only</w:t>
            </w:r>
          </w:p>
        </w:tc>
        <w:tc>
          <w:tcPr>
            <w:tcW w:type="dxa" w:w="1300"/>
            <w:shd w:fill="C6E0B4" w:val="clear"/>
            <w:tcMar>
              <w:top w:type="dxa" w:w="100"/>
              <w:left w:type="dxa" w:w="100"/>
              <w:bottom w:type="dxa" w:w="100"/>
              <w:right w:type="dxa" w:w="100"/>
            </w:tcMar>
            <w:vAlign w:val="center"/>
          </w:tcPr>
          <w:p>
            <w:pPr>
              <w:jc w:val="center"/>
            </w:pPr>
            <w:r>
              <w:rPr>
                <w:rFonts w:ascii="Calibri" w:cs="Calibri" w:eastAsia="Calibri" w:hAnsi="Calibri"/>
                <w:b/>
                <w:bCs/>
                <w:color w:val="375623"/>
                <w:sz w:val="20"/>
                <w:szCs w:val="20"/>
              </w:rPr>
              <w:t xml:space="preserve">Bajo</w:t>
            </w:r>
          </w:p>
        </w:tc>
        <w:tc>
          <w:tcPr>
            <w:tcW w:type="dxa" w:w="1300"/>
            <w:shd w:fill="F8CBAD" w:val="clear"/>
            <w:tcMar>
              <w:top w:type="dxa" w:w="100"/>
              <w:left w:type="dxa" w:w="100"/>
              <w:bottom w:type="dxa" w:w="100"/>
              <w:right w:type="dxa" w:w="100"/>
            </w:tcMar>
            <w:vAlign w:val="center"/>
          </w:tcPr>
          <w:p>
            <w:pPr>
              <w:jc w:val="center"/>
            </w:pPr>
            <w:r>
              <w:rPr>
                <w:rFonts w:ascii="Calibri" w:cs="Calibri" w:eastAsia="Calibri" w:hAnsi="Calibri"/>
                <w:b/>
                <w:bCs/>
                <w:color w:val="C00000"/>
                <w:sz w:val="20"/>
                <w:szCs w:val="20"/>
              </w:rPr>
              <w:t xml:space="preserve">Alto</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Respaldo íntegro previo; ventana de decisión Go/No-Go antes del punto de no retorno</w:t>
            </w:r>
          </w:p>
        </w:tc>
      </w:tr>
    </w:tbl>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11. Tiempos y Cronograma</w:t>
      </w:r>
    </w:p>
    <w:p>
      <w:pPr>
        <w:spacing w:after="160" w:line="276"/>
        <w:jc w:val="both"/>
      </w:pPr>
      <w:r>
        <w:rPr>
          <w:rFonts w:ascii="Calibri" w:cs="Calibri" w:eastAsia="Calibri" w:hAnsi="Calibri"/>
          <w:sz w:val="21"/>
          <w:szCs w:val="21"/>
        </w:rPr>
        <w:t xml:space="preserve">Estimación para la Opción A (Cloud-Only). En caso de seleccionarse la Opción B, el cronograma se extiende de 12 a 16 semanas adicionales por la reconstrucción del bosque AD, GPOs y proceso de hard match.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c>
          <w:tcPr>
            <w:tcW w:type="dxa" w:w="635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Fase</w:t>
            </w:r>
          </w:p>
        </w:tc>
        <w:tc>
          <w:tcPr>
            <w:tcW w:type="dxa" w:w="300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Duración estimada</w:t>
            </w:r>
          </w:p>
        </w:tc>
      </w:tr>
      <w:tr>
        <w:tc>
          <w:tcPr>
            <w:tcW w:type="dxa" w:w="6350"/>
            <w:shd w:fill="F2F2F2"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Fase 0 — Descubrimiento y respaldo</w:t>
            </w:r>
          </w:p>
        </w:tc>
        <w:tc>
          <w:tcPr>
            <w:tcW w:type="dxa" w:w="3000"/>
            <w:shd w:fill="F2F2F2" w:val="clear"/>
            <w:tcMar>
              <w:top w:type="dxa" w:w="100"/>
              <w:left w:type="dxa" w:w="100"/>
              <w:bottom w:type="dxa" w:w="100"/>
              <w:right w:type="dxa" w:w="100"/>
            </w:tcMar>
            <w:vAlign w:val="center"/>
          </w:tcPr>
          <w:p>
            <w:pPr>
              <w:jc w:val="center"/>
            </w:pPr>
            <w:r>
              <w:rPr>
                <w:rFonts w:ascii="Calibri" w:cs="Calibri" w:eastAsia="Calibri" w:hAnsi="Calibri"/>
                <w:b w:val="false"/>
                <w:bCs w:val="false"/>
                <w:color w:val="000000"/>
                <w:sz w:val="20"/>
                <w:szCs w:val="20"/>
              </w:rPr>
              <w:t xml:space="preserve">1 semana</w:t>
            </w:r>
          </w:p>
        </w:tc>
      </w:tr>
      <w:tr>
        <w:tc>
          <w:tcPr>
            <w:tcW w:type="dxa" w:w="63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Fase 1 — Validación de estrategia (workshop de decisión)</w:t>
            </w:r>
          </w:p>
        </w:tc>
        <w:tc>
          <w:tcPr>
            <w:tcW w:type="dxa" w:w="3000"/>
            <w:shd w:fill="FFFFFF" w:val="clear"/>
            <w:tcMar>
              <w:top w:type="dxa" w:w="100"/>
              <w:left w:type="dxa" w:w="100"/>
              <w:bottom w:type="dxa" w:w="100"/>
              <w:right w:type="dxa" w:w="100"/>
            </w:tcMar>
            <w:vAlign w:val="center"/>
          </w:tcPr>
          <w:p>
            <w:pPr>
              <w:jc w:val="center"/>
            </w:pPr>
            <w:r>
              <w:rPr>
                <w:rFonts w:ascii="Calibri" w:cs="Calibri" w:eastAsia="Calibri" w:hAnsi="Calibri"/>
                <w:b w:val="false"/>
                <w:bCs w:val="false"/>
                <w:color w:val="000000"/>
                <w:sz w:val="20"/>
                <w:szCs w:val="20"/>
              </w:rPr>
              <w:t xml:space="preserve">3 días (dentro de semana 1–2)</w:t>
            </w:r>
          </w:p>
        </w:tc>
      </w:tr>
      <w:tr>
        <w:tc>
          <w:tcPr>
            <w:tcW w:type="dxa" w:w="6350"/>
            <w:shd w:fill="F2F2F2"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Fase 2 — Preparación técnica</w:t>
            </w:r>
          </w:p>
        </w:tc>
        <w:tc>
          <w:tcPr>
            <w:tcW w:type="dxa" w:w="3000"/>
            <w:shd w:fill="F2F2F2" w:val="clear"/>
            <w:tcMar>
              <w:top w:type="dxa" w:w="100"/>
              <w:left w:type="dxa" w:w="100"/>
              <w:bottom w:type="dxa" w:w="100"/>
              <w:right w:type="dxa" w:w="100"/>
            </w:tcMar>
            <w:vAlign w:val="center"/>
          </w:tcPr>
          <w:p>
            <w:pPr>
              <w:jc w:val="center"/>
            </w:pPr>
            <w:r>
              <w:rPr>
                <w:rFonts w:ascii="Calibri" w:cs="Calibri" w:eastAsia="Calibri" w:hAnsi="Calibri"/>
                <w:b w:val="false"/>
                <w:bCs w:val="false"/>
                <w:color w:val="000000"/>
                <w:sz w:val="20"/>
                <w:szCs w:val="20"/>
              </w:rPr>
              <w:t xml:space="preserve">1 semana</w:t>
            </w:r>
          </w:p>
        </w:tc>
      </w:tr>
      <w:tr>
        <w:tc>
          <w:tcPr>
            <w:tcW w:type="dxa" w:w="63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Fase 3 — Ejecución del corte (piloto + general)</w:t>
            </w:r>
          </w:p>
        </w:tc>
        <w:tc>
          <w:tcPr>
            <w:tcW w:type="dxa" w:w="3000"/>
            <w:shd w:fill="FFFFFF" w:val="clear"/>
            <w:tcMar>
              <w:top w:type="dxa" w:w="100"/>
              <w:left w:type="dxa" w:w="100"/>
              <w:bottom w:type="dxa" w:w="100"/>
              <w:right w:type="dxa" w:w="100"/>
            </w:tcMar>
            <w:vAlign w:val="center"/>
          </w:tcPr>
          <w:p>
            <w:pPr>
              <w:jc w:val="center"/>
            </w:pPr>
            <w:r>
              <w:rPr>
                <w:rFonts w:ascii="Calibri" w:cs="Calibri" w:eastAsia="Calibri" w:hAnsi="Calibri"/>
                <w:b w:val="false"/>
                <w:bCs w:val="false"/>
                <w:color w:val="000000"/>
                <w:sz w:val="20"/>
                <w:szCs w:val="20"/>
              </w:rPr>
              <w:t xml:space="preserve">1 semana</w:t>
            </w:r>
          </w:p>
        </w:tc>
      </w:tr>
      <w:tr>
        <w:tc>
          <w:tcPr>
            <w:tcW w:type="dxa" w:w="6350"/>
            <w:shd w:fill="F2F2F2"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Fase 4 — Remediación de atributos</w:t>
            </w:r>
          </w:p>
        </w:tc>
        <w:tc>
          <w:tcPr>
            <w:tcW w:type="dxa" w:w="3000"/>
            <w:shd w:fill="F2F2F2" w:val="clear"/>
            <w:tcMar>
              <w:top w:type="dxa" w:w="100"/>
              <w:left w:type="dxa" w:w="100"/>
              <w:bottom w:type="dxa" w:w="100"/>
              <w:right w:type="dxa" w:w="100"/>
            </w:tcMar>
            <w:vAlign w:val="center"/>
          </w:tcPr>
          <w:p>
            <w:pPr>
              <w:jc w:val="center"/>
            </w:pPr>
            <w:r>
              <w:rPr>
                <w:rFonts w:ascii="Calibri" w:cs="Calibri" w:eastAsia="Calibri" w:hAnsi="Calibri"/>
                <w:b w:val="false"/>
                <w:bCs w:val="false"/>
                <w:color w:val="000000"/>
                <w:sz w:val="20"/>
                <w:szCs w:val="20"/>
              </w:rPr>
              <w:t xml:space="preserve">1 semana</w:t>
            </w:r>
          </w:p>
        </w:tc>
      </w:tr>
      <w:tr>
        <w:tc>
          <w:tcPr>
            <w:tcW w:type="dxa" w:w="63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Fase 5 — Endurecimiento de seguridad</w:t>
            </w:r>
          </w:p>
        </w:tc>
        <w:tc>
          <w:tcPr>
            <w:tcW w:type="dxa" w:w="3000"/>
            <w:shd w:fill="FFFFFF" w:val="clear"/>
            <w:tcMar>
              <w:top w:type="dxa" w:w="100"/>
              <w:left w:type="dxa" w:w="100"/>
              <w:bottom w:type="dxa" w:w="100"/>
              <w:right w:type="dxa" w:w="100"/>
            </w:tcMar>
            <w:vAlign w:val="center"/>
          </w:tcPr>
          <w:p>
            <w:pPr>
              <w:jc w:val="center"/>
            </w:pPr>
            <w:r>
              <w:rPr>
                <w:rFonts w:ascii="Calibri" w:cs="Calibri" w:eastAsia="Calibri" w:hAnsi="Calibri"/>
                <w:b w:val="false"/>
                <w:bCs w:val="false"/>
                <w:color w:val="000000"/>
                <w:sz w:val="20"/>
                <w:szCs w:val="20"/>
              </w:rPr>
              <w:t xml:space="preserve">1 semana</w:t>
            </w:r>
          </w:p>
        </w:tc>
      </w:tr>
      <w:tr>
        <w:tc>
          <w:tcPr>
            <w:tcW w:type="dxa" w:w="6350"/>
            <w:shd w:fill="F2F2F2"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Fase 6 — Restablecimiento de ABC + documentación</w:t>
            </w:r>
          </w:p>
        </w:tc>
        <w:tc>
          <w:tcPr>
            <w:tcW w:type="dxa" w:w="3000"/>
            <w:shd w:fill="F2F2F2" w:val="clear"/>
            <w:tcMar>
              <w:top w:type="dxa" w:w="100"/>
              <w:left w:type="dxa" w:w="100"/>
              <w:bottom w:type="dxa" w:w="100"/>
              <w:right w:type="dxa" w:w="100"/>
            </w:tcMar>
            <w:vAlign w:val="center"/>
          </w:tcPr>
          <w:p>
            <w:pPr>
              <w:jc w:val="center"/>
            </w:pPr>
            <w:r>
              <w:rPr>
                <w:rFonts w:ascii="Calibri" w:cs="Calibri" w:eastAsia="Calibri" w:hAnsi="Calibri"/>
                <w:b w:val="false"/>
                <w:bCs w:val="false"/>
                <w:color w:val="000000"/>
                <w:sz w:val="20"/>
                <w:szCs w:val="20"/>
              </w:rPr>
              <w:t xml:space="preserve">3 días</w:t>
            </w:r>
          </w:p>
        </w:tc>
      </w:tr>
      <w:tr>
        <w:tc>
          <w:tcPr>
            <w:tcW w:type="dxa" w:w="63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Fase 7 — Hipercuidado (hypercare)</w:t>
            </w:r>
          </w:p>
        </w:tc>
        <w:tc>
          <w:tcPr>
            <w:tcW w:type="dxa" w:w="3000"/>
            <w:shd w:fill="FFFFFF" w:val="clear"/>
            <w:tcMar>
              <w:top w:type="dxa" w:w="100"/>
              <w:left w:type="dxa" w:w="100"/>
              <w:bottom w:type="dxa" w:w="100"/>
              <w:right w:type="dxa" w:w="100"/>
            </w:tcMar>
            <w:vAlign w:val="center"/>
          </w:tcPr>
          <w:p>
            <w:pPr>
              <w:jc w:val="center"/>
            </w:pPr>
            <w:r>
              <w:rPr>
                <w:rFonts w:ascii="Calibri" w:cs="Calibri" w:eastAsia="Calibri" w:hAnsi="Calibri"/>
                <w:b w:val="false"/>
                <w:bCs w:val="false"/>
                <w:color w:val="000000"/>
                <w:sz w:val="20"/>
                <w:szCs w:val="20"/>
              </w:rPr>
              <w:t xml:space="preserve">2 semanas</w:t>
            </w:r>
          </w:p>
        </w:tc>
      </w:tr>
      <w:tr>
        <w:tc>
          <w:tcPr>
            <w:tcW w:type="dxa" w:w="6350"/>
            <w:shd w:fill="DCE6F1"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Duración total estimada (Opción A)</w:t>
            </w:r>
          </w:p>
        </w:tc>
        <w:tc>
          <w:tcPr>
            <w:tcW w:type="dxa" w:w="3000"/>
            <w:shd w:fill="DCE6F1" w:val="clear"/>
            <w:tcMar>
              <w:top w:type="dxa" w:w="100"/>
              <w:left w:type="dxa" w:w="100"/>
              <w:bottom w:type="dxa" w:w="100"/>
              <w:right w:type="dxa" w:w="100"/>
            </w:tcMar>
            <w:vAlign w:val="center"/>
          </w:tcPr>
          <w:p>
            <w:pPr>
              <w:jc w:val="center"/>
            </w:pPr>
            <w:r>
              <w:rPr>
                <w:rFonts w:ascii="Calibri" w:cs="Calibri" w:eastAsia="Calibri" w:hAnsi="Calibri"/>
                <w:b/>
                <w:bCs/>
                <w:color w:val="000000"/>
                <w:sz w:val="20"/>
                <w:szCs w:val="20"/>
              </w:rPr>
              <w:t xml:space="preserve">6 a 8 semanas</w:t>
            </w:r>
          </w:p>
        </w:tc>
      </w:tr>
    </w:tbl>
    <w:p>
      <w:pPr>
        <w:spacing w:before="300"/>
      </w:pPr>
    </w:p>
    <w:p>
      <w:pPr>
        <w:spacing w:after="160" w:line="276"/>
        <w:jc w:val="both"/>
      </w:pPr>
      <w:r>
        <w:rPr>
          <w:rFonts w:ascii="Calibri" w:cs="Calibri" w:eastAsia="Calibri" w:hAnsi="Calibri"/>
          <w:sz w:val="21"/>
          <w:szCs w:val="21"/>
        </w:rPr>
        <w:t xml:space="preserve">Nota: los tiempos son estimados y podrán ajustarse una vez concluida la Fase 0, en función del volumen real de objetos, disponibilidad del cliente para ventanas de corte, y hallazgos de dependencias on-premises no documentadas.</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12. Consideraciones de Backup</w:t>
      </w:r>
    </w:p>
    <w:p>
      <w:pPr>
        <w:pStyle w:val="Heading2"/>
        <w:spacing w:after="150" w:before="300"/>
      </w:pPr>
      <w:r>
        <w:rPr>
          <w:rFonts w:ascii="Calibri" w:cs="Calibri" w:eastAsia="Calibri" w:hAnsi="Calibri"/>
          <w:b/>
          <w:bCs/>
          <w:color w:val="2E74B5"/>
          <w:sz w:val="24"/>
          <w:szCs w:val="24"/>
        </w:rPr>
        <w:t xml:space="preserve">12.1 Respaldo previo al proyecto (obligatorio)</w:t>
      </w:r>
    </w:p>
    <w:p>
      <w:pPr>
        <w:pStyle w:val="ListParagraph"/>
        <w:numPr>
          <w:ilvl w:val="0"/>
          <w:numId w:val="2"/>
        </w:numPr>
        <w:spacing w:after="90"/>
      </w:pPr>
      <w:r>
        <w:rPr>
          <w:rFonts w:ascii="Calibri" w:cs="Calibri" w:eastAsia="Calibri" w:hAnsi="Calibri"/>
          <w:b w:val="false"/>
          <w:bCs w:val="false"/>
          <w:sz w:val="21"/>
          <w:szCs w:val="21"/>
        </w:rPr>
        <w:t xml:space="preserve">Exportación completa vía Microsoft Graph PowerShell de todos los usuarios, grupos, membresías, licencias y atributos onPremises* antes de cualquier cambio (Fase 0).</w:t>
      </w:r>
    </w:p>
    <w:p>
      <w:pPr>
        <w:pStyle w:val="ListParagraph"/>
        <w:numPr>
          <w:ilvl w:val="0"/>
          <w:numId w:val="2"/>
        </w:numPr>
        <w:spacing w:after="90"/>
      </w:pPr>
      <w:r>
        <w:rPr>
          <w:rFonts w:ascii="Calibri" w:cs="Calibri" w:eastAsia="Calibri" w:hAnsi="Calibri"/>
          <w:b w:val="false"/>
          <w:bCs w:val="false"/>
          <w:sz w:val="21"/>
          <w:szCs w:val="21"/>
        </w:rPr>
        <w:t xml:space="preserve">Exportación de configuración actual de Conditional Access, roles asignados y configuración de dominios verificados.</w:t>
      </w:r>
    </w:p>
    <w:p>
      <w:pPr>
        <w:pStyle w:val="ListParagraph"/>
        <w:numPr>
          <w:ilvl w:val="0"/>
          <w:numId w:val="2"/>
        </w:numPr>
        <w:spacing w:after="90"/>
      </w:pPr>
      <w:r>
        <w:rPr>
          <w:rFonts w:ascii="Calibri" w:cs="Calibri" w:eastAsia="Calibri" w:hAnsi="Calibri"/>
          <w:b w:val="false"/>
          <w:bCs w:val="false"/>
          <w:sz w:val="21"/>
          <w:szCs w:val="21"/>
        </w:rPr>
        <w:t xml:space="preserve">Respaldo de la configuración de Microsoft Entra Connect (si aún existe el servidor), incluyendo reglas de sincronización personalizadas.</w:t>
      </w:r>
    </w:p>
    <w:p>
      <w:pPr>
        <w:pStyle w:val="Heading2"/>
        <w:spacing w:after="150" w:before="300"/>
      </w:pPr>
      <w:r>
        <w:rPr>
          <w:rFonts w:ascii="Calibri" w:cs="Calibri" w:eastAsia="Calibri" w:hAnsi="Calibri"/>
          <w:b/>
          <w:bCs/>
          <w:color w:val="2E74B5"/>
          <w:sz w:val="24"/>
          <w:szCs w:val="24"/>
        </w:rPr>
        <w:t xml:space="preserve">12.2 Respaldo de buzones y datos (no incluido en alcance, pero recomendado)</w:t>
      </w:r>
    </w:p>
    <w:p>
      <w:pPr>
        <w:pStyle w:val="ListParagraph"/>
        <w:numPr>
          <w:ilvl w:val="0"/>
          <w:numId w:val="2"/>
        </w:numPr>
        <w:spacing w:after="90"/>
      </w:pPr>
      <w:r>
        <w:rPr>
          <w:rFonts w:ascii="Calibri" w:cs="Calibri" w:eastAsia="Calibri" w:hAnsi="Calibri"/>
          <w:b w:val="false"/>
          <w:bCs w:val="false"/>
          <w:sz w:val="21"/>
          <w:szCs w:val="21"/>
        </w:rPr>
        <w:t xml:space="preserve">Se recomienda al cliente contar con una solución de backup de terceros para Microsoft 365 (por ejemplo, Veeam Backup for Microsoft 365, AvePoint, Druva, o similar) para Exchange Online, SharePoint Online, OneDrive y Teams, ya que Microsoft no garantiza retención completa post-eliminación más allá de sus políticas nativas (papelera de reciclaje / retención de 30–93 días).</w:t>
      </w:r>
    </w:p>
    <w:p>
      <w:pPr>
        <w:pStyle w:val="ListParagraph"/>
        <w:numPr>
          <w:ilvl w:val="0"/>
          <w:numId w:val="2"/>
        </w:numPr>
        <w:spacing w:after="90"/>
      </w:pPr>
      <w:r>
        <w:rPr>
          <w:rFonts w:ascii="Calibri" w:cs="Calibri" w:eastAsia="Calibri" w:hAnsi="Calibri"/>
          <w:b w:val="false"/>
          <w:bCs w:val="false"/>
          <w:sz w:val="21"/>
          <w:szCs w:val="21"/>
        </w:rPr>
        <w:t xml:space="preserve">Este proyecto no incluye la implementación de dicha solución de backup, pero se emitirá una recomendación formal como parte del entregable de documentación final.</w:t>
      </w:r>
    </w:p>
    <w:p>
      <w:pPr>
        <w:pStyle w:val="Heading2"/>
        <w:spacing w:after="150" w:before="300"/>
      </w:pPr>
      <w:r>
        <w:rPr>
          <w:rFonts w:ascii="Calibri" w:cs="Calibri" w:eastAsia="Calibri" w:hAnsi="Calibri"/>
          <w:b/>
          <w:bCs/>
          <w:color w:val="2E74B5"/>
          <w:sz w:val="24"/>
          <w:szCs w:val="24"/>
        </w:rPr>
        <w:t xml:space="preserve">12.3 Respaldo del nuevo entorno de identidad (post-proyecto)</w:t>
      </w:r>
    </w:p>
    <w:p>
      <w:pPr>
        <w:pStyle w:val="ListParagraph"/>
        <w:numPr>
          <w:ilvl w:val="0"/>
          <w:numId w:val="2"/>
        </w:numPr>
        <w:spacing w:after="90"/>
      </w:pPr>
      <w:r>
        <w:rPr>
          <w:rFonts w:ascii="Calibri" w:cs="Calibri" w:eastAsia="Calibri" w:hAnsi="Calibri"/>
          <w:b w:val="false"/>
          <w:bCs w:val="false"/>
          <w:sz w:val="21"/>
          <w:szCs w:val="21"/>
        </w:rPr>
        <w:t xml:space="preserve">Cloud-Only: se recomienda exportación periódica automatizada (script programado) de usuarios, grupos y configuración de Conditional Access como respaldo de configuración (no existe backup nativo de AD DS al eliminarse el local).</w:t>
      </w:r>
    </w:p>
    <w:p>
      <w:pPr>
        <w:pStyle w:val="ListParagraph"/>
        <w:numPr>
          <w:ilvl w:val="0"/>
          <w:numId w:val="2"/>
        </w:numPr>
        <w:spacing w:after="90"/>
      </w:pPr>
      <w:r>
        <w:rPr>
          <w:rFonts w:ascii="Calibri" w:cs="Calibri" w:eastAsia="Calibri" w:hAnsi="Calibri"/>
          <w:b w:val="false"/>
          <w:bCs w:val="false"/>
          <w:sz w:val="21"/>
          <w:szCs w:val="21"/>
        </w:rPr>
        <w:t xml:space="preserve">Opción B (rehibridación): se recomienda implementar respaldo de Estado del Sistema (System State) de los nuevos controladores de dominio, con al menos 2 copias (local + fuera de sitio/nube), y pruebas de restauración periódicas — lección aprendida directa del incidente que originó este proyecto.</w:t>
      </w:r>
    </w:p>
    <w:p>
      <w:pPr>
        <w:pStyle w:val="ListParagraph"/>
        <w:numPr>
          <w:ilvl w:val="0"/>
          <w:numId w:val="2"/>
        </w:numPr>
        <w:spacing w:after="90"/>
      </w:pPr>
      <w:r>
        <w:rPr>
          <w:rFonts w:ascii="Calibri" w:cs="Calibri" w:eastAsia="Calibri" w:hAnsi="Calibri"/>
          <w:b w:val="false"/>
          <w:bCs w:val="false"/>
          <w:sz w:val="21"/>
          <w:szCs w:val="21"/>
        </w:rPr>
        <w:t xml:space="preserve">En ambos casos, se recomienda documentar y probar un plan de recuperación ante desastres (DRP) de identidad, para evitar la recurrencia del escenario que originó esta propuesta.</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13. Consideraciones de Licenciamiento</w:t>
      </w:r>
    </w:p>
    <w:p>
      <w:pPr>
        <w:spacing w:after="160" w:line="276"/>
        <w:jc w:val="both"/>
      </w:pPr>
      <w:r>
        <w:rPr>
          <w:rFonts w:ascii="Calibri" w:cs="Calibri" w:eastAsia="Calibri" w:hAnsi="Calibri"/>
          <w:sz w:val="21"/>
          <w:szCs w:val="21"/>
        </w:rPr>
        <w:t xml:space="preserve">El licenciamiento actual de Microsoft 365 del cliente no debería verse afectado por la remediación (las licencias están asignadas a nivel de ObjectId, el cual se preserva). Sin embargo, se recomienda validar y, de ser necesario, complementar con lo siguiente: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400"/>
        <w:gridCol w:w="2850"/>
      </w:tblGrid>
      <w:tr>
        <w:tc>
          <w:tcPr>
            <w:tcW w:type="dxa" w:w="310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Licencia / SKU</w:t>
            </w:r>
          </w:p>
        </w:tc>
        <w:tc>
          <w:tcPr>
            <w:tcW w:type="dxa" w:w="340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Necesidad</w:t>
            </w:r>
          </w:p>
        </w:tc>
        <w:tc>
          <w:tcPr>
            <w:tcW w:type="dxa" w:w="285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¿Ya incluida en M365 E3/E5?</w:t>
            </w:r>
          </w:p>
        </w:tc>
      </w:tr>
      <w:tr>
        <w:tc>
          <w:tcPr>
            <w:tcW w:type="dxa" w:w="31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Microsoft Entra ID P1</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Conditional Access, SSPR, Dynamic Groups</w:t>
            </w:r>
          </w:p>
        </w:tc>
        <w:tc>
          <w:tcPr>
            <w:tcW w:type="dxa" w:w="28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Sí (incluida en E3/E5 y Entra ID P1 standalone)</w:t>
            </w:r>
          </w:p>
        </w:tc>
      </w:tr>
      <w:tr>
        <w:tc>
          <w:tcPr>
            <w:tcW w:type="dxa" w:w="31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Microsoft Entra ID P2</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PIM, Identity Protection, revisiones de acceso</w:t>
            </w:r>
          </w:p>
        </w:tc>
        <w:tc>
          <w:tcPr>
            <w:tcW w:type="dxa" w:w="28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Solo en E5; en E3 requiere add-on</w:t>
            </w:r>
          </w:p>
        </w:tc>
      </w:tr>
      <w:tr>
        <w:tc>
          <w:tcPr>
            <w:tcW w:type="dxa" w:w="31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Microsoft Entra ID Governance</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Lifecycle Workflows, Entitlement Management</w:t>
            </w:r>
          </w:p>
        </w:tc>
        <w:tc>
          <w:tcPr>
            <w:tcW w:type="dxa" w:w="28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Add-on adicional (no incluido en E3/E5 base)</w:t>
            </w:r>
          </w:p>
        </w:tc>
      </w:tr>
      <w:tr>
        <w:tc>
          <w:tcPr>
            <w:tcW w:type="dxa" w:w="31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Microsoft Intune</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Gestión de dispositivos cloud-native</w:t>
            </w:r>
          </w:p>
        </w:tc>
        <w:tc>
          <w:tcPr>
            <w:tcW w:type="dxa" w:w="28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Sí en E3/E5; standalone si no aplica</w:t>
            </w:r>
          </w:p>
        </w:tc>
      </w:tr>
      <w:tr>
        <w:tc>
          <w:tcPr>
            <w:tcW w:type="dxa" w:w="31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Backup de terceros para M365</w:t>
            </w:r>
          </w:p>
        </w:tc>
        <w:tc>
          <w:tcPr>
            <w:tcW w:type="dxa" w:w="34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Protección de datos (correo, SPO, Teams)</w:t>
            </w:r>
          </w:p>
        </w:tc>
        <w:tc>
          <w:tcPr>
            <w:tcW w:type="dxa" w:w="28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No — licenciamiento independiente del fabricante elegido</w:t>
            </w:r>
          </w:p>
        </w:tc>
      </w:tr>
    </w:tbl>
    <w:p>
      <w:pPr>
        <w:spacing w:before="300"/>
      </w:pPr>
    </w:p>
    <w:p>
      <w:pPr>
        <w:spacing w:after="160" w:line="276"/>
        <w:jc w:val="both"/>
      </w:pPr>
      <w:r>
        <w:rPr>
          <w:rFonts w:ascii="Calibri" w:cs="Calibri" w:eastAsia="Calibri" w:hAnsi="Calibri"/>
          <w:sz w:val="21"/>
          <w:szCs w:val="21"/>
        </w:rPr>
        <w:t xml:space="preserve">Se recomienda realizar un levantamiento de licencias asignadas actualmente (vía Centro de administración de Microsoft 365 &gt; Facturación &gt; Licencias) durante la Fase 0, para confirmar disponibilidad de Entra ID P1/P2 y evitar sobrecostos. La adquisición de licencias adicionales (si se requieren) corre por cuenta del cliente o su distribuidor (CSP/EA) autorizado de Microsoft.</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14. Servicios de Azure Requeridos</w:t>
      </w:r>
    </w:p>
    <w:p>
      <w:pPr>
        <w:spacing w:after="160" w:line="276"/>
        <w:jc w:val="both"/>
      </w:pPr>
      <w:r>
        <w:rPr>
          <w:rFonts w:ascii="Calibri" w:cs="Calibri" w:eastAsia="Calibri" w:hAnsi="Calibri"/>
          <w:sz w:val="21"/>
          <w:szCs w:val="21"/>
        </w:rPr>
        <w:t xml:space="preserve">Aunque el proyecto es principalmente de identidad en Microsoft Entra ID (plano de control compartido con Azure), se identifican los siguientes servicios de Azure opcionales/recomendados según la ruta elegida: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50"/>
      </w:tblGrid>
      <w:tr>
        <w:tc>
          <w:tcPr>
            <w:tcW w:type="dxa" w:w="280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Servicio de Azure</w:t>
            </w:r>
          </w:p>
        </w:tc>
        <w:tc>
          <w:tcPr>
            <w:tcW w:type="dxa" w:w="380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Uso en el proyecto</w:t>
            </w:r>
          </w:p>
        </w:tc>
        <w:tc>
          <w:tcPr>
            <w:tcW w:type="dxa" w:w="2750"/>
            <w:shd w:fill="1F3864" w:val="clear"/>
            <w:tcMar>
              <w:top w:type="dxa" w:w="100"/>
              <w:left w:type="dxa" w:w="100"/>
              <w:bottom w:type="dxa" w:w="100"/>
              <w:right w:type="dxa" w:w="100"/>
            </w:tcMar>
            <w:vAlign w:val="center"/>
          </w:tcPr>
          <w:p>
            <w:pPr>
              <w:jc w:val="left"/>
            </w:pPr>
            <w:r>
              <w:rPr>
                <w:rFonts w:ascii="Calibri" w:cs="Calibri" w:eastAsia="Calibri" w:hAnsi="Calibri"/>
                <w:b/>
                <w:bCs/>
                <w:color w:val="FFFFFF"/>
                <w:sz w:val="20"/>
                <w:szCs w:val="20"/>
              </w:rPr>
              <w:t xml:space="preserve">¿Obligatorio?</w:t>
            </w:r>
          </w:p>
        </w:tc>
      </w:tr>
      <w:tr>
        <w:tc>
          <w:tcPr>
            <w:tcW w:type="dxa" w:w="28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Azure Log Analytics / Sentinel</w:t>
            </w:r>
          </w:p>
        </w:tc>
        <w:tc>
          <w:tcPr>
            <w:tcW w:type="dxa" w:w="38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Monitoreo, auditoría y detección de anomalías sobre cambios de identidad</w:t>
            </w:r>
          </w:p>
        </w:tc>
        <w:tc>
          <w:tcPr>
            <w:tcW w:type="dxa" w:w="27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Opcional — recomendado</w:t>
            </w:r>
          </w:p>
        </w:tc>
      </w:tr>
      <w:tr>
        <w:tc>
          <w:tcPr>
            <w:tcW w:type="dxa" w:w="28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Azure Virtual Machines (2x, si Opción B)</w:t>
            </w:r>
          </w:p>
        </w:tc>
        <w:tc>
          <w:tcPr>
            <w:tcW w:type="dxa" w:w="38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Hospedaje de los nuevos controladores de dominio (IaaS), evitando depender de hardware físico local</w:t>
            </w:r>
          </w:p>
        </w:tc>
        <w:tc>
          <w:tcPr>
            <w:tcW w:type="dxa" w:w="27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Solo si se elige Opción B y no hay infraestructura local</w:t>
            </w:r>
          </w:p>
        </w:tc>
      </w:tr>
      <w:tr>
        <w:tc>
          <w:tcPr>
            <w:tcW w:type="dxa" w:w="28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Azure Key Vault</w:t>
            </w:r>
          </w:p>
        </w:tc>
        <w:tc>
          <w:tcPr>
            <w:tcW w:type="dxa" w:w="38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Resguardo seguro de credenciales/servicios usados durante scripts de migración (cuentas de servicio, tokens de Graph)</w:t>
            </w:r>
          </w:p>
        </w:tc>
        <w:tc>
          <w:tcPr>
            <w:tcW w:type="dxa" w:w="27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Recomendado</w:t>
            </w:r>
          </w:p>
        </w:tc>
      </w:tr>
      <w:tr>
        <w:tc>
          <w:tcPr>
            <w:tcW w:type="dxa" w:w="28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Azure Automation / Runbooks</w:t>
            </w:r>
          </w:p>
        </w:tc>
        <w:tc>
          <w:tcPr>
            <w:tcW w:type="dxa" w:w="38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Automatización de tareas recurrentes de gobierno de identidad (revisión de cuentas huérfanas, reportes)</w:t>
            </w:r>
          </w:p>
        </w:tc>
        <w:tc>
          <w:tcPr>
            <w:tcW w:type="dxa" w:w="27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Opcional</w:t>
            </w:r>
          </w:p>
        </w:tc>
      </w:tr>
      <w:tr>
        <w:tc>
          <w:tcPr>
            <w:tcW w:type="dxa" w:w="2800"/>
            <w:shd w:fill="F2F2F2" w:val="clear"/>
            <w:tcMar>
              <w:top w:type="dxa" w:w="100"/>
              <w:left w:type="dxa" w:w="100"/>
              <w:bottom w:type="dxa" w:w="100"/>
              <w:right w:type="dxa" w:w="100"/>
            </w:tcMar>
            <w:vAlign w:val="center"/>
          </w:tcPr>
          <w:p>
            <w:pPr>
              <w:jc w:val="left"/>
            </w:pPr>
            <w:r>
              <w:rPr>
                <w:rFonts w:ascii="Calibri" w:cs="Calibri" w:eastAsia="Calibri" w:hAnsi="Calibri"/>
                <w:b/>
                <w:bCs/>
                <w:color w:val="000000"/>
                <w:sz w:val="20"/>
                <w:szCs w:val="20"/>
              </w:rPr>
              <w:t xml:space="preserve">Microsoft Entra Domain Services</w:t>
            </w:r>
          </w:p>
        </w:tc>
        <w:tc>
          <w:tcPr>
            <w:tcW w:type="dxa" w:w="380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Alternativa gestionada por Microsoft a un dominio AD tradicional, sin administrar controladores propios (si se requiere Kerberos/LDAP sin reconstruir AD completo)</w:t>
            </w:r>
          </w:p>
        </w:tc>
        <w:tc>
          <w:tcPr>
            <w:tcW w:type="dxa" w:w="2750"/>
            <w:shd w:fill="FFFFFF" w:val="clear"/>
            <w:tcMar>
              <w:top w:type="dxa" w:w="100"/>
              <w:left w:type="dxa" w:w="100"/>
              <w:bottom w:type="dxa" w:w="100"/>
              <w:right w:type="dxa" w:w="100"/>
            </w:tcMar>
            <w:vAlign w:val="center"/>
          </w:tcPr>
          <w:p>
            <w:pPr>
              <w:jc w:val="left"/>
            </w:pPr>
            <w:r>
              <w:rPr>
                <w:rFonts w:ascii="Calibri" w:cs="Calibri" w:eastAsia="Calibri" w:hAnsi="Calibri"/>
                <w:b w:val="false"/>
                <w:bCs w:val="false"/>
                <w:color w:val="000000"/>
                <w:sz w:val="20"/>
                <w:szCs w:val="20"/>
              </w:rPr>
              <w:t xml:space="preserve">Alternativa a evaluar en Fase 1</w:t>
            </w:r>
          </w:p>
        </w:tc>
      </w:tr>
    </w:tbl>
    <w:p>
      <w:pPr>
        <w:spacing w:before="300"/>
      </w:pPr>
    </w:p>
    <w:p>
      <w:pPr>
        <w:spacing w:after="160" w:line="276"/>
        <w:jc w:val="both"/>
      </w:pPr>
      <w:r>
        <w:rPr>
          <w:rFonts w:ascii="Calibri" w:cs="Calibri" w:eastAsia="Calibri" w:hAnsi="Calibri"/>
          <w:sz w:val="21"/>
          <w:szCs w:val="21"/>
        </w:rPr>
        <w:t xml:space="preserve">Nota importante: Microsoft Entra Domain Services (Entra DS) es una alternativa a valorar en la Fase 1 para clientes que requieren Kerberos/NTLM/LDAP para un número limitado de aplicaciones legacy, sin necesidad de reconstruir ni mantener controladores de dominio propios — puede reducir considerablemente el costo y complejidad frente a la Opción B completa.</w:t>
      </w:r>
    </w:p>
    <w:p>
      <w:r>
        <w:br w:type="page"/>
      </w:r>
    </w:p>
    <w:p>
      <w:pPr>
        <w:pStyle w:val="Heading1"/>
        <w:pBdr>
          <w:bottom w:val="single" w:color="2E74B5" w:sz="6" w:space="4"/>
        </w:pBdr>
        <w:spacing w:after="200" w:before="400"/>
      </w:pPr>
      <w:r>
        <w:rPr>
          <w:rFonts w:ascii="Calibri" w:cs="Calibri" w:eastAsia="Calibri" w:hAnsi="Calibri"/>
          <w:b/>
          <w:bCs/>
          <w:color w:val="1F3864"/>
          <w:sz w:val="30"/>
          <w:szCs w:val="30"/>
        </w:rPr>
        <w:t xml:space="preserve">15. Próximos Pasos</w:t>
      </w:r>
    </w:p>
    <w:p>
      <w:pPr>
        <w:pStyle w:val="ListParagraph"/>
        <w:numPr>
          <w:ilvl w:val="0"/>
          <w:numId w:val="3"/>
        </w:numPr>
        <w:spacing w:after="90"/>
      </w:pPr>
      <w:r>
        <w:rPr>
          <w:rFonts w:ascii="Calibri" w:cs="Calibri" w:eastAsia="Calibri" w:hAnsi="Calibri"/>
          <w:sz w:val="21"/>
          <w:szCs w:val="21"/>
        </w:rPr>
        <w:t xml:space="preserve">Revisión y retroalimentación de esta propuesta por parte del cliente.</w:t>
      </w:r>
    </w:p>
    <w:p>
      <w:pPr>
        <w:pStyle w:val="ListParagraph"/>
        <w:numPr>
          <w:ilvl w:val="0"/>
          <w:numId w:val="3"/>
        </w:numPr>
        <w:spacing w:after="90"/>
      </w:pPr>
      <w:r>
        <w:rPr>
          <w:rFonts w:ascii="Calibri" w:cs="Calibri" w:eastAsia="Calibri" w:hAnsi="Calibri"/>
          <w:sz w:val="21"/>
          <w:szCs w:val="21"/>
        </w:rPr>
        <w:t xml:space="preserve">Sesión de alineación para seleccionar la ruta de solución (Opción A o B) y confirmar alcance final.</w:t>
      </w:r>
    </w:p>
    <w:p>
      <w:pPr>
        <w:pStyle w:val="ListParagraph"/>
        <w:numPr>
          <w:ilvl w:val="0"/>
          <w:numId w:val="3"/>
        </w:numPr>
        <w:spacing w:after="90"/>
      </w:pPr>
      <w:r>
        <w:rPr>
          <w:rFonts w:ascii="Calibri" w:cs="Calibri" w:eastAsia="Calibri" w:hAnsi="Calibri"/>
          <w:sz w:val="21"/>
          <w:szCs w:val="21"/>
        </w:rPr>
        <w:t xml:space="preserve">Firma de la propuesta / orden de servicio y programación del kick-off del proyecto.</w:t>
      </w:r>
    </w:p>
    <w:p>
      <w:pPr>
        <w:pStyle w:val="ListParagraph"/>
        <w:numPr>
          <w:ilvl w:val="0"/>
          <w:numId w:val="3"/>
        </w:numPr>
        <w:spacing w:after="90"/>
      </w:pPr>
      <w:r>
        <w:rPr>
          <w:rFonts w:ascii="Calibri" w:cs="Calibri" w:eastAsia="Calibri" w:hAnsi="Calibri"/>
          <w:sz w:val="21"/>
          <w:szCs w:val="21"/>
        </w:rPr>
        <w:t xml:space="preserve">Inicio de Fase 0 — Descubrimiento y respaldo.</w:t>
      </w:r>
    </w:p>
    <w:p>
      <w:pPr>
        <w:pBdr>
          <w:bottom w:val="single" w:color="BFBFBF" w:sz="6" w:space="1"/>
        </w:pBdr>
        <w:spacing w:after="200"/>
      </w:pPr>
    </w:p>
    <w:p>
      <w:pPr>
        <w:spacing w:after="160" w:line="276"/>
        <w:jc w:val="both"/>
      </w:pPr>
      <w:r>
        <w:rPr>
          <w:rFonts w:ascii="Calibri" w:cs="Calibri" w:eastAsia="Calibri" w:hAnsi="Calibri"/>
          <w:sz w:val="21"/>
          <w:szCs w:val="21"/>
        </w:rPr>
        <w:t xml:space="preserve">Quedamos atentos a sus comentarios para agendar la sesión de alineación y dar inicio a la remediación en el menor tiempo posible, dado el nivel de riesgo actual del ambiente.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Confidencial — 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Propuesta de Servicios — Remediación de Identidad Híbrida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2026-07-28T05:30:57.790Z</dcterms:created>
  <dcterms:modified xsi:type="dcterms:W3CDTF">2026-07-28T05:30:57.804Z</dcterms:modified>
</cp:coreProperties>
</file>

<file path=docProps/custom.xml><?xml version="1.0" encoding="utf-8"?>
<Properties xmlns="http://schemas.openxmlformats.org/officeDocument/2006/custom-properties" xmlns:vt="http://schemas.openxmlformats.org/officeDocument/2006/docPropsVTypes"/>
</file>