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F3864"/>
          <w:sz w:val="56"/>
          <w:szCs w:val="56"/>
        </w:rPr>
        <w:t xml:space="preserve">Azure AI Services</w:t>
      </w:r>
    </w:p>
    <w:p>
      <w:pPr>
        <w:spacing w:after="100" w:before="100"/>
        <w:jc w:val="center"/>
      </w:pPr>
      <w:r>
        <w:rPr>
          <w:i/>
          <w:iCs/>
          <w:color w:val="595959"/>
          <w:sz w:val="28"/>
          <w:szCs w:val="28"/>
        </w:rPr>
        <w:t xml:space="preserve">(anteriormente Azure Cognitive Services)</w:t>
      </w:r>
    </w:p>
    <w:p>
      <w:pPr>
        <w:spacing w:after="3000" w:before="300"/>
        <w:jc w:val="center"/>
      </w:pPr>
      <w:r>
        <w:rPr>
          <w:color w:val="2E74B5"/>
          <w:sz w:val="24"/>
          <w:szCs w:val="24"/>
        </w:rPr>
        <w:t xml:space="preserve">Documento informativo general</w:t>
      </w:r>
    </w:p>
    <w:p>
      <w:pPr>
        <w:jc w:val="center"/>
      </w:pPr>
      <w:r>
        <w:rPr>
          <w:color w:val="595959"/>
          <w:sz w:val="20"/>
          <w:szCs w:val="20"/>
        </w:rPr>
        <w:t xml:space="preserve">Julio de 2026</w:t>
      </w:r>
    </w:p>
    <w:p>
      <w:r>
        <w:br w:type="page"/>
      </w:r>
    </w:p>
    <w:p>
      <w:pPr>
        <w:pStyle w:val="Heading1"/>
        <w:pBdr>
          <w:bottom w:val="single" w:color="2E74B5" w:sz="6"/>
        </w:pBdr>
        <w:spacing w:after="200" w:before="400"/>
      </w:pPr>
      <w:r>
        <w:rPr>
          <w:b/>
          <w:bCs/>
          <w:color w:val="1F3864"/>
          <w:sz w:val="30"/>
          <w:szCs w:val="30"/>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4B5" w:sz="6"/>
        </w:pBdr>
        <w:spacing w:after="200" w:before="400"/>
      </w:pPr>
      <w:r>
        <w:rPr>
          <w:b/>
          <w:bCs/>
          <w:color w:val="1F3864"/>
          <w:sz w:val="30"/>
          <w:szCs w:val="30"/>
        </w:rPr>
        <w:t xml:space="preserve">1. ¿Qué es Azure Cognitive Services / Azure AI Services?</w:t>
      </w:r>
    </w:p>
    <w:p>
      <w:pPr>
        <w:spacing w:after="160" w:line="300"/>
      </w:pPr>
      <w:r>
        <w:rPr>
          <w:sz w:val="22"/>
          <w:szCs w:val="22"/>
        </w:rPr>
        <w:t xml:space="preserve">Azure Cognitive Services es el nombre original de un conjunto de servicios de inteligencia artificial en la nube, ofrecidos por Microsoft dentro de la plataforma Azure. En 2023, Microsoft renombró esta familia de servicios como Azure AI Services, como parte de la unificación de su portafolio de inteligencia artificial (que ahora también incluye Azure OpenAI Service y Azure Machine Learning). Sin embargo, el nombre “Cognitive Services” se sigue utilizando ampliamente en la industria y en la documentación técnica.</w:t>
      </w:r>
    </w:p>
    <w:p>
      <w:pPr>
        <w:spacing w:after="160" w:line="300"/>
      </w:pPr>
      <w:r>
        <w:rPr>
          <w:sz w:val="22"/>
          <w:szCs w:val="22"/>
        </w:rPr>
        <w:t xml:space="preserve">En esencia, se trata de un catálogo de APIs y SDKs preconstruidos que permiten agregar capacidades de inteligencia artificial (visión, voz, lenguaje y toma de decisiones) a cualquier aplicación, sin necesidad de entrenar modelos de machine learning desde cero ni contar con un equipo de científicos de datos.</w:t>
      </w:r>
    </w:p>
    <w:p>
      <w:pPr>
        <w:pStyle w:val="Heading2"/>
        <w:spacing w:after="120" w:before="300"/>
      </w:pPr>
      <w:r>
        <w:rPr>
          <w:b/>
          <w:bCs/>
          <w:color w:val="2E74B5"/>
          <w:sz w:val="24"/>
          <w:szCs w:val="24"/>
        </w:rPr>
        <w:t xml:space="preserve">Idea clave</w:t>
      </w:r>
    </w:p>
    <w:p>
      <w:pPr>
        <w:spacing w:after="160" w:line="300"/>
      </w:pPr>
      <w:r>
        <w:rPr>
          <w:sz w:val="22"/>
          <w:szCs w:val="22"/>
        </w:rPr>
        <w:t xml:space="preserve">En lugar de desarrollar algoritmos de IA propios, un desarrollador simplemente hace una llamada a una API ya entrenada por Microsoft (por ejemplo, para reconocer texto en una imagen o traducir un idioma) y recibe el resultado listo para usar en su aplicación.</w:t>
      </w:r>
    </w:p>
    <w:p>
      <w:pPr>
        <w:pStyle w:val="Heading1"/>
        <w:pBdr>
          <w:bottom w:val="single" w:color="2E74B5" w:sz="6"/>
        </w:pBdr>
        <w:spacing w:after="200" w:before="400"/>
      </w:pPr>
      <w:r>
        <w:rPr>
          <w:b/>
          <w:bCs/>
          <w:color w:val="1F3864"/>
          <w:sz w:val="30"/>
          <w:szCs w:val="30"/>
        </w:rPr>
        <w:t xml:space="preserve">2. ¿Para qué sirve?</w:t>
      </w:r>
    </w:p>
    <w:p>
      <w:pPr>
        <w:spacing w:after="160" w:line="300"/>
      </w:pPr>
      <w:r>
        <w:rPr>
          <w:sz w:val="22"/>
          <w:szCs w:val="22"/>
        </w:rPr>
        <w:t xml:space="preserve">Azure Cognitive Services permite a las organizaciones incorporar inteligencia artificial en sus procesos y productos de forma rápida y rentable. Sus principales objetivos son:</w:t>
      </w:r>
    </w:p>
    <w:p>
      <w:pPr>
        <w:pStyle w:val="ListParagraph"/>
        <w:numPr>
          <w:ilvl w:val="0"/>
          <w:numId w:val="2"/>
        </w:numPr>
        <w:spacing w:after="100" w:line="280"/>
      </w:pPr>
      <w:r>
        <w:rPr>
          <w:b/>
          <w:bCs/>
          <w:color w:val="1F3864"/>
          <w:sz w:val="22"/>
          <w:szCs w:val="22"/>
        </w:rPr>
        <w:t xml:space="preserve">Acelerar el desarrollo de software inteligente: </w:t>
      </w:r>
      <w:r>
        <w:rPr>
          <w:sz w:val="22"/>
          <w:szCs w:val="22"/>
        </w:rPr>
        <w:t xml:space="preserve">reduce el tiempo de salida al mercado al ofrecer modelos ya entrenados y listos para producción.</w:t>
      </w:r>
    </w:p>
    <w:p>
      <w:pPr>
        <w:pStyle w:val="ListParagraph"/>
        <w:numPr>
          <w:ilvl w:val="0"/>
          <w:numId w:val="2"/>
        </w:numPr>
        <w:spacing w:after="100" w:line="280"/>
      </w:pPr>
      <w:r>
        <w:rPr>
          <w:b/>
          <w:bCs/>
          <w:color w:val="1F3864"/>
          <w:sz w:val="22"/>
          <w:szCs w:val="22"/>
        </w:rPr>
        <w:t xml:space="preserve">Modernizar aplicaciones existentes: </w:t>
      </w:r>
      <w:r>
        <w:rPr>
          <w:sz w:val="22"/>
          <w:szCs w:val="22"/>
        </w:rPr>
        <w:t xml:space="preserve">agrega funciones de IA (chatbots, búsqueda semántica, análisis de documentos) a sistemas heredados sin rediseñarlos por completo.</w:t>
      </w:r>
    </w:p>
    <w:p>
      <w:pPr>
        <w:pStyle w:val="ListParagraph"/>
        <w:numPr>
          <w:ilvl w:val="0"/>
          <w:numId w:val="2"/>
        </w:numPr>
        <w:spacing w:after="100" w:line="280"/>
      </w:pPr>
      <w:r>
        <w:rPr>
          <w:b/>
          <w:bCs/>
          <w:color w:val="1F3864"/>
          <w:sz w:val="22"/>
          <w:szCs w:val="22"/>
        </w:rPr>
        <w:t xml:space="preserve">Automatizar procesos de negocio: </w:t>
      </w:r>
      <w:r>
        <w:rPr>
          <w:sz w:val="22"/>
          <w:szCs w:val="22"/>
        </w:rPr>
        <w:t xml:space="preserve">extracción de datos de documentos, moderación de contenido, análisis de sentimiento, detección de anomalías, entre otros.</w:t>
      </w:r>
    </w:p>
    <w:p>
      <w:pPr>
        <w:pStyle w:val="ListParagraph"/>
        <w:numPr>
          <w:ilvl w:val="0"/>
          <w:numId w:val="2"/>
        </w:numPr>
        <w:spacing w:after="100" w:line="280"/>
      </w:pPr>
      <w:r>
        <w:rPr>
          <w:b/>
          <w:bCs/>
          <w:color w:val="1F3864"/>
          <w:sz w:val="22"/>
          <w:szCs w:val="22"/>
        </w:rPr>
        <w:t xml:space="preserve">Mejorar la experiencia del cliente: </w:t>
      </w:r>
      <w:r>
        <w:rPr>
          <w:sz w:val="22"/>
          <w:szCs w:val="22"/>
        </w:rPr>
        <w:t xml:space="preserve">asistentes virtuales, traducción en tiempo real y análisis de voz para call centers.</w:t>
      </w:r>
    </w:p>
    <w:p>
      <w:pPr>
        <w:pStyle w:val="ListParagraph"/>
        <w:numPr>
          <w:ilvl w:val="0"/>
          <w:numId w:val="2"/>
        </w:numPr>
        <w:spacing w:after="100" w:line="280"/>
      </w:pPr>
      <w:r>
        <w:rPr>
          <w:b/>
          <w:bCs/>
          <w:color w:val="1F3864"/>
          <w:sz w:val="22"/>
          <w:szCs w:val="22"/>
        </w:rPr>
        <w:t xml:space="preserve">Escalar con la infraestructura de Azure: </w:t>
      </w:r>
      <w:r>
        <w:rPr>
          <w:sz w:val="22"/>
          <w:szCs w:val="22"/>
        </w:rPr>
        <w:t xml:space="preserve">aprovecha la seguridad, disponibilidad global y cumplimiento normativo de la nube de Microsoft.</w:t>
      </w:r>
    </w:p>
    <w:p>
      <w:pPr>
        <w:pStyle w:val="Heading1"/>
        <w:pBdr>
          <w:bottom w:val="single" w:color="2E74B5" w:sz="6"/>
        </w:pBdr>
        <w:spacing w:after="200" w:before="400"/>
      </w:pPr>
      <w:r>
        <w:rPr>
          <w:b/>
          <w:bCs/>
          <w:color w:val="1F3864"/>
          <w:sz w:val="30"/>
          <w:szCs w:val="30"/>
        </w:rPr>
        <w:t xml:space="preserve">3. Categorías principales de servicios</w:t>
      </w:r>
    </w:p>
    <w:p>
      <w:pPr>
        <w:spacing w:after="160" w:line="300"/>
      </w:pPr>
      <w:r>
        <w:rPr>
          <w:sz w:val="22"/>
          <w:szCs w:val="22"/>
        </w:rPr>
        <w:t xml:space="preserve">Los servicios se organizan en cinco grandes dominios o pilares: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100"/>
      </w:tblGrid>
      <w:tr>
        <w:trPr>
          <w:tblHeader/>
        </w:trPr>
        <w:tc>
          <w:tcPr>
            <w:tcW w:type="dxa" w:w="2200"/>
            <w:shd w:fill="1F3864" w:val="clear"/>
            <w:tcMar>
              <w:top w:type="dxa" w:w="100"/>
              <w:left w:type="dxa" w:w="120"/>
              <w:bottom w:type="dxa" w:w="100"/>
              <w:right w:type="dxa" w:w="120"/>
            </w:tcMar>
          </w:tcPr>
          <w:p>
            <w:r>
              <w:rPr>
                <w:b/>
                <w:bCs/>
                <w:color w:val="FFFFFF"/>
                <w:sz w:val="20"/>
                <w:szCs w:val="20"/>
              </w:rPr>
              <w:t xml:space="preserve">Categoría</w:t>
            </w:r>
          </w:p>
        </w:tc>
        <w:tc>
          <w:tcPr>
            <w:tcW w:type="dxa" w:w="4400"/>
            <w:shd w:fill="1F3864" w:val="clear"/>
            <w:tcMar>
              <w:top w:type="dxa" w:w="100"/>
              <w:left w:type="dxa" w:w="120"/>
              <w:bottom w:type="dxa" w:w="100"/>
              <w:right w:type="dxa" w:w="120"/>
            </w:tcMar>
          </w:tcPr>
          <w:p>
            <w:r>
              <w:rPr>
                <w:b/>
                <w:bCs/>
                <w:color w:val="FFFFFF"/>
                <w:sz w:val="20"/>
                <w:szCs w:val="20"/>
              </w:rPr>
              <w:t xml:space="preserve">Descripción</w:t>
            </w:r>
          </w:p>
        </w:tc>
        <w:tc>
          <w:tcPr>
            <w:tcW w:type="dxa" w:w="3100"/>
            <w:shd w:fill="1F3864" w:val="clear"/>
            <w:tcMar>
              <w:top w:type="dxa" w:w="100"/>
              <w:left w:type="dxa" w:w="120"/>
              <w:bottom w:type="dxa" w:w="100"/>
              <w:right w:type="dxa" w:w="120"/>
            </w:tcMar>
          </w:tcPr>
          <w:p>
            <w:r>
              <w:rPr>
                <w:b/>
                <w:bCs/>
                <w:color w:val="FFFFFF"/>
                <w:sz w:val="20"/>
                <w:szCs w:val="20"/>
              </w:rPr>
              <w:t xml:space="preserve">Ejemplos de servicio</w:t>
            </w:r>
          </w:p>
        </w:tc>
      </w:tr>
      <w:tr>
        <w:tc>
          <w:tcPr>
            <w:tcW w:type="dxa" w:w="2200"/>
            <w:shd w:fill="F2F2F2" w:val="clear"/>
            <w:tcMar>
              <w:top w:type="dxa" w:w="100"/>
              <w:left w:type="dxa" w:w="120"/>
              <w:bottom w:type="dxa" w:w="100"/>
              <w:right w:type="dxa" w:w="120"/>
            </w:tcMar>
          </w:tcPr>
          <w:p>
            <w:r>
              <w:rPr>
                <w:b w:val="false"/>
                <w:bCs w:val="false"/>
                <w:color w:val="000000"/>
                <w:sz w:val="20"/>
                <w:szCs w:val="20"/>
              </w:rPr>
              <w:t xml:space="preserve">Visión</w:t>
            </w:r>
          </w:p>
        </w:tc>
        <w:tc>
          <w:tcPr>
            <w:tcW w:type="dxa" w:w="4400"/>
            <w:shd w:fill="F2F2F2" w:val="clear"/>
            <w:tcMar>
              <w:top w:type="dxa" w:w="100"/>
              <w:left w:type="dxa" w:w="120"/>
              <w:bottom w:type="dxa" w:w="100"/>
              <w:right w:type="dxa" w:w="120"/>
            </w:tcMar>
          </w:tcPr>
          <w:p>
            <w:r>
              <w:rPr>
                <w:b w:val="false"/>
                <w:bCs w:val="false"/>
                <w:color w:val="000000"/>
                <w:sz w:val="20"/>
                <w:szCs w:val="20"/>
              </w:rPr>
              <w:t xml:space="preserve">Análisis de imágenes, video y documentos.</w:t>
            </w:r>
          </w:p>
        </w:tc>
        <w:tc>
          <w:tcPr>
            <w:tcW w:type="dxa" w:w="3100"/>
            <w:shd w:fill="F2F2F2" w:val="clear"/>
            <w:tcMar>
              <w:top w:type="dxa" w:w="100"/>
              <w:left w:type="dxa" w:w="120"/>
              <w:bottom w:type="dxa" w:w="100"/>
              <w:right w:type="dxa" w:w="120"/>
            </w:tcMar>
          </w:tcPr>
          <w:p>
            <w:r>
              <w:rPr>
                <w:b w:val="false"/>
                <w:bCs w:val="false"/>
                <w:color w:val="000000"/>
                <w:sz w:val="20"/>
                <w:szCs w:val="20"/>
              </w:rPr>
              <w:t xml:space="preserve">Computer Vision, Face, Document Intelligence</w:t>
            </w:r>
          </w:p>
        </w:tc>
      </w:tr>
      <w:tr>
        <w:tc>
          <w:tcPr>
            <w:tcW w:type="dxa" w:w="2200"/>
            <w:shd w:fill="FFFFFF" w:val="clear"/>
            <w:tcMar>
              <w:top w:type="dxa" w:w="100"/>
              <w:left w:type="dxa" w:w="120"/>
              <w:bottom w:type="dxa" w:w="100"/>
              <w:right w:type="dxa" w:w="120"/>
            </w:tcMar>
          </w:tcPr>
          <w:p>
            <w:r>
              <w:rPr>
                <w:b w:val="false"/>
                <w:bCs w:val="false"/>
                <w:color w:val="000000"/>
                <w:sz w:val="20"/>
                <w:szCs w:val="20"/>
              </w:rPr>
              <w:t xml:space="preserve">Voz (Speech)</w:t>
            </w:r>
          </w:p>
        </w:tc>
        <w:tc>
          <w:tcPr>
            <w:tcW w:type="dxa" w:w="4400"/>
            <w:shd w:fill="FFFFFF" w:val="clear"/>
            <w:tcMar>
              <w:top w:type="dxa" w:w="100"/>
              <w:left w:type="dxa" w:w="120"/>
              <w:bottom w:type="dxa" w:w="100"/>
              <w:right w:type="dxa" w:w="120"/>
            </w:tcMar>
          </w:tcPr>
          <w:p>
            <w:r>
              <w:rPr>
                <w:b w:val="false"/>
                <w:bCs w:val="false"/>
                <w:color w:val="000000"/>
                <w:sz w:val="20"/>
                <w:szCs w:val="20"/>
              </w:rPr>
              <w:t xml:space="preserve">Conversión de voz a texto, texto a voz y traducción de voz.</w:t>
            </w:r>
          </w:p>
        </w:tc>
        <w:tc>
          <w:tcPr>
            <w:tcW w:type="dxa" w:w="3100"/>
            <w:shd w:fill="FFFFFF" w:val="clear"/>
            <w:tcMar>
              <w:top w:type="dxa" w:w="100"/>
              <w:left w:type="dxa" w:w="120"/>
              <w:bottom w:type="dxa" w:w="100"/>
              <w:right w:type="dxa" w:w="120"/>
            </w:tcMar>
          </w:tcPr>
          <w:p>
            <w:r>
              <w:rPr>
                <w:b w:val="false"/>
                <w:bCs w:val="false"/>
                <w:color w:val="000000"/>
                <w:sz w:val="20"/>
                <w:szCs w:val="20"/>
              </w:rPr>
              <w:t xml:space="preserve">Speech to Text, Text to Speech, Speech Translation</w:t>
            </w:r>
          </w:p>
        </w:tc>
      </w:tr>
      <w:tr>
        <w:tc>
          <w:tcPr>
            <w:tcW w:type="dxa" w:w="2200"/>
            <w:shd w:fill="F2F2F2" w:val="clear"/>
            <w:tcMar>
              <w:top w:type="dxa" w:w="100"/>
              <w:left w:type="dxa" w:w="120"/>
              <w:bottom w:type="dxa" w:w="100"/>
              <w:right w:type="dxa" w:w="120"/>
            </w:tcMar>
          </w:tcPr>
          <w:p>
            <w:r>
              <w:rPr>
                <w:b w:val="false"/>
                <w:bCs w:val="false"/>
                <w:color w:val="000000"/>
                <w:sz w:val="20"/>
                <w:szCs w:val="20"/>
              </w:rPr>
              <w:t xml:space="preserve">Lenguaje</w:t>
            </w:r>
          </w:p>
        </w:tc>
        <w:tc>
          <w:tcPr>
            <w:tcW w:type="dxa" w:w="4400"/>
            <w:shd w:fill="F2F2F2" w:val="clear"/>
            <w:tcMar>
              <w:top w:type="dxa" w:w="100"/>
              <w:left w:type="dxa" w:w="120"/>
              <w:bottom w:type="dxa" w:w="100"/>
              <w:right w:type="dxa" w:w="120"/>
            </w:tcMar>
          </w:tcPr>
          <w:p>
            <w:r>
              <w:rPr>
                <w:b w:val="false"/>
                <w:bCs w:val="false"/>
                <w:color w:val="000000"/>
                <w:sz w:val="20"/>
                <w:szCs w:val="20"/>
              </w:rPr>
              <w:t xml:space="preserve">Comprensión y generación de lenguaje natural.</w:t>
            </w:r>
          </w:p>
        </w:tc>
        <w:tc>
          <w:tcPr>
            <w:tcW w:type="dxa" w:w="3100"/>
            <w:shd w:fill="F2F2F2" w:val="clear"/>
            <w:tcMar>
              <w:top w:type="dxa" w:w="100"/>
              <w:left w:type="dxa" w:w="120"/>
              <w:bottom w:type="dxa" w:w="100"/>
              <w:right w:type="dxa" w:w="120"/>
            </w:tcMar>
          </w:tcPr>
          <w:p>
            <w:r>
              <w:rPr>
                <w:b w:val="false"/>
                <w:bCs w:val="false"/>
                <w:color w:val="000000"/>
                <w:sz w:val="20"/>
                <w:szCs w:val="20"/>
              </w:rPr>
              <w:t xml:space="preserve">Language Understanding, Text Analytics, Translator</w:t>
            </w:r>
          </w:p>
        </w:tc>
      </w:tr>
      <w:tr>
        <w:tc>
          <w:tcPr>
            <w:tcW w:type="dxa" w:w="2200"/>
            <w:shd w:fill="FFFFFF" w:val="clear"/>
            <w:tcMar>
              <w:top w:type="dxa" w:w="100"/>
              <w:left w:type="dxa" w:w="120"/>
              <w:bottom w:type="dxa" w:w="100"/>
              <w:right w:type="dxa" w:w="120"/>
            </w:tcMar>
          </w:tcPr>
          <w:p>
            <w:r>
              <w:rPr>
                <w:b w:val="false"/>
                <w:bCs w:val="false"/>
                <w:color w:val="000000"/>
                <w:sz w:val="20"/>
                <w:szCs w:val="20"/>
              </w:rPr>
              <w:t xml:space="preserve">Decisión</w:t>
            </w:r>
          </w:p>
        </w:tc>
        <w:tc>
          <w:tcPr>
            <w:tcW w:type="dxa" w:w="4400"/>
            <w:shd w:fill="FFFFFF" w:val="clear"/>
            <w:tcMar>
              <w:top w:type="dxa" w:w="100"/>
              <w:left w:type="dxa" w:w="120"/>
              <w:bottom w:type="dxa" w:w="100"/>
              <w:right w:type="dxa" w:w="120"/>
            </w:tcMar>
          </w:tcPr>
          <w:p>
            <w:r>
              <w:rPr>
                <w:b w:val="false"/>
                <w:bCs w:val="false"/>
                <w:color w:val="000000"/>
                <w:sz w:val="20"/>
                <w:szCs w:val="20"/>
              </w:rPr>
              <w:t xml:space="preserve">Detección de anomalías y sistemas de recomendación.</w:t>
            </w:r>
          </w:p>
        </w:tc>
        <w:tc>
          <w:tcPr>
            <w:tcW w:type="dxa" w:w="3100"/>
            <w:shd w:fill="FFFFFF" w:val="clear"/>
            <w:tcMar>
              <w:top w:type="dxa" w:w="100"/>
              <w:left w:type="dxa" w:w="120"/>
              <w:bottom w:type="dxa" w:w="100"/>
              <w:right w:type="dxa" w:w="120"/>
            </w:tcMar>
          </w:tcPr>
          <w:p>
            <w:r>
              <w:rPr>
                <w:b w:val="false"/>
                <w:bCs w:val="false"/>
                <w:color w:val="000000"/>
                <w:sz w:val="20"/>
                <w:szCs w:val="20"/>
              </w:rPr>
              <w:t xml:space="preserve">Anomaly Detector, Content Moderator, Personalizer</w:t>
            </w:r>
          </w:p>
        </w:tc>
      </w:tr>
      <w:tr>
        <w:tc>
          <w:tcPr>
            <w:tcW w:type="dxa" w:w="2200"/>
            <w:shd w:fill="F2F2F2" w:val="clear"/>
            <w:tcMar>
              <w:top w:type="dxa" w:w="100"/>
              <w:left w:type="dxa" w:w="120"/>
              <w:bottom w:type="dxa" w:w="100"/>
              <w:right w:type="dxa" w:w="120"/>
            </w:tcMar>
          </w:tcPr>
          <w:p>
            <w:r>
              <w:rPr>
                <w:b w:val="false"/>
                <w:bCs w:val="false"/>
                <w:color w:val="000000"/>
                <w:sz w:val="20"/>
                <w:szCs w:val="20"/>
              </w:rPr>
              <w:t xml:space="preserve">Búsqueda / IA generativa</w:t>
            </w:r>
          </w:p>
        </w:tc>
        <w:tc>
          <w:tcPr>
            <w:tcW w:type="dxa" w:w="4400"/>
            <w:shd w:fill="F2F2F2" w:val="clear"/>
            <w:tcMar>
              <w:top w:type="dxa" w:w="100"/>
              <w:left w:type="dxa" w:w="120"/>
              <w:bottom w:type="dxa" w:w="100"/>
              <w:right w:type="dxa" w:w="120"/>
            </w:tcMar>
          </w:tcPr>
          <w:p>
            <w:r>
              <w:rPr>
                <w:b w:val="false"/>
                <w:bCs w:val="false"/>
                <w:color w:val="000000"/>
                <w:sz w:val="20"/>
                <w:szCs w:val="20"/>
              </w:rPr>
              <w:t xml:space="preserve">Búsqueda cognitiva y modelos de lenguaje avanzados.</w:t>
            </w:r>
          </w:p>
        </w:tc>
        <w:tc>
          <w:tcPr>
            <w:tcW w:type="dxa" w:w="3100"/>
            <w:shd w:fill="F2F2F2" w:val="clear"/>
            <w:tcMar>
              <w:top w:type="dxa" w:w="100"/>
              <w:left w:type="dxa" w:w="120"/>
              <w:bottom w:type="dxa" w:w="100"/>
              <w:right w:type="dxa" w:w="120"/>
            </w:tcMar>
          </w:tcPr>
          <w:p>
            <w:r>
              <w:rPr>
                <w:b w:val="false"/>
                <w:bCs w:val="false"/>
                <w:color w:val="000000"/>
                <w:sz w:val="20"/>
                <w:szCs w:val="20"/>
              </w:rPr>
              <w:t xml:space="preserve">Azure AI Search, Azure OpenAI Service</w:t>
            </w:r>
          </w:p>
        </w:tc>
      </w:tr>
    </w:tbl>
    <w:p>
      <w:pPr>
        <w:spacing w:after="120"/>
      </w:pPr>
    </w:p>
    <w:p>
      <w:pPr>
        <w:spacing w:after="160" w:line="300"/>
      </w:pPr>
      <w:r>
        <w:rPr>
          <w:i/>
          <w:iCs/>
          <w:color w:val="595959"/>
          <w:sz w:val="20"/>
          <w:szCs w:val="20"/>
        </w:rPr>
        <w:t xml:space="preserve">Nota: Azure AI Foundry es la interfaz unificada recomendada por Microsoft (lanzada en 2024) para probar, administrar e implementar estos servicios desde un solo lugar, sustituyendo a los portales individuales anteriores.</w:t>
      </w:r>
    </w:p>
    <w:p>
      <w:pPr>
        <w:pStyle w:val="Heading1"/>
        <w:pBdr>
          <w:bottom w:val="single" w:color="2E74B5" w:sz="6"/>
        </w:pBdr>
        <w:spacing w:after="200" w:before="400"/>
      </w:pPr>
      <w:r>
        <w:rPr>
          <w:b/>
          <w:bCs/>
          <w:color w:val="1F3864"/>
          <w:sz w:val="30"/>
          <w:szCs w:val="30"/>
        </w:rPr>
        <w:t xml:space="preserve">4. Casos de uso</w:t>
      </w:r>
    </w:p>
    <w:p>
      <w:pPr>
        <w:pStyle w:val="Heading2"/>
        <w:spacing w:after="120" w:before="300"/>
      </w:pPr>
      <w:r>
        <w:rPr>
          <w:b/>
          <w:bCs/>
          <w:color w:val="2E74B5"/>
          <w:sz w:val="24"/>
          <w:szCs w:val="24"/>
        </w:rPr>
        <w:t xml:space="preserve">Atención al cliente y chatbots</w:t>
      </w:r>
    </w:p>
    <w:p>
      <w:pPr>
        <w:spacing w:after="160" w:line="300"/>
      </w:pPr>
      <w:r>
        <w:rPr>
          <w:sz w:val="22"/>
          <w:szCs w:val="22"/>
        </w:rPr>
        <w:t xml:space="preserve">Creación de asistentes virtuales que entienden lenguaje natural, resuelven consultas frecuentes y escalan a un agente humano cuando es necesario.</w:t>
      </w:r>
    </w:p>
    <w:p>
      <w:pPr>
        <w:pStyle w:val="Heading2"/>
        <w:spacing w:after="120" w:before="300"/>
      </w:pPr>
      <w:r>
        <w:rPr>
          <w:b/>
          <w:bCs/>
          <w:color w:val="2E74B5"/>
          <w:sz w:val="24"/>
          <w:szCs w:val="24"/>
        </w:rPr>
        <w:t xml:space="preserve">Procesamiento inteligente de documentos</w:t>
      </w:r>
    </w:p>
    <w:p>
      <w:pPr>
        <w:spacing w:after="160" w:line="300"/>
      </w:pPr>
      <w:r>
        <w:rPr>
          <w:sz w:val="22"/>
          <w:szCs w:val="22"/>
        </w:rPr>
        <w:t xml:space="preserve">Extracción automática de datos de facturas, contratos o formularios (Document Intelligence), reduciendo la captura manual de información.</w:t>
      </w:r>
    </w:p>
    <w:p>
      <w:pPr>
        <w:pStyle w:val="Heading2"/>
        <w:spacing w:after="120" w:before="300"/>
      </w:pPr>
      <w:r>
        <w:rPr>
          <w:b/>
          <w:bCs/>
          <w:color w:val="2E74B5"/>
          <w:sz w:val="24"/>
          <w:szCs w:val="24"/>
        </w:rPr>
        <w:t xml:space="preserve">Traducción y accesibilidad</w:t>
      </w:r>
    </w:p>
    <w:p>
      <w:pPr>
        <w:spacing w:after="160" w:line="300"/>
      </w:pPr>
      <w:r>
        <w:rPr>
          <w:sz w:val="22"/>
          <w:szCs w:val="22"/>
        </w:rPr>
        <w:t xml:space="preserve">Traducción en tiempo real de texto y voz para reuniones, soporte multilenguaje y subtitulado automático.</w:t>
      </w:r>
    </w:p>
    <w:p>
      <w:pPr>
        <w:pStyle w:val="Heading2"/>
        <w:spacing w:after="120" w:before="300"/>
      </w:pPr>
      <w:r>
        <w:rPr>
          <w:b/>
          <w:bCs/>
          <w:color w:val="2E74B5"/>
          <w:sz w:val="24"/>
          <w:szCs w:val="24"/>
        </w:rPr>
        <w:t xml:space="preserve">Seguridad y moderación de contenido</w:t>
      </w:r>
    </w:p>
    <w:p>
      <w:pPr>
        <w:spacing w:after="160" w:line="300"/>
      </w:pPr>
      <w:r>
        <w:rPr>
          <w:sz w:val="22"/>
          <w:szCs w:val="22"/>
        </w:rPr>
        <w:t xml:space="preserve">Detección de imágenes o texto inapropiado en plataformas con contenido generado por usuarios.</w:t>
      </w:r>
    </w:p>
    <w:p>
      <w:pPr>
        <w:pStyle w:val="Heading2"/>
        <w:spacing w:after="120" w:before="300"/>
      </w:pPr>
      <w:r>
        <w:rPr>
          <w:b/>
          <w:bCs/>
          <w:color w:val="2E74B5"/>
          <w:sz w:val="24"/>
          <w:szCs w:val="24"/>
        </w:rPr>
        <w:t xml:space="preserve">Análisis en salud, retail, manufactura y finanzas</w:t>
      </w:r>
    </w:p>
    <w:p>
      <w:pPr>
        <w:pStyle w:val="ListParagraph"/>
        <w:numPr>
          <w:ilvl w:val="0"/>
          <w:numId w:val="2"/>
        </w:numPr>
        <w:spacing w:after="100" w:line="280"/>
      </w:pPr>
      <w:r>
        <w:rPr>
          <w:sz w:val="22"/>
          <w:szCs w:val="22"/>
        </w:rPr>
        <w:t xml:space="preserve">Salud: apoyo en el análisis de imágenes médicas y transcripción de notas clínicas.</w:t>
      </w:r>
    </w:p>
    <w:p>
      <w:pPr>
        <w:pStyle w:val="ListParagraph"/>
        <w:numPr>
          <w:ilvl w:val="0"/>
          <w:numId w:val="2"/>
        </w:numPr>
        <w:spacing w:after="100" w:line="280"/>
      </w:pPr>
      <w:r>
        <w:rPr>
          <w:sz w:val="22"/>
          <w:szCs w:val="22"/>
        </w:rPr>
        <w:t xml:space="preserve">Retail: reconocimiento facial para seguridad y análisis de patrones de compra.</w:t>
      </w:r>
    </w:p>
    <w:p>
      <w:pPr>
        <w:pStyle w:val="ListParagraph"/>
        <w:numPr>
          <w:ilvl w:val="0"/>
          <w:numId w:val="2"/>
        </w:numPr>
        <w:spacing w:after="100" w:line="280"/>
      </w:pPr>
      <w:r>
        <w:rPr>
          <w:sz w:val="22"/>
          <w:szCs w:val="22"/>
        </w:rPr>
        <w:t xml:space="preserve">Manufactura: detección de anomalías en líneas de producción.</w:t>
      </w:r>
    </w:p>
    <w:p>
      <w:pPr>
        <w:pStyle w:val="ListParagraph"/>
        <w:numPr>
          <w:ilvl w:val="0"/>
          <w:numId w:val="2"/>
        </w:numPr>
        <w:spacing w:after="100" w:line="280"/>
      </w:pPr>
      <w:r>
        <w:rPr>
          <w:sz w:val="22"/>
          <w:szCs w:val="22"/>
        </w:rPr>
        <w:t xml:space="preserve">Finanzas: análisis de riesgo y detección de fraude.</w:t>
      </w:r>
    </w:p>
    <w:p>
      <w:pPr>
        <w:pStyle w:val="Heading1"/>
        <w:pBdr>
          <w:bottom w:val="single" w:color="2E74B5" w:sz="6"/>
        </w:pBdr>
        <w:spacing w:after="200" w:before="400"/>
      </w:pPr>
      <w:r>
        <w:rPr>
          <w:b/>
          <w:bCs/>
          <w:color w:val="1F3864"/>
          <w:sz w:val="30"/>
          <w:szCs w:val="30"/>
        </w:rPr>
        <w:t xml:space="preserve">5. Requerimientos técnicos</w:t>
      </w:r>
    </w:p>
    <w:p>
      <w:pPr>
        <w:spacing w:after="160" w:line="300"/>
      </w:pPr>
      <w:r>
        <w:rPr>
          <w:sz w:val="22"/>
          <w:szCs w:val="22"/>
        </w:rPr>
        <w:t xml:space="preserve">Para comenzar a utilizar Azure Cognitive Services / Azure AI Services se requiere, de forma general:</w:t>
      </w:r>
    </w:p>
    <w:p>
      <w:pPr>
        <w:pStyle w:val="ListParagraph"/>
        <w:numPr>
          <w:ilvl w:val="0"/>
          <w:numId w:val="2"/>
        </w:numPr>
        <w:spacing w:after="100" w:line="280"/>
      </w:pPr>
      <w:r>
        <w:rPr>
          <w:b/>
          <w:bCs/>
          <w:color w:val="1F3864"/>
          <w:sz w:val="22"/>
          <w:szCs w:val="22"/>
        </w:rPr>
        <w:t xml:space="preserve">Suscripción de Azure activa: </w:t>
      </w:r>
      <w:r>
        <w:rPr>
          <w:sz w:val="22"/>
          <w:szCs w:val="22"/>
        </w:rPr>
        <w:t xml:space="preserve">una cuenta de Microsoft Azure con un método de pago o crédito asociado (existe un nivel gratuito limitado por servicio).</w:t>
      </w:r>
    </w:p>
    <w:p>
      <w:pPr>
        <w:pStyle w:val="ListParagraph"/>
        <w:numPr>
          <w:ilvl w:val="0"/>
          <w:numId w:val="2"/>
        </w:numPr>
        <w:spacing w:after="100" w:line="280"/>
      </w:pPr>
      <w:r>
        <w:rPr>
          <w:b/>
          <w:bCs/>
          <w:color w:val="1F3864"/>
          <w:sz w:val="22"/>
          <w:szCs w:val="22"/>
        </w:rPr>
        <w:t xml:space="preserve">Creación de un recurso cognitivo: </w:t>
      </w:r>
      <w:r>
        <w:rPr>
          <w:sz w:val="22"/>
          <w:szCs w:val="22"/>
        </w:rPr>
        <w:t xml:space="preserve">desde Azure Portal, Azure CLI o Azure AI Foundry, especificando la región y el nivel de precios (SKU).</w:t>
      </w:r>
    </w:p>
    <w:p>
      <w:pPr>
        <w:pStyle w:val="ListParagraph"/>
        <w:numPr>
          <w:ilvl w:val="0"/>
          <w:numId w:val="2"/>
        </w:numPr>
        <w:spacing w:after="100" w:line="280"/>
      </w:pPr>
      <w:r>
        <w:rPr>
          <w:b/>
          <w:bCs/>
          <w:color w:val="1F3864"/>
          <w:sz w:val="22"/>
          <w:szCs w:val="22"/>
        </w:rPr>
        <w:t xml:space="preserve">Clave de API y endpoint: </w:t>
      </w:r>
      <w:r>
        <w:rPr>
          <w:sz w:val="22"/>
          <w:szCs w:val="22"/>
        </w:rPr>
        <w:t xml:space="preserve">cada recurso genera una clave (API key) y una URL (endpoint) que se usan para autenticar las llamadas.</w:t>
      </w:r>
    </w:p>
    <w:p>
      <w:pPr>
        <w:pStyle w:val="ListParagraph"/>
        <w:numPr>
          <w:ilvl w:val="0"/>
          <w:numId w:val="2"/>
        </w:numPr>
        <w:spacing w:after="100" w:line="280"/>
      </w:pPr>
      <w:r>
        <w:rPr>
          <w:b/>
          <w:bCs/>
          <w:color w:val="1F3864"/>
          <w:sz w:val="22"/>
          <w:szCs w:val="22"/>
        </w:rPr>
        <w:t xml:space="preserve">SDK o llamadas REST: </w:t>
      </w:r>
      <w:r>
        <w:rPr>
          <w:sz w:val="22"/>
          <w:szCs w:val="22"/>
        </w:rPr>
        <w:t xml:space="preserve">los servicios pueden consumirse mediante SDKs oficiales (.NET, Python, Java, JavaScript, Go) o directamente mediante solicitudes HTTP/REST.</w:t>
      </w:r>
    </w:p>
    <w:p>
      <w:pPr>
        <w:pStyle w:val="ListParagraph"/>
        <w:numPr>
          <w:ilvl w:val="0"/>
          <w:numId w:val="2"/>
        </w:numPr>
        <w:spacing w:after="100" w:line="280"/>
      </w:pPr>
      <w:r>
        <w:rPr>
          <w:b/>
          <w:bCs/>
          <w:color w:val="1F3864"/>
          <w:sz w:val="22"/>
          <w:szCs w:val="22"/>
        </w:rPr>
        <w:t xml:space="preserve">Conectividad y red: </w:t>
      </w:r>
      <w:r>
        <w:rPr>
          <w:sz w:val="22"/>
          <w:szCs w:val="22"/>
        </w:rPr>
        <w:t xml:space="preserve">acceso a internet o configuración de Private Link / Virtual Network para escenarios empresariales con restricciones de red.</w:t>
      </w:r>
    </w:p>
    <w:p>
      <w:pPr>
        <w:pStyle w:val="ListParagraph"/>
        <w:numPr>
          <w:ilvl w:val="0"/>
          <w:numId w:val="2"/>
        </w:numPr>
        <w:spacing w:after="100" w:line="280"/>
      </w:pPr>
      <w:r>
        <w:rPr>
          <w:b/>
          <w:bCs/>
          <w:color w:val="1F3864"/>
          <w:sz w:val="22"/>
          <w:szCs w:val="22"/>
        </w:rPr>
        <w:t xml:space="preserve">Cumplimiento y gobernanza: </w:t>
      </w:r>
      <w:r>
        <w:rPr>
          <w:sz w:val="22"/>
          <w:szCs w:val="22"/>
        </w:rPr>
        <w:t xml:space="preserve">según el caso de uso, puede requerirse configurar identidad administrada (Managed Identity), Azure Active Directory (Entra ID) y políticas de cumplimiento (SOC 2, ISO 27001, HIPAA, entre otras).</w:t>
      </w:r>
    </w:p>
    <w:p>
      <w:pPr>
        <w:pStyle w:val="Heading1"/>
        <w:pBdr>
          <w:bottom w:val="single" w:color="2E74B5" w:sz="6"/>
        </w:pBdr>
        <w:spacing w:after="200" w:before="400"/>
      </w:pPr>
      <w:r>
        <w:rPr>
          <w:b/>
          <w:bCs/>
          <w:color w:val="1F3864"/>
          <w:sz w:val="30"/>
          <w:szCs w:val="30"/>
        </w:rPr>
        <w:t xml:space="preserve">6. Integración con Microsoft Teams</w:t>
      </w:r>
    </w:p>
    <w:p>
      <w:pPr>
        <w:spacing w:after="160" w:line="300"/>
      </w:pPr>
      <w:r>
        <w:rPr>
          <w:sz w:val="22"/>
          <w:szCs w:val="22"/>
        </w:rPr>
        <w:t xml:space="preserve">Sí, Azure Cognitive Services puede integrarse con Microsoft Teams. Esto se logra principalmente de las siguientes formas:</w:t>
      </w:r>
    </w:p>
    <w:p>
      <w:pPr>
        <w:pStyle w:val="ListParagraph"/>
        <w:numPr>
          <w:ilvl w:val="0"/>
          <w:numId w:val="2"/>
        </w:numPr>
        <w:spacing w:after="100" w:line="280"/>
      </w:pPr>
      <w:r>
        <w:rPr>
          <w:b/>
          <w:bCs/>
          <w:color w:val="1F3864"/>
          <w:sz w:val="22"/>
          <w:szCs w:val="22"/>
        </w:rPr>
        <w:t xml:space="preserve">Bot Framework y Azure Bot Service: </w:t>
      </w:r>
      <w:r>
        <w:rPr>
          <w:sz w:val="22"/>
          <w:szCs w:val="22"/>
        </w:rPr>
        <w:t xml:space="preserve">permite crear un bot que combine Language Understanding, Speech y QnA para responder preguntas dentro de un canal de Teams.</w:t>
      </w:r>
    </w:p>
    <w:p>
      <w:pPr>
        <w:pStyle w:val="ListParagraph"/>
        <w:numPr>
          <w:ilvl w:val="0"/>
          <w:numId w:val="2"/>
        </w:numPr>
        <w:spacing w:after="100" w:line="280"/>
      </w:pPr>
      <w:r>
        <w:rPr>
          <w:b/>
          <w:bCs/>
          <w:color w:val="1F3864"/>
          <w:sz w:val="22"/>
          <w:szCs w:val="22"/>
        </w:rPr>
        <w:t xml:space="preserve">Aplicaciones de Teams personalizadas (Teams Toolkit): </w:t>
      </w:r>
      <w:r>
        <w:rPr>
          <w:sz w:val="22"/>
          <w:szCs w:val="22"/>
        </w:rPr>
        <w:t xml:space="preserve">una app o bot construido con estos servicios puede empaquetarse e instalarse directamente en Teams.</w:t>
      </w:r>
    </w:p>
    <w:p>
      <w:pPr>
        <w:pStyle w:val="ListParagraph"/>
        <w:numPr>
          <w:ilvl w:val="0"/>
          <w:numId w:val="2"/>
        </w:numPr>
        <w:spacing w:after="100" w:line="280"/>
      </w:pPr>
      <w:r>
        <w:rPr>
          <w:b/>
          <w:bCs/>
          <w:color w:val="1F3864"/>
          <w:sz w:val="22"/>
          <w:szCs w:val="22"/>
        </w:rPr>
        <w:t xml:space="preserve">Power Platform (Power Virtual Agents / Power Automate): </w:t>
      </w:r>
      <w:r>
        <w:rPr>
          <w:sz w:val="22"/>
          <w:szCs w:val="22"/>
        </w:rPr>
        <w:t xml:space="preserve">permite conectar flujos que llaman a Cognitive Services y publicarlos como bots o tarjetas adaptativas dentro de Teams sin escribir mucho código.</w:t>
      </w:r>
    </w:p>
    <w:p>
      <w:pPr>
        <w:pStyle w:val="ListParagraph"/>
        <w:numPr>
          <w:ilvl w:val="0"/>
          <w:numId w:val="2"/>
        </w:numPr>
        <w:spacing w:after="100" w:line="280"/>
      </w:pPr>
      <w:r>
        <w:rPr>
          <w:b/>
          <w:bCs/>
          <w:color w:val="1F3864"/>
          <w:sz w:val="22"/>
          <w:szCs w:val="22"/>
        </w:rPr>
        <w:t xml:space="preserve">Transcripción y subtítulos en reuniones: </w:t>
      </w:r>
      <w:r>
        <w:rPr>
          <w:sz w:val="22"/>
          <w:szCs w:val="22"/>
        </w:rPr>
        <w:t xml:space="preserve">las capacidades de Speech to Text y traducción en tiempo real son parte de la base tecnológica que utilizan funciones nativas de Teams, como la transcripción y traducción de subtítulos en vivo.</w:t>
      </w:r>
    </w:p>
    <w:p>
      <w:pPr>
        <w:spacing w:after="160" w:line="300"/>
      </w:pPr>
      <w:r>
        <w:rPr>
          <w:sz w:val="22"/>
          <w:szCs w:val="22"/>
        </w:rPr>
        <w:t xml:space="preserve">En resumen, la integración no es “automática” en todos los casos: normalmente requiere construir un bot o una aplicación (usando Bot Framework, Teams Toolkit o Power Platform) que consuma las APIs de Azure AI Services y luego publicarla en Teams.</w:t>
      </w:r>
    </w:p>
    <w:p>
      <w:pPr>
        <w:pStyle w:val="Heading1"/>
        <w:pBdr>
          <w:bottom w:val="single" w:color="2E74B5" w:sz="6"/>
        </w:pBdr>
        <w:spacing w:after="200" w:before="400"/>
      </w:pPr>
      <w:r>
        <w:rPr>
          <w:b/>
          <w:bCs/>
          <w:color w:val="1F3864"/>
          <w:sz w:val="30"/>
          <w:szCs w:val="30"/>
        </w:rPr>
        <w:t xml:space="preserve">7. Seguridad y cumplimiento</w:t>
      </w:r>
    </w:p>
    <w:p>
      <w:pPr>
        <w:spacing w:after="160" w:line="300"/>
      </w:pPr>
      <w:r>
        <w:rPr>
          <w:sz w:val="22"/>
          <w:szCs w:val="22"/>
        </w:rPr>
        <w:t xml:space="preserve">Al ejecutarse dentro del límite de la suscripción de Azure, estos servicios heredan los controles de seguridad de la plataforma:</w:t>
      </w:r>
    </w:p>
    <w:p>
      <w:pPr>
        <w:pStyle w:val="ListParagraph"/>
        <w:numPr>
          <w:ilvl w:val="0"/>
          <w:numId w:val="2"/>
        </w:numPr>
        <w:spacing w:after="100" w:line="280"/>
      </w:pPr>
      <w:r>
        <w:rPr>
          <w:sz w:val="22"/>
          <w:szCs w:val="22"/>
        </w:rPr>
        <w:t xml:space="preserve">Cifrado de datos en tránsito y en reposo.</w:t>
      </w:r>
    </w:p>
    <w:p>
      <w:pPr>
        <w:pStyle w:val="ListParagraph"/>
        <w:numPr>
          <w:ilvl w:val="0"/>
          <w:numId w:val="2"/>
        </w:numPr>
        <w:spacing w:after="100" w:line="280"/>
      </w:pPr>
      <w:r>
        <w:rPr>
          <w:sz w:val="22"/>
          <w:szCs w:val="22"/>
        </w:rPr>
        <w:t xml:space="preserve">Autenticación mediante claves de API o Azure Active Directory (Entra ID).</w:t>
      </w:r>
    </w:p>
    <w:p>
      <w:pPr>
        <w:pStyle w:val="ListParagraph"/>
        <w:numPr>
          <w:ilvl w:val="0"/>
          <w:numId w:val="2"/>
        </w:numPr>
        <w:spacing w:after="100" w:line="280"/>
      </w:pPr>
      <w:r>
        <w:rPr>
          <w:sz w:val="22"/>
          <w:szCs w:val="22"/>
        </w:rPr>
        <w:t xml:space="preserve">Soporte de Private Endpoints / Virtual Network para aislar el tráfico.</w:t>
      </w:r>
    </w:p>
    <w:p>
      <w:pPr>
        <w:pStyle w:val="ListParagraph"/>
        <w:numPr>
          <w:ilvl w:val="0"/>
          <w:numId w:val="2"/>
        </w:numPr>
        <w:spacing w:after="100" w:line="280"/>
      </w:pPr>
      <w:r>
        <w:rPr>
          <w:sz w:val="22"/>
          <w:szCs w:val="22"/>
        </w:rPr>
        <w:t xml:space="preserve">Cumplimiento con estándares como SOC 2, ISO 27001, HIPAA (sector salud) y FedRAMP (sector gobierno), dependiendo de la región y el servicio.</w:t>
      </w:r>
    </w:p>
    <w:p>
      <w:pPr>
        <w:pStyle w:val="Heading1"/>
        <w:pBdr>
          <w:bottom w:val="single" w:color="2E74B5" w:sz="6"/>
        </w:pBdr>
        <w:spacing w:after="200" w:before="400"/>
      </w:pPr>
      <w:r>
        <w:rPr>
          <w:b/>
          <w:bCs/>
          <w:color w:val="1F3864"/>
          <w:sz w:val="30"/>
          <w:szCs w:val="30"/>
        </w:rPr>
        <w:t xml:space="preserve">8. Modelo de precios</w:t>
      </w:r>
    </w:p>
    <w:p>
      <w:pPr>
        <w:spacing w:after="160" w:line="300"/>
      </w:pPr>
      <w:r>
        <w:rPr>
          <w:sz w:val="22"/>
          <w:szCs w:val="22"/>
        </w:rPr>
        <w:t xml:space="preserve">La mayoría de los servicios se cobran bajo un modelo de pago por uso (consumo), basado en la cantidad de transacciones, caracteres o minutos procesados. Prácticamente todos ofrecen un nivel gratuito (Free tier) con un límite mensual de transacciones, ideal para pruebas de concepto antes de escalar a producción.</w:t>
      </w:r>
    </w:p>
    <w:p>
      <w:pPr>
        <w:pStyle w:val="Heading1"/>
        <w:pBdr>
          <w:bottom w:val="single" w:color="2E74B5" w:sz="6"/>
        </w:pBdr>
        <w:spacing w:after="200" w:before="400"/>
      </w:pPr>
      <w:r>
        <w:rPr>
          <w:b/>
          <w:bCs/>
          <w:color w:val="1F3864"/>
          <w:sz w:val="30"/>
          <w:szCs w:val="30"/>
        </w:rPr>
        <w:t xml:space="preserve">9. Conclusión</w:t>
      </w:r>
    </w:p>
    <w:p>
      <w:pPr>
        <w:spacing w:after="160" w:line="300"/>
      </w:pPr>
      <w:r>
        <w:rPr>
          <w:sz w:val="22"/>
          <w:szCs w:val="22"/>
        </w:rPr>
        <w:t xml:space="preserve">Azure Cognitive Services (hoy Azure AI Services) ofrece una vía rápida, flexible y rentable para incorporar inteligencia artificial en aplicaciones empresariales, sin requerir un equipo especializado en ciencia de datos. Su amplia variedad de servicios de visión, voz, lenguaje y decisión, junto con su integración nativa con el ecosistema de Microsoft (incluyendo Teams y Power Platform), lo convierten en una opción natural para organizaciones que ya utilizan Microsoft 365 y Azure.</w:t>
      </w:r>
    </w:p>
    <w:p>
      <w:pPr>
        <w:spacing w:after="200"/>
      </w:pPr>
    </w:p>
    <w:p>
      <w:pPr>
        <w:spacing w:after="160" w:line="300"/>
      </w:pPr>
      <w:r>
        <w:rPr>
          <w:i/>
          <w:iCs/>
          <w:color w:val="595959"/>
          <w:sz w:val="18"/>
          <w:szCs w:val="18"/>
        </w:rPr>
        <w:t xml:space="preserve">Fuentes: documentación pública de Microsoft Azure y análisis del mercado de Azure AI Services (2025-2026).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2026-07-24T05:54:48.101Z</dcterms:created>
  <dcterms:modified xsi:type="dcterms:W3CDTF">2026-07-24T05:54:48.116Z</dcterms:modified>
</cp:coreProperties>
</file>

<file path=docProps/custom.xml><?xml version="1.0" encoding="utf-8"?>
<Properties xmlns="http://schemas.openxmlformats.org/officeDocument/2006/custom-properties" xmlns:vt="http://schemas.openxmlformats.org/officeDocument/2006/docPropsVTypes"/>
</file>