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b/>
          <w:bCs/>
          <w:color w:val="1F3864"/>
          <w:sz w:val="40"/>
          <w:szCs w:val="40"/>
        </w:rPr>
        <w:t xml:space="preserve">ANÁLISIS TÉCNICO Y RECOMENDACIONES</w:t>
      </w:r>
    </w:p>
    <w:p>
      <w:pPr>
        <w:spacing w:after="100"/>
        <w:jc w:val="center"/>
      </w:pPr>
      <w:r>
        <w:rPr>
          <w:b/>
          <w:bCs/>
          <w:color w:val="2E5395"/>
          <w:sz w:val="30"/>
          <w:szCs w:val="30"/>
        </w:rPr>
        <w:t xml:space="preserve">Consolidación Administrativa de Tenants Microsoft 365</w:t>
      </w:r>
    </w:p>
    <w:p>
      <w:pPr>
        <w:spacing w:after="500"/>
        <w:jc w:val="center"/>
      </w:pPr>
      <w:r>
        <w:rPr>
          <w:i/>
          <w:iCs/>
          <w:color w:val="595959"/>
          <w:sz w:val="22"/>
          <w:szCs w:val="22"/>
        </w:rPr>
        <w:t xml:space="preserve">Escenario de fusión/adquisición de organizaciones con arquitectura de dominios SMTP independientes</w:t>
      </w:r>
    </w:p>
    <w:p>
      <w:pPr>
        <w:spacing w:after="3600"/>
        <w:jc w:val="center"/>
      </w:pPr>
      <w:r>
        <w:rPr>
          <w:color w:val="595959"/>
          <w:sz w:val="20"/>
          <w:szCs w:val="20"/>
        </w:rPr>
        <w:t xml:space="preserve">Fecha de elaboración: 23 de julio de 2026</w:t>
      </w:r>
    </w:p>
    <w:p>
      <w:pPr>
        <w:pageBreakBefore/>
      </w:pPr>
      <w:r>
        <w:br/>
        <w:t xml:space="preserve"/>
      </w:r>
    </w:p>
    <w:p>
      <w:pPr>
        <w:pStyle w:val="Heading1"/>
        <w:pBdr>
          <w:bottom w:val="single" w:color="2E5395" w:sz="6" w:space="4"/>
        </w:pBdr>
        <w:spacing w:after="200" w:before="400"/>
      </w:pPr>
      <w:r>
        <w:rPr>
          <w:b/>
          <w:bCs/>
          <w:color w:val="1F3864"/>
          <w:sz w:val="30"/>
          <w:szCs w:val="30"/>
        </w:rPr>
        <w:t xml:space="preserve">1. Situación Actual</w:t>
      </w:r>
    </w:p>
    <w:p>
      <w:pPr>
        <w:spacing w:after="160" w:line="300"/>
        <w:jc w:val="both"/>
      </w:pPr>
      <w:r>
        <w:rPr>
          <w:color w:val="262626"/>
          <w:sz w:val="22"/>
          <w:szCs w:val="22"/>
        </w:rPr>
        <w:t xml:space="preserve">El cliente opera actualmente un tenant de Microsoft 365 con administración centralizada de identidades, buzones de correo (Exchange Online), aplicaciones de Office y contenido colaborativo en SharePoint Online. La organización utiliza un dominio SMTP público único y verificado como dominio primario, sobre el cual se gestionan de forma unificada las cuentas de usuario, las licencias y las políticas de seguridad y cumplimiento.</w:t>
      </w:r>
    </w:p>
    <w:p>
      <w:pPr>
        <w:spacing w:after="160" w:line="300"/>
        <w:jc w:val="both"/>
      </w:pPr>
      <w:r>
        <w:rPr>
          <w:color w:val="262626"/>
          <w:sz w:val="22"/>
          <w:szCs w:val="22"/>
        </w:rPr>
        <w:t xml:space="preserve">Como parte de un proceso de adquisición corporativa, el cliente incorporará una segunda organización que también opera bajo Microsoft 365, con su propio tenant, su propio dominio SMTP público y su propia base de usuarios, buzones e información en SharePoint/OneDrive. Ambas organizaciones mantienen hoy plataformas independientes, sin relación de confianza ni sincronización entre sí.</w:t>
      </w:r>
    </w:p>
    <w:p>
      <w:pPr>
        <w:spacing w:after="160" w:line="300"/>
        <w:jc w:val="both"/>
      </w:pPr>
      <w:r>
        <w:rPr>
          <w:color w:val="262626"/>
          <w:sz w:val="22"/>
          <w:szCs w:val="22"/>
        </w:rPr>
        <w:t xml:space="preserve">El objetivo del cliente es evaluar si es posible consolidar la administración de ambas organizaciones bajo una estructura jerárquica de tipo "árbol" (tenant principal con subtenants o entornos dependientes), o bien identificar la alternativa técnica más adecuada dentro del ecosistema Microsoft 365 para lograr un control administrativo centralizado, preservando en la medida de lo posible la identidad de marca y los dominios SMTP de ambas organizaciones.</w:t>
      </w:r>
    </w:p>
    <w:p>
      <w:pPr>
        <w:pStyle w:val="Heading1"/>
        <w:pBdr>
          <w:bottom w:val="single" w:color="2E5395" w:sz="6" w:space="4"/>
        </w:pBdr>
        <w:spacing w:after="200" w:before="400"/>
      </w:pPr>
      <w:r>
        <w:rPr>
          <w:b/>
          <w:bCs/>
          <w:color w:val="1F3864"/>
          <w:sz w:val="30"/>
          <w:szCs w:val="30"/>
        </w:rPr>
        <w:t xml:space="preserve">2. Descripción de la Solicitud</w:t>
      </w:r>
    </w:p>
    <w:p>
      <w:pPr>
        <w:spacing w:after="160" w:line="300"/>
        <w:jc w:val="both"/>
      </w:pPr>
      <w:r>
        <w:rPr>
          <w:color w:val="262626"/>
          <w:sz w:val="22"/>
          <w:szCs w:val="22"/>
        </w:rPr>
        <w:t xml:space="preserve">El cliente plantea las siguientes necesidades puntuales, que se abordan de manera detallada en las secciones subsiguientes de este documento:</w:t>
      </w:r>
    </w:p>
    <w:p>
      <w:pPr>
        <w:pStyle w:val="ListParagraph"/>
        <w:numPr>
          <w:ilvl w:val="0"/>
          <w:numId w:val="2"/>
        </w:numPr>
        <w:spacing w:after="100" w:line="280"/>
      </w:pPr>
      <w:r>
        <w:rPr>
          <w:color w:val="262626"/>
          <w:sz w:val="22"/>
          <w:szCs w:val="22"/>
        </w:rPr>
        <w:t xml:space="preserve">Determinar si es posible mover la totalidad de cuentas, buzones de correo e información de la organización adquirida hacia el tenant principal del cliente.</w:t>
      </w:r>
    </w:p>
    <w:p>
      <w:pPr>
        <w:pStyle w:val="ListParagraph"/>
        <w:numPr>
          <w:ilvl w:val="0"/>
          <w:numId w:val="2"/>
        </w:numPr>
        <w:spacing w:after="100" w:line="280"/>
      </w:pPr>
      <w:r>
        <w:rPr>
          <w:color w:val="262626"/>
          <w:sz w:val="22"/>
          <w:szCs w:val="22"/>
        </w:rPr>
        <w:t xml:space="preserve">Evaluar la viabilidad de implementar una estructura de tenant principal con subtenants o entornos separados, similar a un modelo de "árbol organizacional", administrado de forma centralizada.</w:t>
      </w:r>
    </w:p>
    <w:p>
      <w:pPr>
        <w:pStyle w:val="ListParagraph"/>
        <w:numPr>
          <w:ilvl w:val="0"/>
          <w:numId w:val="2"/>
        </w:numPr>
        <w:spacing w:after="100" w:line="280"/>
      </w:pPr>
      <w:r>
        <w:rPr>
          <w:color w:val="262626"/>
          <w:sz w:val="22"/>
          <w:szCs w:val="22"/>
        </w:rPr>
        <w:t xml:space="preserve">Conocer las implicaciones técnicas, administrativas y de licenciamiento derivadas de cualquiera de los escenarios anteriores.</w:t>
      </w:r>
    </w:p>
    <w:p>
      <w:pPr>
        <w:pStyle w:val="ListParagraph"/>
        <w:numPr>
          <w:ilvl w:val="0"/>
          <w:numId w:val="2"/>
        </w:numPr>
        <w:spacing w:after="100" w:line="280"/>
      </w:pPr>
      <w:r>
        <w:rPr>
          <w:color w:val="262626"/>
          <w:sz w:val="22"/>
          <w:szCs w:val="22"/>
        </w:rPr>
        <w:t xml:space="preserve">Definir el proceso recomendado para migrar usuarios, licencias, correo electrónico e información hacia un tenant/dominio central.</w:t>
      </w:r>
    </w:p>
    <w:p>
      <w:pPr>
        <w:pStyle w:val="ListParagraph"/>
        <w:numPr>
          <w:ilvl w:val="0"/>
          <w:numId w:val="2"/>
        </w:numPr>
        <w:spacing w:after="100" w:line="280"/>
      </w:pPr>
      <w:r>
        <w:rPr>
          <w:color w:val="262626"/>
          <w:sz w:val="22"/>
          <w:szCs w:val="22"/>
        </w:rPr>
        <w:t xml:space="preserve">En caso de que la arquitectura de "árbol" no sea viable en Microsoft 365, identificar alternativas que permitan mantener dominios SMTP separados (preservando la identidad de cada organización) bajo una administración centralizada.</w:t>
      </w:r>
    </w:p>
    <w:p>
      <w:pPr>
        <w:pStyle w:val="ListParagraph"/>
        <w:numPr>
          <w:ilvl w:val="0"/>
          <w:numId w:val="2"/>
        </w:numPr>
        <w:spacing w:after="100" w:line="280"/>
      </w:pPr>
      <w:r>
        <w:rPr>
          <w:color w:val="262626"/>
          <w:sz w:val="22"/>
          <w:szCs w:val="22"/>
        </w:rPr>
        <w:t xml:space="preserve">Determinar cuántos dominios SMTP públicos puede soportar un mismo tenant de Microsoft 365.</w:t>
      </w:r>
    </w:p>
    <w:p>
      <w:pPr>
        <w:pStyle w:val="Heading1"/>
        <w:pBdr>
          <w:bottom w:val="single" w:color="2E5395" w:sz="6" w:space="4"/>
        </w:pBdr>
        <w:spacing w:after="200" w:before="400"/>
      </w:pPr>
      <w:r>
        <w:rPr>
          <w:b/>
          <w:bCs/>
          <w:color w:val="1F3864"/>
          <w:sz w:val="30"/>
          <w:szCs w:val="30"/>
        </w:rPr>
        <w:t xml:space="preserve">3. Funcionamiento de Microsoft 365 con Dominios: Dominio Principal y Dominios Adicionales</w:t>
      </w:r>
    </w:p>
    <w:p>
      <w:pPr>
        <w:pStyle w:val="Heading2"/>
        <w:spacing w:after="140" w:before="280"/>
      </w:pPr>
      <w:r>
        <w:rPr>
          <w:b/>
          <w:bCs/>
          <w:color w:val="2E5395"/>
          <w:sz w:val="24"/>
          <w:szCs w:val="24"/>
        </w:rPr>
        <w:t xml:space="preserve">3.1 Dominio primario y dominio .onmicrosoft.com</w:t>
      </w:r>
    </w:p>
    <w:p>
      <w:pPr>
        <w:spacing w:after="160" w:line="300"/>
        <w:jc w:val="both"/>
      </w:pPr>
      <w:r>
        <w:rPr>
          <w:color w:val="262626"/>
          <w:sz w:val="22"/>
          <w:szCs w:val="22"/>
        </w:rPr>
        <w:t xml:space="preserve">Todo tenant de Microsoft 365 se crea con un dominio inicial de tipo *.onmicrosoft.com (por ejemplo, cliente.onmicrosoft.com), el cual es único, no puede eliminarse y permanece siempre disponible como respaldo técnico interno del tenant, incluso cuando se agregan dominios personalizados.</w:t>
      </w:r>
    </w:p>
    <w:p>
      <w:pPr>
        <w:spacing w:after="160" w:line="300"/>
        <w:jc w:val="both"/>
      </w:pPr>
      <w:r>
        <w:rPr>
          <w:color w:val="262626"/>
          <w:sz w:val="22"/>
          <w:szCs w:val="22"/>
        </w:rPr>
        <w:t xml:space="preserve">Sobre ese tenant, el administrador puede agregar y verificar uno o varios dominios personalizados (por ejemplo, empresa.com), y designar uno de ellos como "dominio primario", el cual se utiliza por defecto para crear nuevas cuentas y direcciones de correo, aunque cada usuario puede tener también direcciones SMTP secundarias sobre otros dominios verificados en el mismo tenant.</w:t>
      </w:r>
    </w:p>
    <w:p>
      <w:pPr>
        <w:pStyle w:val="Heading2"/>
        <w:spacing w:after="140" w:before="280"/>
      </w:pPr>
      <w:r>
        <w:rPr>
          <w:b/>
          <w:bCs/>
          <w:color w:val="2E5395"/>
          <w:sz w:val="24"/>
          <w:szCs w:val="24"/>
        </w:rPr>
        <w:t xml:space="preserve">3.2 Cantidad de dominios que admite un mismo tenant</w:t>
      </w:r>
    </w:p>
    <w:p>
      <w:pPr>
        <w:spacing w:after="160" w:line="300"/>
        <w:jc w:val="both"/>
      </w:pPr>
      <w:r>
        <w:rPr>
          <w:color w:val="262626"/>
          <w:sz w:val="22"/>
          <w:szCs w:val="22"/>
        </w:rPr>
        <w:t xml:space="preserve">Un mismo tenant de Microsoft 365 admite múltiples dominios SMTP públicos personalizados de forma simultánea. Conforme a la documentación y límites de servicio publicados por Microsoft:</w:t>
      </w:r>
    </w:p>
    <w:p>
      <w:pPr>
        <w:pStyle w:val="ListParagraph"/>
        <w:numPr>
          <w:ilvl w:val="0"/>
          <w:numId w:val="2"/>
        </w:numPr>
        <w:spacing w:after="100" w:line="280"/>
      </w:pPr>
      <w:r>
        <w:rPr>
          <w:color w:val="262626"/>
          <w:sz w:val="22"/>
          <w:szCs w:val="22"/>
        </w:rPr>
        <w:t xml:space="preserve">Un tenant puede tener hasta 5 dominios de tipo *.onmicrosoft.com (incluyendo el dominio inicial), pero solo uno de ellos puede designarse como dominio predeterminado de este tipo.</w:t>
      </w:r>
    </w:p>
    <w:p>
      <w:pPr>
        <w:pStyle w:val="ListParagraph"/>
        <w:numPr>
          <w:ilvl w:val="0"/>
          <w:numId w:val="2"/>
        </w:numPr>
        <w:spacing w:after="100" w:line="280"/>
      </w:pPr>
      <w:r>
        <w:rPr>
          <w:color w:val="262626"/>
          <w:sz w:val="22"/>
          <w:szCs w:val="22"/>
        </w:rPr>
        <w:t xml:space="preserve">En materia de dominios aceptados para correo (Exchange Online Protection), el límite documentado por Microsoft es de hasta 5,000 dominios aceptados por tenant.</w:t>
      </w:r>
    </w:p>
    <w:p>
      <w:pPr>
        <w:pStyle w:val="ListParagraph"/>
        <w:numPr>
          <w:ilvl w:val="0"/>
          <w:numId w:val="2"/>
        </w:numPr>
        <w:spacing w:after="100" w:line="280"/>
      </w:pPr>
      <w:r>
        <w:rPr>
          <w:color w:val="262626"/>
          <w:sz w:val="22"/>
          <w:szCs w:val="22"/>
        </w:rPr>
        <w:t xml:space="preserve">Para efectos prácticos de la mayoría de organizaciones (decenas o incluso cientos de marcas/dominios), el límite no representa una restricción real: es perfectamente viable tener, por ejemplo, empresaA.com y empresaB.com verificados y operando simultáneamente en un mismo tenant, cada uno con sus propias direcciones de correo.</w:t>
      </w:r>
    </w:p>
    <w:p>
      <w:pPr>
        <w:pStyle w:val="ListParagraph"/>
        <w:numPr>
          <w:ilvl w:val="0"/>
          <w:numId w:val="2"/>
        </w:numPr>
        <w:spacing w:after="100" w:line="280"/>
      </w:pPr>
      <w:r>
        <w:rPr>
          <w:color w:val="262626"/>
          <w:sz w:val="22"/>
          <w:szCs w:val="22"/>
        </w:rPr>
        <w:t xml:space="preserve">Importante: un mismo dominio no puede estar verificado en dos tenants de Microsoft 365 al mismo tiempo. Antes de agregar un dominio a un tenant destino, debe liberarse (eliminarse) de su tenant de origen, lo cual implica una ventana de corte de servicio que debe planificarse cuidadosamente.</w:t>
      </w:r>
    </w:p>
    <w:tbl>
      <w:tblPr>
        <w:tblW w:type="dxa" w:w="9500"/>
        <w:tblBorders>
          <w:top w:val="single" w:color="2E5395" w:sz="4"/>
          <w:left w:val="single" w:color="2E5395" w:sz="4"/>
          <w:bottom w:val="single" w:color="2E5395" w:sz="4"/>
          <w:right w:val="single" w:color="2E5395" w:sz="4"/>
          <w:insideH w:val="single" w:color="auto" w:sz="4"/>
          <w:insideV w:val="single" w:color="auto" w:sz="4"/>
        </w:tblBorders>
      </w:tblPr>
      <w:tblGrid>
        <w:gridCol w:w="9500"/>
      </w:tblGrid>
      <w:tr>
        <w:tc>
          <w:tcPr>
            <w:tcW w:type="dxa" w:w="9500"/>
            <w:shd w:fill="DCE6F1" w:val="clear"/>
            <w:tcMar>
              <w:top w:type="dxa" w:w="150"/>
              <w:left w:type="dxa" w:w="200"/>
              <w:bottom w:type="dxa" w:w="150"/>
              <w:right w:type="dxa" w:w="200"/>
            </w:tcMar>
          </w:tcPr>
          <w:p>
            <w:pPr>
              <w:spacing w:after="80"/>
            </w:pPr>
            <w:r>
              <w:rPr>
                <w:b/>
                <w:bCs/>
                <w:color w:val="1F3864"/>
                <w:sz w:val="22"/>
                <w:szCs w:val="22"/>
              </w:rPr>
              <w:t xml:space="preserve">Dato clave</w:t>
            </w:r>
          </w:p>
          <w:p>
            <w:pPr>
              <w:spacing w:after="60" w:line="270"/>
            </w:pPr>
            <w:r>
              <w:rPr>
                <w:color w:val="262626"/>
                <w:sz w:val="21"/>
                <w:szCs w:val="21"/>
              </w:rPr>
              <w:t xml:space="preserve">Un único tenant de Microsoft 365 puede administrar de forma nativa múltiples dominios SMTP públicos (empresa1.com, empresa2.com, etc.), asignando cada dirección de correo al dominio que corresponda, todo bajo un mismo panel de administración, un mismo Entra ID y un mismo conjunto de licencias.</w:t>
            </w:r>
          </w:p>
        </w:tc>
      </w:tr>
    </w:tbl>
    <w:p>
      <w:pPr>
        <w:pStyle w:val="Heading1"/>
        <w:pBdr>
          <w:bottom w:val="single" w:color="2E5395" w:sz="6" w:space="4"/>
        </w:pBdr>
        <w:spacing w:after="200" w:before="400"/>
      </w:pPr>
      <w:r>
        <w:rPr>
          <w:b/>
          <w:bCs/>
          <w:color w:val="1F3864"/>
          <w:sz w:val="30"/>
          <w:szCs w:val="30"/>
        </w:rPr>
        <w:t xml:space="preserve">4. ¿Es posible migrar del Tenant A al Tenant B en Microsoft 365?</w:t>
      </w:r>
    </w:p>
    <w:p>
      <w:pPr>
        <w:spacing w:after="160" w:line="300"/>
        <w:jc w:val="both"/>
      </w:pPr>
      <w:r>
        <w:rPr>
          <w:color w:val="262626"/>
          <w:sz w:val="22"/>
          <w:szCs w:val="22"/>
        </w:rPr>
        <w:t xml:space="preserve">Sí. Microsoft 365 admite migraciones de tenant a tenant ("cross-tenant migration"), un escenario habitual en procesos de fusiones, adquisiciones y desinversiones corporativas. Sin embargo, es importante aclarar un punto conceptual: no existe en Microsoft 365 el concepto de "subtenant" o jerarquía de árbol nativa entre tenants independientes (ver sección 6). Lo que sí existe y es viable es la consolidación física de un tenant dentro de otro mediante migración.</w:t>
      </w:r>
    </w:p>
    <w:p>
      <w:pPr>
        <w:spacing w:after="160" w:line="300"/>
        <w:jc w:val="both"/>
      </w:pPr>
      <w:r>
        <w:rPr>
          <w:color w:val="262626"/>
          <w:sz w:val="22"/>
          <w:szCs w:val="22"/>
        </w:rPr>
        <w:t xml:space="preserve">Microsoft ofrece una herramienta nativa de Cross-Tenant Mailbox Migration (sin costo adicional de licenciamiento de terceros) que permite mover buzones de Exchange Online y datos de OneDrive entre tenants, preservando en gran medida el contenido, calendarios, contactos y permisos, aunque con algunas limitaciones relevantes:</w:t>
      </w:r>
    </w:p>
    <w:p>
      <w:pPr>
        <w:pStyle w:val="ListParagraph"/>
        <w:numPr>
          <w:ilvl w:val="0"/>
          <w:numId w:val="2"/>
        </w:numPr>
        <w:spacing w:after="100" w:line="280"/>
      </w:pPr>
      <w:r>
        <w:rPr>
          <w:color w:val="262626"/>
          <w:sz w:val="22"/>
          <w:szCs w:val="22"/>
        </w:rPr>
        <w:t xml:space="preserve">Los usuarios deben pre-existir en el tenant destino (como objetos MailUser con atributos como ExchangeGUID y ArchiveGUID coincidentes con el buzón de origen) antes de iniciar la migración de cada buzón.</w:t>
      </w:r>
    </w:p>
    <w:p>
      <w:pPr>
        <w:pStyle w:val="ListParagraph"/>
        <w:numPr>
          <w:ilvl w:val="0"/>
          <w:numId w:val="2"/>
        </w:numPr>
        <w:spacing w:after="100" w:line="280"/>
      </w:pPr>
      <w:r>
        <w:rPr>
          <w:color w:val="262626"/>
          <w:sz w:val="22"/>
          <w:szCs w:val="22"/>
        </w:rPr>
        <w:t xml:space="preserve">Debe establecerse una relación de organización (Organization Relationship) y un endpoint de migración entre ambos tenants, además de configurar permisos de aplicación (Application ID) en Entra ID.</w:t>
      </w:r>
    </w:p>
    <w:p>
      <w:pPr>
        <w:pStyle w:val="ListParagraph"/>
        <w:numPr>
          <w:ilvl w:val="0"/>
          <w:numId w:val="2"/>
        </w:numPr>
        <w:spacing w:after="100" w:line="280"/>
      </w:pPr>
      <w:r>
        <w:rPr>
          <w:color w:val="262626"/>
          <w:sz w:val="22"/>
          <w:szCs w:val="22"/>
        </w:rPr>
        <w:t xml:space="preserve">La migración de Microsoft 365 Groups (grupos de Microsoft 365) no está soportada de forma nativa mediante esta herramienta; suele requerir procesos o herramientas complementarias.</w:t>
      </w:r>
    </w:p>
    <w:p>
      <w:pPr>
        <w:pStyle w:val="ListParagraph"/>
        <w:numPr>
          <w:ilvl w:val="0"/>
          <w:numId w:val="2"/>
        </w:numPr>
        <w:spacing w:after="100" w:line="280"/>
      </w:pPr>
      <w:r>
        <w:rPr>
          <w:color w:val="262626"/>
          <w:sz w:val="22"/>
          <w:szCs w:val="22"/>
        </w:rPr>
        <w:t xml:space="preserve">SharePoint Online y Teams requieren mecanismos de migración adicionales (nativos con throttling controlado por Microsoft, o herramientas de terceros) para contenido de sitios, bibliotecas de documentos y canales.</w:t>
      </w:r>
    </w:p>
    <w:p>
      <w:pPr>
        <w:pStyle w:val="ListParagraph"/>
        <w:numPr>
          <w:ilvl w:val="0"/>
          <w:numId w:val="2"/>
        </w:numPr>
        <w:spacing w:after="100" w:line="280"/>
      </w:pPr>
      <w:r>
        <w:rPr>
          <w:color w:val="262626"/>
          <w:sz w:val="22"/>
          <w:szCs w:val="22"/>
        </w:rPr>
        <w:t xml:space="preserve">Una vez migrado un buzón, el eDiscovery sobre ese buzón solo puede realizarse en el tenant destino; si se requiere preservar evidencia para cumplimiento en el tenant origen, debe respaldarse antes de migrar.</w:t>
      </w:r>
    </w:p>
    <w:p>
      <w:pPr>
        <w:spacing w:after="160" w:line="300"/>
        <w:jc w:val="both"/>
      </w:pPr>
      <w:r>
        <w:rPr>
          <w:color w:val="262626"/>
          <w:sz w:val="22"/>
          <w:szCs w:val="22"/>
        </w:rPr>
        <w:t xml:space="preserve">Existen también soluciones de terceros especializadas en migración tenant-a-tenant que automatizan gran parte del proceso (mailboxes, SharePoint, OneDrive, Teams) reduciendo el esfuerzo manual de PowerShell, recomendables cuando el volumen de usuarios/datos es considerable o cuando se requiere migrar Grupos de Microsoft 365 y Teams de forma más completa.</w:t>
      </w:r>
    </w:p>
    <w:p>
      <w:pPr>
        <w:pStyle w:val="Heading1"/>
        <w:pBdr>
          <w:bottom w:val="single" w:color="2E5395" w:sz="6" w:space="4"/>
        </w:pBdr>
        <w:spacing w:after="200" w:before="400"/>
      </w:pPr>
      <w:r>
        <w:rPr>
          <w:b/>
          <w:bCs/>
          <w:color w:val="1F3864"/>
          <w:sz w:val="30"/>
          <w:szCs w:val="30"/>
        </w:rPr>
        <w:t xml:space="preserve">5. Proceso Recomendado para la Migración/Consolidación</w:t>
      </w:r>
    </w:p>
    <w:p>
      <w:pPr>
        <w:spacing w:after="160" w:line="300"/>
        <w:jc w:val="both"/>
      </w:pPr>
      <w:r>
        <w:rPr>
          <w:color w:val="262626"/>
          <w:sz w:val="22"/>
          <w:szCs w:val="22"/>
        </w:rPr>
        <w:t xml:space="preserve">A continuación se describe la secuencia recomendada de alto nivel para trasladar usuarios, licencias, correo e información de la organización adquirida hacia el tenant central del cliente:</w:t>
      </w:r>
    </w:p>
    <w:p>
      <w:pPr>
        <w:pStyle w:val="ListParagraph"/>
        <w:numPr>
          <w:ilvl w:val="0"/>
          <w:numId w:val="3"/>
        </w:numPr>
        <w:spacing w:after="100" w:line="280"/>
      </w:pPr>
      <w:r>
        <w:rPr>
          <w:color w:val="262626"/>
          <w:sz w:val="22"/>
          <w:szCs w:val="22"/>
        </w:rPr>
        <w:t xml:space="preserve">Descubrimiento y planeación: inventariar usuarios, buzones, tamaño de datos (correo, OneDrive, SharePoint), grupos, licencias, aplicaciones integradas, reglas de transporte, políticas de seguridad y cumplimiento del tenant adquirido.</w:t>
      </w:r>
    </w:p>
    <w:p>
      <w:pPr>
        <w:pStyle w:val="ListParagraph"/>
        <w:numPr>
          <w:ilvl w:val="0"/>
          <w:numId w:val="3"/>
        </w:numPr>
        <w:spacing w:after="100" w:line="280"/>
      </w:pPr>
      <w:r>
        <w:rPr>
          <w:color w:val="262626"/>
          <w:sz w:val="22"/>
          <w:szCs w:val="22"/>
        </w:rPr>
        <w:t xml:space="preserve">Preparación de identidades: definir la estrategia de identidad (creación de cuentas en el tenant destino, sincronización con Entra Connect si hay Active Directory local, o migración de identidades en la nube), evitando duplicidad de UPN y resolviendo conflictos de nombres.</w:t>
      </w:r>
    </w:p>
    <w:p>
      <w:pPr>
        <w:pStyle w:val="ListParagraph"/>
        <w:numPr>
          <w:ilvl w:val="0"/>
          <w:numId w:val="3"/>
        </w:numPr>
        <w:spacing w:after="100" w:line="280"/>
      </w:pPr>
      <w:r>
        <w:rPr>
          <w:color w:val="262626"/>
          <w:sz w:val="22"/>
          <w:szCs w:val="22"/>
        </w:rPr>
        <w:t xml:space="preserve">Aprovisionamiento de licencias en el tenant destino: adquirir o reasignar las licencias necesarias (Exchange Online, SharePoint, Teams, seguridad, etc.) para los usuarios de la organización adquirida.</w:t>
      </w:r>
    </w:p>
    <w:p>
      <w:pPr>
        <w:pStyle w:val="ListParagraph"/>
        <w:numPr>
          <w:ilvl w:val="0"/>
          <w:numId w:val="3"/>
        </w:numPr>
        <w:spacing w:after="100" w:line="280"/>
      </w:pPr>
      <w:r>
        <w:rPr>
          <w:color w:val="262626"/>
          <w:sz w:val="22"/>
          <w:szCs w:val="22"/>
        </w:rPr>
        <w:t xml:space="preserve">Configuración de relación entre tenants: establecer Organization Relationship, migration endpoint y permisos de aplicación en Entra ID para habilitar la migración cross-tenant de buzones.</w:t>
      </w:r>
    </w:p>
    <w:p>
      <w:pPr>
        <w:pStyle w:val="ListParagraph"/>
        <w:numPr>
          <w:ilvl w:val="0"/>
          <w:numId w:val="3"/>
        </w:numPr>
        <w:spacing w:after="100" w:line="280"/>
      </w:pPr>
      <w:r>
        <w:rPr>
          <w:color w:val="262626"/>
          <w:sz w:val="22"/>
          <w:szCs w:val="22"/>
        </w:rPr>
        <w:t xml:space="preserve">Migración por oleadas (batches): mover los buzones en lotes controlados (Microsoft aplica throttling, típicamente cientos de buzones por lote y unos pocos GB/hora por buzón), priorizando grupos piloto antes del universo completo de usuarios.</w:t>
      </w:r>
    </w:p>
    <w:p>
      <w:pPr>
        <w:pStyle w:val="ListParagraph"/>
        <w:numPr>
          <w:ilvl w:val="0"/>
          <w:numId w:val="3"/>
        </w:numPr>
        <w:spacing w:after="100" w:line="280"/>
      </w:pPr>
      <w:r>
        <w:rPr>
          <w:color w:val="262626"/>
          <w:sz w:val="22"/>
          <w:szCs w:val="22"/>
        </w:rPr>
        <w:t xml:space="preserve">Migración de contenido colaborativo: trasladar bibliotecas de SharePoint Online, OneDrive y, de ser necesario, Teams, mediante herramientas nativas o de terceros, respetando permisos y metadatos.</w:t>
      </w:r>
    </w:p>
    <w:p>
      <w:pPr>
        <w:pStyle w:val="ListParagraph"/>
        <w:numPr>
          <w:ilvl w:val="0"/>
          <w:numId w:val="3"/>
        </w:numPr>
        <w:spacing w:after="100" w:line="280"/>
      </w:pPr>
      <w:r>
        <w:rPr>
          <w:color w:val="262626"/>
          <w:sz w:val="22"/>
          <w:szCs w:val="22"/>
        </w:rPr>
        <w:t xml:space="preserve">Periodo de coexistencia: mantener durante varias semanas un periodo de convivencia entre ambos tenants (flujo de correo cruzado, disponibilidad de calendarios) para no afectar la operación mientras se completa la migración.</w:t>
      </w:r>
    </w:p>
    <w:p>
      <w:pPr>
        <w:pStyle w:val="ListParagraph"/>
        <w:numPr>
          <w:ilvl w:val="0"/>
          <w:numId w:val="3"/>
        </w:numPr>
        <w:spacing w:after="100" w:line="280"/>
      </w:pPr>
      <w:r>
        <w:rPr>
          <w:color w:val="262626"/>
          <w:sz w:val="22"/>
          <w:szCs w:val="22"/>
        </w:rPr>
        <w:t xml:space="preserve">Corte de dominio (domain cutover): una vez migrados todos los buzones asociados a un dominio, liberar el dominio SMTP del tenant origen y verificarlo en el tenant destino, actualizando los registros DNS (MX, SPF, DKIM, DMARC, autodiscover). La propagación DNS puede tomar entre 24 y 72 horas.</w:t>
      </w:r>
    </w:p>
    <w:p>
      <w:pPr>
        <w:pStyle w:val="ListParagraph"/>
        <w:numPr>
          <w:ilvl w:val="0"/>
          <w:numId w:val="3"/>
        </w:numPr>
        <w:spacing w:after="100" w:line="280"/>
      </w:pPr>
      <w:r>
        <w:rPr>
          <w:color w:val="262626"/>
          <w:sz w:val="22"/>
          <w:szCs w:val="22"/>
        </w:rPr>
        <w:t xml:space="preserve">Redirección final y descomisionamiento: confirmar que el correo, autenticación y aplicaciones apuntan correctamente al tenant destino; dar de baja el tenant origen o dejarlo solo con lo estrictamente necesario para cierre administrativo (facturación, respaldo legal, etc.).</w:t>
      </w:r>
    </w:p>
    <w:p>
      <w:pPr>
        <w:pStyle w:val="ListParagraph"/>
        <w:numPr>
          <w:ilvl w:val="0"/>
          <w:numId w:val="3"/>
        </w:numPr>
        <w:spacing w:after="100" w:line="280"/>
      </w:pPr>
      <w:r>
        <w:rPr>
          <w:color w:val="262626"/>
          <w:sz w:val="22"/>
          <w:szCs w:val="22"/>
        </w:rPr>
        <w:t xml:space="preserve">Validación y soporte post-migración: monitorear incidencias de los primeros días/semanas (perfiles de Outlook, permisos, acceso a SharePoint/Teams) y brindar soporte a usuarios finales.</w:t>
      </w:r>
    </w:p>
    <w:p>
      <w:pPr>
        <w:pStyle w:val="Heading1"/>
        <w:pBdr>
          <w:bottom w:val="single" w:color="2E5395" w:sz="6" w:space="4"/>
        </w:pBdr>
        <w:spacing w:after="200" w:before="400"/>
      </w:pPr>
      <w:r>
        <w:rPr>
          <w:b/>
          <w:bCs/>
          <w:color w:val="1F3864"/>
          <w:sz w:val="30"/>
          <w:szCs w:val="30"/>
        </w:rPr>
        <w:t xml:space="preserve">6. Estructura de Árbol o Subtenant en Microsoft 365: Viabilidad</w:t>
      </w:r>
    </w:p>
    <w:p>
      <w:pPr>
        <w:spacing w:after="160" w:line="300"/>
        <w:jc w:val="both"/>
      </w:pPr>
      <w:r>
        <w:rPr>
          <w:color w:val="262626"/>
          <w:sz w:val="22"/>
          <w:szCs w:val="22"/>
        </w:rPr>
        <w:t xml:space="preserve">Microsoft 365 y Microsoft Entra ID no cuentan con un concepto nativo de "subtenant" jerárquico dentro de un mismo tenant (a diferencia de otras plataformas que sí permiten sub-organizaciones dentro de una cuenta raíz). Cada tenant de Microsoft 365 es una instancia independiente de directorio (Entra ID), con su propio espacio de identidades, licenciamiento y configuración.</w:t>
      </w:r>
    </w:p>
    <w:p>
      <w:pPr>
        <w:spacing w:after="160" w:line="300"/>
        <w:jc w:val="both"/>
      </w:pPr>
      <w:r>
        <w:rPr>
          <w:color w:val="262626"/>
          <w:sz w:val="22"/>
          <w:szCs w:val="22"/>
        </w:rPr>
        <w:t xml:space="preserve">Lo más cercano que ofrece Microsoft a una estructura jerárquica entre organizaciones es la característica Multitenant Organization (MTO) de Microsoft Entra ID, la cual permite "vincular" o federar hasta 100 tenants relacionados (por ejemplo, empresas del mismo grupo corporativo) para facilitar la colaboración entre ellos (por ejemplo, personas, disponibilidad de calendario, búsqueda de contactos entre tenants), pero cada tenant sigue siendo administrado de forma independiente: no existe una consola única de "tenant padre" que administre licencias, buzones o políticas de los tenants "hijos" como si fueran subunidades.</w:t>
      </w:r>
    </w:p>
    <w:tbl>
      <w:tblPr>
        <w:tblW w:type="dxa" w:w="9500"/>
        <w:tblBorders>
          <w:top w:val="single" w:color="2E5395" w:sz="4"/>
          <w:left w:val="single" w:color="2E5395" w:sz="4"/>
          <w:bottom w:val="single" w:color="2E5395" w:sz="4"/>
          <w:right w:val="single" w:color="2E5395" w:sz="4"/>
          <w:insideH w:val="single" w:color="auto" w:sz="4"/>
          <w:insideV w:val="single" w:color="auto" w:sz="4"/>
        </w:tblBorders>
      </w:tblPr>
      <w:tblGrid>
        <w:gridCol w:w="9500"/>
      </w:tblGrid>
      <w:tr>
        <w:tc>
          <w:tcPr>
            <w:tcW w:type="dxa" w:w="9500"/>
            <w:shd w:fill="DCE6F1" w:val="clear"/>
            <w:tcMar>
              <w:top w:type="dxa" w:w="150"/>
              <w:left w:type="dxa" w:w="200"/>
              <w:bottom w:type="dxa" w:w="150"/>
              <w:right w:type="dxa" w:w="200"/>
            </w:tcMar>
          </w:tcPr>
          <w:p>
            <w:pPr>
              <w:spacing w:after="80"/>
            </w:pPr>
            <w:r>
              <w:rPr>
                <w:b/>
                <w:bCs/>
                <w:color w:val="1F3864"/>
                <w:sz w:val="22"/>
                <w:szCs w:val="22"/>
              </w:rPr>
              <w:t xml:space="preserve">Conclusión de viabilidad</w:t>
            </w:r>
          </w:p>
          <w:p>
            <w:pPr>
              <w:spacing w:after="60" w:line="270"/>
            </w:pPr>
            <w:r>
              <w:rPr>
                <w:color w:val="262626"/>
                <w:sz w:val="21"/>
                <w:szCs w:val="21"/>
              </w:rPr>
              <w:t xml:space="preserve">La arquitectura de "árbol" con un tenant principal y subtenants administrados de forma centralizada, tal como se plantea en la solicitud original, no es viable de forma nativa en Microsoft 365.</w:t>
            </w:r>
          </w:p>
          <w:p>
            <w:pPr>
              <w:spacing w:after="60" w:line="270"/>
            </w:pPr>
            <w:r>
              <w:rPr>
                <w:color w:val="262626"/>
                <w:sz w:val="21"/>
                <w:szCs w:val="21"/>
              </w:rPr>
              <w:t xml:space="preserve">La opción de Multitenant Organization permite colaboración y visibilidad cruzada entre tenants, pero NO logra una administración verdaderamente centralizada de usuarios, licencias y políticas desde un único panel.</w:t>
            </w:r>
          </w:p>
          <w:p>
            <w:pPr>
              <w:spacing w:after="60" w:line="270"/>
            </w:pPr>
            <w:r>
              <w:rPr>
                <w:color w:val="262626"/>
                <w:sz w:val="21"/>
                <w:szCs w:val="21"/>
              </w:rPr>
              <w:t xml:space="preserve">La única forma de lograr una administración 100% centralizada y unificada es consolidar ambas organizaciones dentro de un mismo tenant físico, mediante el proceso de migración descrito en la sección 5.</w:t>
            </w:r>
          </w:p>
        </w:tc>
      </w:tr>
    </w:tbl>
    <w:p>
      <w:pPr>
        <w:pStyle w:val="Heading1"/>
        <w:pBdr>
          <w:bottom w:val="single" w:color="2E5395" w:sz="6" w:space="4"/>
        </w:pBdr>
        <w:spacing w:after="200" w:before="400"/>
      </w:pPr>
      <w:r>
        <w:rPr>
          <w:b/>
          <w:bCs/>
          <w:color w:val="1F3864"/>
          <w:sz w:val="30"/>
          <w:szCs w:val="30"/>
        </w:rPr>
        <w:t xml:space="preserve">7. Implicaciones Técnicas, Administrativas y de Licenciamiento</w:t>
      </w:r>
    </w:p>
    <w:p>
      <w:pPr>
        <w:pStyle w:val="Heading2"/>
        <w:spacing w:after="140" w:before="280"/>
      </w:pPr>
      <w:r>
        <w:rPr>
          <w:b/>
          <w:bCs/>
          <w:color w:val="2E5395"/>
          <w:sz w:val="24"/>
          <w:szCs w:val="24"/>
        </w:rPr>
        <w:t xml:space="preserve">7.1 Implicaciones técnicas</w:t>
      </w:r>
    </w:p>
    <w:p>
      <w:pPr>
        <w:pStyle w:val="ListParagraph"/>
        <w:numPr>
          <w:ilvl w:val="0"/>
          <w:numId w:val="2"/>
        </w:numPr>
        <w:spacing w:after="100" w:line="280"/>
      </w:pPr>
      <w:r>
        <w:rPr>
          <w:color w:val="262626"/>
          <w:sz w:val="22"/>
          <w:szCs w:val="22"/>
        </w:rPr>
        <w:t xml:space="preserve">Necesidad de coexistencia temporal de flujo de correo entre ambos tenants durante la migración (conectores SMTP, calendarios compartidos).</w:t>
      </w:r>
    </w:p>
    <w:p>
      <w:pPr>
        <w:pStyle w:val="ListParagraph"/>
        <w:numPr>
          <w:ilvl w:val="0"/>
          <w:numId w:val="2"/>
        </w:numPr>
        <w:spacing w:after="100" w:line="280"/>
      </w:pPr>
      <w:r>
        <w:rPr>
          <w:color w:val="262626"/>
          <w:sz w:val="22"/>
          <w:szCs w:val="22"/>
        </w:rPr>
        <w:t xml:space="preserve">Reconfiguración de DNS público del dominio migrado (MX, SPF, DKIM, DMARC, CNAME de autodiscover) al momento del corte.</w:t>
      </w:r>
    </w:p>
    <w:p>
      <w:pPr>
        <w:pStyle w:val="ListParagraph"/>
        <w:numPr>
          <w:ilvl w:val="0"/>
          <w:numId w:val="2"/>
        </w:numPr>
        <w:spacing w:after="100" w:line="280"/>
      </w:pPr>
      <w:r>
        <w:rPr>
          <w:color w:val="262626"/>
          <w:sz w:val="22"/>
          <w:szCs w:val="22"/>
        </w:rPr>
        <w:t xml:space="preserve">Posibles conflictos de nombres de usuario (UPN) o alias duplicados entre ambas organizaciones, que deben resolverse antes de migrar.</w:t>
      </w:r>
    </w:p>
    <w:p>
      <w:pPr>
        <w:pStyle w:val="ListParagraph"/>
        <w:numPr>
          <w:ilvl w:val="0"/>
          <w:numId w:val="2"/>
        </w:numPr>
        <w:spacing w:after="100" w:line="280"/>
      </w:pPr>
      <w:r>
        <w:rPr>
          <w:color w:val="262626"/>
          <w:sz w:val="22"/>
          <w:szCs w:val="22"/>
        </w:rPr>
        <w:t xml:space="preserve">Revisión y adaptación de integraciones (aplicaciones de terceros, SSO, VPN, ERP, ETL con Microsoft Graph/API) que dependan del tenant origen.</w:t>
      </w:r>
    </w:p>
    <w:p>
      <w:pPr>
        <w:pStyle w:val="ListParagraph"/>
        <w:numPr>
          <w:ilvl w:val="0"/>
          <w:numId w:val="2"/>
        </w:numPr>
        <w:spacing w:after="100" w:line="280"/>
      </w:pPr>
      <w:r>
        <w:rPr>
          <w:color w:val="262626"/>
          <w:sz w:val="22"/>
          <w:szCs w:val="22"/>
        </w:rPr>
        <w:t xml:space="preserve">Migración de Teams y grupos de Microsoft 365 con herramientas adicionales, dado que no está cubierta de forma nativa por la migración de buzones cross-tenant.</w:t>
      </w:r>
    </w:p>
    <w:p>
      <w:pPr>
        <w:pStyle w:val="Heading2"/>
        <w:spacing w:after="140" w:before="280"/>
      </w:pPr>
      <w:r>
        <w:rPr>
          <w:b/>
          <w:bCs/>
          <w:color w:val="2E5395"/>
          <w:sz w:val="24"/>
          <w:szCs w:val="24"/>
        </w:rPr>
        <w:t xml:space="preserve">7.2 Implicaciones administrativas</w:t>
      </w:r>
    </w:p>
    <w:p>
      <w:pPr>
        <w:pStyle w:val="ListParagraph"/>
        <w:numPr>
          <w:ilvl w:val="0"/>
          <w:numId w:val="2"/>
        </w:numPr>
        <w:spacing w:after="100" w:line="280"/>
      </w:pPr>
      <w:r>
        <w:rPr>
          <w:color w:val="262626"/>
          <w:sz w:val="22"/>
          <w:szCs w:val="22"/>
        </w:rPr>
        <w:t xml:space="preserve">Definición de un solo conjunto de políticas de seguridad, cumplimiento (retención, DLP, Conditional Access) y gobierno de datos, que deberá adoptar la organización adquirida al integrarse al tenant central.</w:t>
      </w:r>
    </w:p>
    <w:p>
      <w:pPr>
        <w:pStyle w:val="ListParagraph"/>
        <w:numPr>
          <w:ilvl w:val="0"/>
          <w:numId w:val="2"/>
        </w:numPr>
        <w:spacing w:after="100" w:line="280"/>
      </w:pPr>
      <w:r>
        <w:rPr>
          <w:color w:val="262626"/>
          <w:sz w:val="22"/>
          <w:szCs w:val="22"/>
        </w:rPr>
        <w:t xml:space="preserve">Necesidad de comunicar a los usuarios de la organización adquirida los cambios (nuevas credenciales, posible cambio de dirección de correo visible, aplicaciones).</w:t>
      </w:r>
    </w:p>
    <w:p>
      <w:pPr>
        <w:pStyle w:val="ListParagraph"/>
        <w:numPr>
          <w:ilvl w:val="0"/>
          <w:numId w:val="2"/>
        </w:numPr>
        <w:spacing w:after="100" w:line="280"/>
      </w:pPr>
      <w:r>
        <w:rPr>
          <w:color w:val="262626"/>
          <w:sz w:val="22"/>
          <w:szCs w:val="22"/>
        </w:rPr>
        <w:t xml:space="preserve">Curva de adaptación y soporte adicional durante el periodo de transición (mesa de ayuda, documentación, capacitación).</w:t>
      </w:r>
    </w:p>
    <w:p>
      <w:pPr>
        <w:pStyle w:val="ListParagraph"/>
        <w:numPr>
          <w:ilvl w:val="0"/>
          <w:numId w:val="2"/>
        </w:numPr>
        <w:spacing w:after="100" w:line="280"/>
      </w:pPr>
      <w:r>
        <w:rPr>
          <w:color w:val="262626"/>
          <w:sz w:val="22"/>
          <w:szCs w:val="22"/>
        </w:rPr>
        <w:t xml:space="preserve">Reasignación de roles administrativos: los administradores de la organización adquirida deberán operar bajo los roles y permisos delegados que el tenant central les asigne (RBAC de Entra ID).</w:t>
      </w:r>
    </w:p>
    <w:p>
      <w:pPr>
        <w:pStyle w:val="Heading2"/>
        <w:spacing w:after="140" w:before="280"/>
      </w:pPr>
      <w:r>
        <w:rPr>
          <w:b/>
          <w:bCs/>
          <w:color w:val="2E5395"/>
          <w:sz w:val="24"/>
          <w:szCs w:val="24"/>
        </w:rPr>
        <w:t xml:space="preserve">7.3 Implicaciones de licenciamiento</w:t>
      </w:r>
    </w:p>
    <w:p>
      <w:pPr>
        <w:pStyle w:val="ListParagraph"/>
        <w:numPr>
          <w:ilvl w:val="0"/>
          <w:numId w:val="2"/>
        </w:numPr>
        <w:spacing w:after="100" w:line="280"/>
      </w:pPr>
      <w:r>
        <w:rPr>
          <w:color w:val="262626"/>
          <w:sz w:val="22"/>
          <w:szCs w:val="22"/>
        </w:rPr>
        <w:t xml:space="preserve">Las licencias de Microsoft 365 están asociadas al tenant, no son transferibles directamente entre tenants: deberá adquirirse o reasignarse licenciamiento equivalente en el tenant destino para cada usuario migrado.</w:t>
      </w:r>
    </w:p>
    <w:p>
      <w:pPr>
        <w:pStyle w:val="ListParagraph"/>
        <w:numPr>
          <w:ilvl w:val="0"/>
          <w:numId w:val="2"/>
        </w:numPr>
        <w:spacing w:after="100" w:line="280"/>
      </w:pPr>
      <w:r>
        <w:rPr>
          <w:color w:val="262626"/>
          <w:sz w:val="22"/>
          <w:szCs w:val="22"/>
        </w:rPr>
        <w:t xml:space="preserve">Debe evaluarse si existen descuentos por volumen, acuerdos EA (Enterprise Agreement) o CSP que se vean afectados al consolidar el número total de usuarios en un solo tenant (usualmente resulta favorable, dado el mayor volumen agregado).</w:t>
      </w:r>
    </w:p>
    <w:p>
      <w:pPr>
        <w:pStyle w:val="ListParagraph"/>
        <w:numPr>
          <w:ilvl w:val="0"/>
          <w:numId w:val="2"/>
        </w:numPr>
        <w:spacing w:after="100" w:line="280"/>
      </w:pPr>
      <w:r>
        <w:rPr>
          <w:color w:val="262626"/>
          <w:sz w:val="22"/>
          <w:szCs w:val="22"/>
        </w:rPr>
        <w:t xml:space="preserve">Durante el periodo de coexistencia, es posible incurrir en doble costo temporal de licenciamiento (licencias activas en ambos tenants) hasta completar el corte final.</w:t>
      </w:r>
    </w:p>
    <w:p>
      <w:pPr>
        <w:pStyle w:val="ListParagraph"/>
        <w:numPr>
          <w:ilvl w:val="0"/>
          <w:numId w:val="2"/>
        </w:numPr>
        <w:spacing w:after="100" w:line="280"/>
      </w:pPr>
      <w:r>
        <w:rPr>
          <w:color w:val="262626"/>
          <w:sz w:val="22"/>
          <w:szCs w:val="22"/>
        </w:rPr>
        <w:t xml:space="preserve">Revisión de licenciamiento de seguridad y cumplimiento (Defender, Purview, Entra ID P1/P2) para asegurar paridad de protección entre ambas organizaciones tras la consolidación.</w:t>
      </w:r>
    </w:p>
    <w:p>
      <w:pPr>
        <w:pStyle w:val="Heading1"/>
        <w:pBdr>
          <w:bottom w:val="single" w:color="2E5395" w:sz="6" w:space="4"/>
        </w:pBdr>
        <w:spacing w:after="200" w:before="400"/>
      </w:pPr>
      <w:r>
        <w:rPr>
          <w:b/>
          <w:bCs/>
          <w:color w:val="1F3864"/>
          <w:sz w:val="30"/>
          <w:szCs w:val="30"/>
        </w:rPr>
        <w:t xml:space="preserve">8. Alternativas si la Estructura de Árbol no es Viable: Administración Centralizada con Dominios Separados</w:t>
      </w:r>
    </w:p>
    <w:p>
      <w:pPr>
        <w:spacing w:after="160" w:line="300"/>
        <w:jc w:val="both"/>
      </w:pPr>
      <w:r>
        <w:rPr>
          <w:color w:val="262626"/>
          <w:sz w:val="22"/>
          <w:szCs w:val="22"/>
        </w:rPr>
        <w:t xml:space="preserve">Dado que la estructura de árbol/subtenant no está disponible de forma nativa, y considerando que el cliente desea preservar la separación de dominios SMTP (identidad de marca) de ambas organizaciones, existen dos rutas recomendadas:</w:t>
      </w:r>
    </w:p>
    <w:p>
      <w:pPr>
        <w:pStyle w:val="Heading2"/>
        <w:spacing w:after="140" w:before="280"/>
      </w:pPr>
      <w:r>
        <w:rPr>
          <w:b/>
          <w:bCs/>
          <w:color w:val="2E5395"/>
          <w:sz w:val="24"/>
          <w:szCs w:val="24"/>
        </w:rPr>
        <w:t xml:space="preserve">8.1 Opción A (recomendada): Consolidación en un único tenant con múltiples dominios SMTP</w:t>
      </w:r>
    </w:p>
    <w:p>
      <w:pPr>
        <w:spacing w:after="160" w:line="300"/>
        <w:jc w:val="both"/>
      </w:pPr>
      <w:r>
        <w:rPr>
          <w:color w:val="262626"/>
          <w:sz w:val="22"/>
          <w:szCs w:val="22"/>
        </w:rPr>
        <w:t xml:space="preserve">Esta es la alternativa más robusta y la que mejor cumple simultáneamente el objetivo de administración centralizada y preservación de identidad de marca. Consiste en migrar la organización adquirida al tenant central (según el proceso de la sección 5) y, una vez ahí, verificar y mantener activo su dominio SMTP original como dominio adicional (no primario) dentro del mismo tenant.</w:t>
      </w:r>
    </w:p>
    <w:p>
      <w:pPr>
        <w:pStyle w:val="ListParagraph"/>
        <w:numPr>
          <w:ilvl w:val="0"/>
          <w:numId w:val="2"/>
        </w:numPr>
        <w:spacing w:after="100" w:line="280"/>
      </w:pPr>
      <w:r>
        <w:rPr>
          <w:color w:val="262626"/>
          <w:sz w:val="22"/>
          <w:szCs w:val="22"/>
        </w:rPr>
        <w:t xml:space="preserve">Todos los usuarios, buzones, licencias, políticas de seguridad y cumplimiento quedan bajo una única consola de administración (Microsoft 365 admin center) y un único Entra ID.</w:t>
      </w:r>
    </w:p>
    <w:p>
      <w:pPr>
        <w:pStyle w:val="ListParagraph"/>
        <w:numPr>
          <w:ilvl w:val="0"/>
          <w:numId w:val="2"/>
        </w:numPr>
        <w:spacing w:after="100" w:line="280"/>
      </w:pPr>
      <w:r>
        <w:rPr>
          <w:color w:val="262626"/>
          <w:sz w:val="22"/>
          <w:szCs w:val="22"/>
        </w:rPr>
        <w:t xml:space="preserve">Cada usuario puede conservar su dirección de correo original (@empresaadquirida.com) como dirección primaria de su buzón, aun estando alojado en el tenant central.</w:t>
      </w:r>
    </w:p>
    <w:p>
      <w:pPr>
        <w:pStyle w:val="ListParagraph"/>
        <w:numPr>
          <w:ilvl w:val="0"/>
          <w:numId w:val="2"/>
        </w:numPr>
        <w:spacing w:after="100" w:line="280"/>
      </w:pPr>
      <w:r>
        <w:rPr>
          <w:color w:val="262626"/>
          <w:sz w:val="22"/>
          <w:szCs w:val="22"/>
        </w:rPr>
        <w:t xml:space="preserve">Se simplifican la gestión de licencias, las políticas de seguridad (Conditional Access, DLP, retención) y el reporting, al existir un solo panel de control.</w:t>
      </w:r>
    </w:p>
    <w:p>
      <w:pPr>
        <w:pStyle w:val="Heading2"/>
        <w:spacing w:after="140" w:before="280"/>
      </w:pPr>
      <w:r>
        <w:rPr>
          <w:b/>
          <w:bCs/>
          <w:color w:val="2E5395"/>
          <w:sz w:val="24"/>
          <w:szCs w:val="24"/>
        </w:rPr>
        <w:t xml:space="preserve">8.2 Opción B: Multitenant Organization (MTO) de Microsoft Entra ID</w:t>
      </w:r>
    </w:p>
    <w:p>
      <w:pPr>
        <w:spacing w:after="160" w:line="300"/>
        <w:jc w:val="both"/>
      </w:pPr>
      <w:r>
        <w:rPr>
          <w:color w:val="262626"/>
          <w:sz w:val="22"/>
          <w:szCs w:val="22"/>
        </w:rPr>
        <w:t xml:space="preserve">Si por razones regulatorias, contractuales o de gobierno corporativo ambas organizaciones deben permanecer en tenants separados (por ejemplo, durante una etapa transitoria antes de una consolidación completa, o de forma permanente por requerimientos legales), Microsoft ofrece la característica de Multitenant Organization, que permite:</w:t>
      </w:r>
    </w:p>
    <w:p>
      <w:pPr>
        <w:pStyle w:val="ListParagraph"/>
        <w:numPr>
          <w:ilvl w:val="0"/>
          <w:numId w:val="2"/>
        </w:numPr>
        <w:spacing w:after="100" w:line="280"/>
      </w:pPr>
      <w:r>
        <w:rPr>
          <w:color w:val="262626"/>
          <w:sz w:val="22"/>
          <w:szCs w:val="22"/>
        </w:rPr>
        <w:t xml:space="preserve">Vincular hasta 100 tenants relacionados, facilitando la búsqueda de personas entre organizaciones, disponibilidad de calendario compartida y colaboración en Teams entre usuarios de ambos tenants.</w:t>
      </w:r>
    </w:p>
    <w:p>
      <w:pPr>
        <w:pStyle w:val="ListParagraph"/>
        <w:numPr>
          <w:ilvl w:val="0"/>
          <w:numId w:val="2"/>
        </w:numPr>
        <w:spacing w:after="100" w:line="280"/>
      </w:pPr>
      <w:r>
        <w:rPr>
          <w:color w:val="262626"/>
          <w:sz w:val="22"/>
          <w:szCs w:val="22"/>
        </w:rPr>
        <w:t xml:space="preserve">Cada tenant conserva su propio dominio SMTP, su propio Entra ID y su propio licenciamiento; NO se logra una administración unificada real de usuarios/licencias desde una sola consola.</w:t>
      </w:r>
    </w:p>
    <w:p>
      <w:pPr>
        <w:pStyle w:val="ListParagraph"/>
        <w:numPr>
          <w:ilvl w:val="0"/>
          <w:numId w:val="2"/>
        </w:numPr>
        <w:spacing w:after="100" w:line="280"/>
      </w:pPr>
      <w:r>
        <w:rPr>
          <w:color w:val="262626"/>
          <w:sz w:val="22"/>
          <w:szCs w:val="22"/>
        </w:rPr>
        <w:t xml:space="preserve">Es una alternativa de colaboración, no de administración centralizada plena; conviene evaluarla solo como paso intermedio o cuando la separación legal de entidades sea un requisito indispensable.</w:t>
      </w:r>
    </w:p>
    <w:p>
      <w:pPr>
        <w:pStyle w:val="Heading2"/>
        <w:spacing w:after="140" w:before="280"/>
      </w:pPr>
      <w:r>
        <w:rPr>
          <w:b/>
          <w:bCs/>
          <w:color w:val="2E5395"/>
          <w:sz w:val="24"/>
          <w:szCs w:val="24"/>
        </w:rPr>
        <w:t xml:space="preserve">8.3 Opción C: Tenant único con Exchange Hybrid / conectores de correo (escenario transitorio)</w:t>
      </w:r>
    </w:p>
    <w:p>
      <w:pPr>
        <w:spacing w:after="160" w:line="300"/>
        <w:jc w:val="both"/>
      </w:pPr>
      <w:r>
        <w:rPr>
          <w:color w:val="262626"/>
          <w:sz w:val="22"/>
          <w:szCs w:val="22"/>
        </w:rPr>
        <w:t xml:space="preserve">Como medida temporal mientras se ejecuta la migración completa, puede mantenerse flujo de correo entre ambos tenants mediante conectores SMTP y sincronización de disponibilidad de calendario ("organization relationship"), de forma que ambas organizaciones operen con apariencia unificada de cara al usuario final mientras se completa la consolidación técnica de fondo.</w:t>
      </w:r>
    </w:p>
    <w:tbl>
      <w:tblPr>
        <w:tblW w:type="dxa" w:w="9500"/>
        <w:tblBorders>
          <w:top w:val="single" w:color="2E5395" w:sz="4"/>
          <w:left w:val="single" w:color="2E5395" w:sz="4"/>
          <w:bottom w:val="single" w:color="2E5395" w:sz="4"/>
          <w:right w:val="single" w:color="2E5395" w:sz="4"/>
          <w:insideH w:val="single" w:color="auto" w:sz="4"/>
          <w:insideV w:val="single" w:color="auto" w:sz="4"/>
        </w:tblBorders>
      </w:tblPr>
      <w:tblGrid>
        <w:gridCol w:w="9500"/>
      </w:tblGrid>
      <w:tr>
        <w:tc>
          <w:tcPr>
            <w:tcW w:type="dxa" w:w="9500"/>
            <w:shd w:fill="DCE6F1" w:val="clear"/>
            <w:tcMar>
              <w:top w:type="dxa" w:w="150"/>
              <w:left w:type="dxa" w:w="200"/>
              <w:bottom w:type="dxa" w:w="150"/>
              <w:right w:type="dxa" w:w="200"/>
            </w:tcMar>
          </w:tcPr>
          <w:p>
            <w:pPr>
              <w:spacing w:after="80"/>
            </w:pPr>
            <w:r>
              <w:rPr>
                <w:b/>
                <w:bCs/>
                <w:color w:val="1F3864"/>
                <w:sz w:val="22"/>
                <w:szCs w:val="22"/>
              </w:rPr>
              <w:t xml:space="preserve">Recomendación principal</w:t>
            </w:r>
          </w:p>
          <w:p>
            <w:pPr>
              <w:spacing w:after="60" w:line="270"/>
            </w:pPr>
            <w:r>
              <w:rPr>
                <w:color w:val="262626"/>
                <w:sz w:val="21"/>
                <w:szCs w:val="21"/>
              </w:rPr>
              <w:t xml:space="preserve">Recomendación: La Opción A (consolidación en un único tenant con múltiples dominios SMTP) es la que mejor satisface el requerimiento del cliente de administración centralizada, preservando al mismo tiempo la identidad de marca (dominio) de la organización adquirida.</w:t>
            </w:r>
          </w:p>
        </w:tc>
      </w:tr>
    </w:tbl>
    <w:p>
      <w:pPr>
        <w:pStyle w:val="Heading1"/>
        <w:pBdr>
          <w:bottom w:val="single" w:color="2E5395" w:sz="6" w:space="4"/>
        </w:pBdr>
        <w:spacing w:after="200" w:before="400"/>
      </w:pPr>
      <w:r>
        <w:rPr>
          <w:b/>
          <w:bCs/>
          <w:color w:val="1F3864"/>
          <w:sz w:val="30"/>
          <w:szCs w:val="30"/>
        </w:rPr>
        <w:t xml:space="preserve">9. Resumen de Preguntas Planteadas por 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Pregunta</w:t>
            </w:r>
          </w:p>
        </w:tc>
        <w:tc>
          <w:tcPr>
            <w:tcW w:type="dxa" w:w="6300"/>
            <w:shd w:fill="1F3864" w:val="clear"/>
            <w:tcMar>
              <w:top w:type="dxa" w:w="100"/>
              <w:left w:type="dxa" w:w="120"/>
              <w:bottom w:type="dxa" w:w="100"/>
              <w:right w:type="dxa" w:w="120"/>
            </w:tcMar>
            <w:vAlign w:val="center"/>
          </w:tcPr>
          <w:p>
            <w:r>
              <w:rPr>
                <w:b/>
                <w:bCs/>
                <w:color w:val="FFFFFF"/>
                <w:sz w:val="20"/>
                <w:szCs w:val="20"/>
              </w:rPr>
              <w:t xml:space="preserve">Respuesta resumida</w:t>
            </w:r>
          </w:p>
        </w:tc>
      </w:tr>
      <w:tr>
        <w:trPr>
          <w:tblHeader w:val="false"/>
        </w:trP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¿Se pueden mover todas las cuentas/buzones/información a un solo tenant?</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Sí, mediante migración cross-tenant nativa de Microsoft 365 (buzones y OneDrive) complementada con migración de SharePoint/Teams; requiere planeación, licenciamiento y ventanas de corte controladas.</w:t>
            </w:r>
          </w:p>
        </w:tc>
      </w:tr>
      <w:tr>
        <w:trPr>
          <w:tblHeader w:val="false"/>
        </w:trP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¿Es posible una estructura de árbol / subtenant?</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No de forma nativa. Existe la Multitenant Organization para colaboración entre tenants, pero no ofrece administración centralizada real de usuarios y licencias.</w:t>
            </w:r>
          </w:p>
        </w:tc>
      </w:tr>
      <w:tr>
        <w:trPr>
          <w:tblHeader w:val="false"/>
        </w:trP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¿Cuántos dominios SMTP soporta un tenant?</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Hasta 5,000 dominios aceptados por tenant (límite documentado de Exchange Online Protection); un mismo dominio no puede estar en dos tenants simultáneamente.</w:t>
            </w:r>
          </w:p>
        </w:tc>
      </w:tr>
      <w:tr>
        <w:trPr>
          <w:tblHeader w:val="false"/>
        </w:trP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¿Se puede migrar del Tenant A al Tenant B?</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Sí, es un escenario estándar y soportado (fusiones/adquisiciones), mediante la herramienta nativa de cross-tenant migration o herramientas de terceros.</w:t>
            </w:r>
          </w:p>
        </w:tc>
      </w:tr>
      <w:tr>
        <w:trPr>
          <w:tblHeader w:val="false"/>
        </w:trP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Si no es viable el árbol, ¿qué alternativa mantiene dominios separados con administración centralizada?</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Consolidar ambas organizaciones en un único tenant y mantener el dominio original de cada una como dominio adicional verificado (Opción A, sección 8.1).</w:t>
            </w:r>
          </w:p>
        </w:tc>
      </w:tr>
    </w:tbl>
    <w:p>
      <w:pPr>
        <w:spacing w:before="200"/>
      </w:pPr>
    </w:p>
    <w:p>
      <w:pPr>
        <w:pStyle w:val="Heading1"/>
        <w:pBdr>
          <w:bottom w:val="single" w:color="2E5395" w:sz="6" w:space="4"/>
        </w:pBdr>
        <w:spacing w:after="200" w:before="400"/>
      </w:pPr>
      <w:r>
        <w:rPr>
          <w:b/>
          <w:bCs/>
          <w:color w:val="1F3864"/>
          <w:sz w:val="30"/>
          <w:szCs w:val="30"/>
        </w:rPr>
        <w:t xml:space="preserve">10. Requerimientos Previos Estimados</w:t>
      </w:r>
    </w:p>
    <w:p>
      <w:pPr>
        <w:spacing w:after="160" w:line="300"/>
        <w:jc w:val="both"/>
      </w:pPr>
      <w:r>
        <w:rPr>
          <w:color w:val="262626"/>
          <w:sz w:val="22"/>
          <w:szCs w:val="22"/>
        </w:rPr>
        <w:t xml:space="preserve">Para ejecutar el escenario recomendado, se deberán prever al menos los siguientes elementos:</w:t>
      </w:r>
    </w:p>
    <w:p>
      <w:pPr>
        <w:pStyle w:val="Heading2"/>
        <w:spacing w:after="140" w:before="280"/>
      </w:pPr>
      <w:r>
        <w:rPr>
          <w:b/>
          <w:bCs/>
          <w:color w:val="2E5395"/>
          <w:sz w:val="24"/>
          <w:szCs w:val="24"/>
        </w:rPr>
        <w:t xml:space="preserve">10.1 Requerimientos de dominio y DNS público</w:t>
      </w:r>
    </w:p>
    <w:p>
      <w:pPr>
        <w:pStyle w:val="ListParagraph"/>
        <w:numPr>
          <w:ilvl w:val="0"/>
          <w:numId w:val="2"/>
        </w:numPr>
        <w:spacing w:after="100" w:line="280"/>
      </w:pPr>
      <w:r>
        <w:rPr>
          <w:color w:val="262626"/>
          <w:sz w:val="22"/>
          <w:szCs w:val="22"/>
        </w:rPr>
        <w:t xml:space="preserve">Acceso administrativo al proveedor/registrador DNS del dominio de la organización adquirida, para gestionar los registros MX, SPF, DKIM, DMARC, autodiscover (SRV/CNAME) y TXT de verificación de propiedad del dominio.</w:t>
      </w:r>
    </w:p>
    <w:p>
      <w:pPr>
        <w:pStyle w:val="ListParagraph"/>
        <w:numPr>
          <w:ilvl w:val="0"/>
          <w:numId w:val="2"/>
        </w:numPr>
        <w:spacing w:after="100" w:line="280"/>
      </w:pPr>
      <w:r>
        <w:rPr>
          <w:color w:val="262626"/>
          <w:sz w:val="22"/>
          <w:szCs w:val="22"/>
        </w:rPr>
        <w:t xml:space="preserve">Ventana de mantenimiento acordada para el corte de dominio (retiro del tenant origen y verificación en el tenant destino), considerando de 24 a 72 horas de propagación DNS.</w:t>
      </w:r>
    </w:p>
    <w:p>
      <w:pPr>
        <w:pStyle w:val="ListParagraph"/>
        <w:numPr>
          <w:ilvl w:val="0"/>
          <w:numId w:val="2"/>
        </w:numPr>
        <w:spacing w:after="100" w:line="280"/>
      </w:pPr>
      <w:r>
        <w:rPr>
          <w:color w:val="262626"/>
          <w:sz w:val="22"/>
          <w:szCs w:val="22"/>
        </w:rPr>
        <w:t xml:space="preserve">Certificados y configuración de dominio personalizado si existieran servicios adicionales (portales, SharePoint con dominio personalizado, etc.).</w:t>
      </w:r>
    </w:p>
    <w:p>
      <w:pPr>
        <w:pStyle w:val="Heading2"/>
        <w:spacing w:after="140" w:before="280"/>
      </w:pPr>
      <w:r>
        <w:rPr>
          <w:b/>
          <w:bCs/>
          <w:color w:val="2E5395"/>
          <w:sz w:val="24"/>
          <w:szCs w:val="24"/>
        </w:rPr>
        <w:t xml:space="preserve">10.2 Requerimientos de identidad y directorio</w:t>
      </w:r>
    </w:p>
    <w:p>
      <w:pPr>
        <w:pStyle w:val="ListParagraph"/>
        <w:numPr>
          <w:ilvl w:val="0"/>
          <w:numId w:val="2"/>
        </w:numPr>
        <w:spacing w:after="100" w:line="280"/>
      </w:pPr>
      <w:r>
        <w:rPr>
          <w:color w:val="262626"/>
          <w:sz w:val="22"/>
          <w:szCs w:val="22"/>
        </w:rPr>
        <w:t xml:space="preserve">Inventario de usuarios, grupos y atributos (UPN, alias, membresías) del tenant origen para preparar la creación de objetos MailUser en el tenant destino.</w:t>
      </w:r>
    </w:p>
    <w:p>
      <w:pPr>
        <w:pStyle w:val="ListParagraph"/>
        <w:numPr>
          <w:ilvl w:val="0"/>
          <w:numId w:val="2"/>
        </w:numPr>
        <w:spacing w:after="100" w:line="280"/>
      </w:pPr>
      <w:r>
        <w:rPr>
          <w:color w:val="262626"/>
          <w:sz w:val="22"/>
          <w:szCs w:val="22"/>
        </w:rPr>
        <w:t xml:space="preserve">Definición de estrategia de sincronización de identidades (Entra Connect) si existe Active Directory local en alguna de las organizaciones.</w:t>
      </w:r>
    </w:p>
    <w:p>
      <w:pPr>
        <w:pStyle w:val="Heading2"/>
        <w:spacing w:after="140" w:before="280"/>
      </w:pPr>
      <w:r>
        <w:rPr>
          <w:b/>
          <w:bCs/>
          <w:color w:val="2E5395"/>
          <w:sz w:val="24"/>
          <w:szCs w:val="24"/>
        </w:rPr>
        <w:t xml:space="preserve">10.3 Requerimientos de licenciamiento</w:t>
      </w:r>
    </w:p>
    <w:p>
      <w:pPr>
        <w:pStyle w:val="ListParagraph"/>
        <w:numPr>
          <w:ilvl w:val="0"/>
          <w:numId w:val="2"/>
        </w:numPr>
        <w:spacing w:after="100" w:line="280"/>
      </w:pPr>
      <w:r>
        <w:rPr>
          <w:color w:val="262626"/>
          <w:sz w:val="22"/>
          <w:szCs w:val="22"/>
        </w:rPr>
        <w:t xml:space="preserve">Disponibilidad o adquisición de licencias Microsoft 365 equivalentes en el tenant destino para todos los usuarios a migrar (correo, Office, seguridad, cumplimiento).</w:t>
      </w:r>
    </w:p>
    <w:p>
      <w:pPr>
        <w:pStyle w:val="ListParagraph"/>
        <w:numPr>
          <w:ilvl w:val="0"/>
          <w:numId w:val="2"/>
        </w:numPr>
        <w:spacing w:after="100" w:line="280"/>
      </w:pPr>
      <w:r>
        <w:rPr>
          <w:color w:val="262626"/>
          <w:sz w:val="22"/>
          <w:szCs w:val="22"/>
        </w:rPr>
        <w:t xml:space="preserve">Presupuesto para el periodo de coexistencia, en el que podría requerirse licenciamiento activo en ambos tenants de forma simultánea.</w:t>
      </w:r>
    </w:p>
    <w:p>
      <w:pPr>
        <w:pStyle w:val="Heading2"/>
        <w:spacing w:after="140" w:before="280"/>
      </w:pPr>
      <w:r>
        <w:rPr>
          <w:b/>
          <w:bCs/>
          <w:color w:val="2E5395"/>
          <w:sz w:val="24"/>
          <w:szCs w:val="24"/>
        </w:rPr>
        <w:t xml:space="preserve">10.4 Requerimientos administrativos y de gobernanza</w:t>
      </w:r>
    </w:p>
    <w:p>
      <w:pPr>
        <w:pStyle w:val="ListParagraph"/>
        <w:numPr>
          <w:ilvl w:val="0"/>
          <w:numId w:val="2"/>
        </w:numPr>
        <w:spacing w:after="100" w:line="280"/>
      </w:pPr>
      <w:r>
        <w:rPr>
          <w:color w:val="262626"/>
          <w:sz w:val="22"/>
          <w:szCs w:val="22"/>
        </w:rPr>
        <w:t xml:space="preserve">Roles de administrador global/Exchange en ambos tenants durante el proyecto de migración.</w:t>
      </w:r>
    </w:p>
    <w:p>
      <w:pPr>
        <w:pStyle w:val="ListParagraph"/>
        <w:numPr>
          <w:ilvl w:val="0"/>
          <w:numId w:val="2"/>
        </w:numPr>
        <w:spacing w:after="100" w:line="280"/>
      </w:pPr>
      <w:r>
        <w:rPr>
          <w:color w:val="262626"/>
          <w:sz w:val="22"/>
          <w:szCs w:val="22"/>
        </w:rPr>
        <w:t xml:space="preserve">Plan de comunicación a usuarios finales y mesa de soporte durante la ventana de migración y el periodo posterior.</w:t>
      </w:r>
    </w:p>
    <w:p>
      <w:pPr>
        <w:pStyle w:val="ListParagraph"/>
        <w:numPr>
          <w:ilvl w:val="0"/>
          <w:numId w:val="2"/>
        </w:numPr>
        <w:spacing w:after="100" w:line="280"/>
      </w:pPr>
      <w:r>
        <w:rPr>
          <w:color w:val="262626"/>
          <w:sz w:val="22"/>
          <w:szCs w:val="22"/>
        </w:rPr>
        <w:t xml:space="preserve">Definición de políticas unificadas de seguridad y cumplimiento (Conditional Access, DLP, retención) a aplicar tras la consolidación.</w:t>
      </w:r>
    </w:p>
    <w:p>
      <w:pPr>
        <w:pStyle w:val="Heading1"/>
        <w:pBdr>
          <w:bottom w:val="single" w:color="2E5395" w:sz="6" w:space="4"/>
        </w:pBdr>
        <w:spacing w:after="200" w:before="400"/>
      </w:pPr>
      <w:r>
        <w:rPr>
          <w:b/>
          <w:bCs/>
          <w:color w:val="1F3864"/>
          <w:sz w:val="30"/>
          <w:szCs w:val="30"/>
        </w:rPr>
        <w:t xml:space="preserve">11. Conclusión</w:t>
      </w:r>
    </w:p>
    <w:p>
      <w:pPr>
        <w:spacing w:after="160" w:line="300"/>
        <w:jc w:val="both"/>
      </w:pPr>
      <w:r>
        <w:rPr>
          <w:color w:val="262626"/>
          <w:sz w:val="22"/>
          <w:szCs w:val="22"/>
        </w:rPr>
        <w:t xml:space="preserve">La consolidación administrativa solicitada por el cliente es técnicamente viable en Microsoft 365, pero no bajo el modelo de "árbol" con subtenants que inicialmente se planteó, ya que esta estructura jerárquica no existe de forma nativa en la plataforma. La ruta recomendada es la migración completa de la organización adquirida hacia el tenant central del cliente, utilizando las herramientas nativas de migración cross-tenant de Microsoft (complementadas, de ser necesario, con herramientas de terceros para SharePoint, OneDrive y Teams), preservando el dominio SMTP original de la organización adquirida como dominio adicional verificado dentro del mismo tenant.</w:t>
      </w:r>
    </w:p>
    <w:p>
      <w:pPr>
        <w:spacing w:after="160" w:line="300"/>
        <w:jc w:val="both"/>
      </w:pPr>
      <w:r>
        <w:rPr>
          <w:color w:val="262626"/>
          <w:sz w:val="22"/>
          <w:szCs w:val="22"/>
        </w:rPr>
        <w:t xml:space="preserve">Con este enfoque, el cliente obtiene lo mejor de ambos mundos: una administración 100% centralizada de usuarios, licencias, seguridad y cumplimiento desde un único panel de control (Microsoft 365 admin center / Entra ID), y al mismo tiempo conserva la identidad de marca y las direcciones de correo de la organización adquirida, sin necesidad de forzar a los usuarios a cambiar de dominio de correo.</w:t>
      </w:r>
    </w:p>
    <w:p>
      <w:pPr>
        <w:spacing w:after="160" w:line="300"/>
        <w:jc w:val="both"/>
      </w:pPr>
      <w:r>
        <w:rPr>
          <w:color w:val="262626"/>
          <w:sz w:val="22"/>
          <w:szCs w:val="22"/>
        </w:rPr>
        <w:t xml:space="preserve">Se recomienda iniciar con una fase de descubrimiento y planeación detallada (inventario de usuarios, buzones, volumen de datos, integraciones y licenciamiento actual), seguida de un piloto controlado con un grupo reducido de usuarios antes de ejecutar la migración masiva por oleadas, minimizando así el riesgo operativo y el impacto en la continuidad del negocio durante el proceso de integración.</w:t>
      </w:r>
    </w:p>
    <w:p>
      <w:pPr>
        <w:spacing w:after="160" w:line="300"/>
        <w:jc w:val="both"/>
      </w:pPr>
      <w:r>
        <w:rPr>
          <w:i/>
          <w:iCs/>
          <w:color w:val="595959"/>
          <w:sz w:val="22"/>
          <w:szCs w:val="22"/>
        </w:rPr>
        <w:t xml:space="preserve">Quedamos atentos para, en una siguiente etapa, elaborar el plan de proyecto detallado (cronograma, roles, presupuesto de licenciamiento y matriz de riesgos) que permita ejecutar esta consolidación de forma ordenada y segura.</w:t>
      </w:r>
    </w:p>
    <w:sectPr>
      <w:footerReference w:type="default" r:id="rId7"/>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Documento técnico-administrativo — Consolidación de tenants Microsoft 365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2026-07-24T05:37:48.646Z</dcterms:created>
  <dcterms:modified xsi:type="dcterms:W3CDTF">2026-07-24T05:37:48.670Z</dcterms:modified>
</cp:coreProperties>
</file>

<file path=docProps/custom.xml><?xml version="1.0" encoding="utf-8"?>
<Properties xmlns="http://schemas.openxmlformats.org/officeDocument/2006/custom-properties" xmlns:vt="http://schemas.openxmlformats.org/officeDocument/2006/docPropsVTypes"/>
</file>