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2E74B5"/>
          <w:sz w:val="24"/>
          <w:szCs w:val="24"/>
        </w:rPr>
        <w:t xml:space="preserve">PROCEDIMIENTO TÉCNICO</w:t>
      </w:r>
    </w:p>
    <w:p>
      <w:pPr>
        <w:spacing w:after="300" w:before="300"/>
        <w:jc w:val="center"/>
      </w:pPr>
      <w:r>
        <w:rPr>
          <w:b/>
          <w:bCs/>
          <w:color w:val="1F3864"/>
          <w:sz w:val="44"/>
          <w:szCs w:val="44"/>
        </w:rPr>
        <w:t xml:space="preserve">Migración a Reserva de Capacidad Cool en Azure Blob Storage</w:t>
      </w:r>
    </w:p>
    <w:p>
      <w:pPr>
        <w:spacing w:after="1000"/>
        <w:jc w:val="center"/>
      </w:pPr>
      <w:r>
        <w:rPr>
          <w:i/>
          <w:iCs/>
          <w:color w:val="595959"/>
          <w:sz w:val="24"/>
          <w:szCs w:val="24"/>
        </w:rPr>
        <w:t xml:space="preserve">Reserva de 100 TB a 3 años · Migración de 30 TB existentes de Hot a Cool</w:t>
      </w:r>
    </w:p>
    <w:p>
      <w:pPr>
        <w:spacing w:before="3200"/>
        <w:jc w:val="center"/>
      </w:pPr>
      <w:r>
        <w:rPr>
          <w:color w:val="595959"/>
          <w:sz w:val="22"/>
          <w:szCs w:val="22"/>
        </w:rPr>
        <w:t xml:space="preserve">Preparado para: Equipo de Infraestructura / Cliente</w:t>
      </w:r>
    </w:p>
    <w:p>
      <w:pPr>
        <w:jc w:val="center"/>
      </w:pPr>
      <w:r>
        <w:rPr>
          <w:color w:val="595959"/>
          <w:sz w:val="22"/>
          <w:szCs w:val="22"/>
        </w:rPr>
        <w:t xml:space="preserve">Alcance: Azure Portal — sin uso de línea de comandos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Tabla de contenido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Objetivo y alcance</w:t>
      </w:r>
    </w:p>
    <w:p>
      <w:pPr>
        <w:spacing w:after="160"/>
      </w:pPr>
      <w:r>
        <w:t xml:space="preserve">Este documento describe el procedimiento paso a paso, ejecutado íntegramente desde el Azure Portal,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Adquirir una reserva de capacidad (Reserved Capacity) de 100 TB a 3 años, tier Cool.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Configurar el tier Cool como esquema fijo de la cuenta, sin transiciones automáticas posteriores hacia Cold o Archive.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Migrar los 30 TB actualmente en tier Hot hacia el tier Cool, sin pérdida de datos.</w:t>
      </w:r>
    </w:p>
    <w:p>
      <w:pPr>
        <w:pBdr>
          <w:left w:val="single" w:color="2E74B5" w:sz="12" w:space="8"/>
        </w:pBdr>
        <w:spacing w:after="200" w:before="60"/>
        <w:ind w:left="360"/>
      </w:pPr>
      <w:r>
        <w:rPr>
          <w:i/>
          <w:iCs/>
          <w:color w:val="595959"/>
        </w:rPr>
        <w:t xml:space="preserve">Nota: El cambio de tier es una operación de metadatos sobre el blob existente. El contenido de los objetos no se borra, no se reescribe y no se pierde en ningún momento del proceso.</w:t>
      </w:r>
    </w:p>
    <w:p>
      <w:pPr>
        <w:pStyle w:val="Heading1"/>
        <w:spacing w:after="160" w:before="360"/>
      </w:pPr>
      <w:r>
        <w:t xml:space="preserve">2. Aclaración conceptual previa</w:t>
      </w:r>
    </w:p>
    <w:p>
      <w:pPr>
        <w:spacing w:after="160"/>
      </w:pPr>
      <w:r>
        <w:t xml:space="preserve">Antes de ejecutar los pasos, es importante entender que se trata de dos actividades independientes: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Comprar la reserva de 100 TB / 3 años → es un compromiso de facturación. No mueve datos, no requiere downtime, se aplica como descuento automático sobre el consumo que ya esté en tier Cool.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Migrar los 30 TB de Hot a Cool → es la actividad técnica real. Sin este paso, la reserva no genera el ahorro esperado sobre esos datos.</w:t>
      </w:r>
    </w:p>
    <w:p>
      <w:pPr>
        <w:pBdr>
          <w:left w:val="single" w:color="ED7D31" w:sz="12" w:space="8"/>
        </w:pBdr>
        <w:spacing w:after="200" w:before="60"/>
        <w:ind w:left="360"/>
      </w:pPr>
      <w:r>
        <w:rPr>
          <w:b/>
          <w:bCs/>
          <w:color w:val="9C4500"/>
        </w:rPr>
        <w:t xml:space="preserve">⚠ Importante: Cambiar el 'Default access tier' de la cuenta a Cool NO migra retroactivamente los blobs existentes. Solo aplica a blobs nuevos sin tier explícito. Por eso la migración de los 30 TB requiere una acción adicional (Parte 3).</w:t>
      </w:r>
    </w:p>
    <w:p>
      <w:pPr>
        <w:pStyle w:val="Heading1"/>
        <w:spacing w:after="160" w:before="360"/>
      </w:pPr>
      <w:r>
        <w:t xml:space="preserve">3. Parte 1 — Compra de la reserva (100 TB / 3 años)</w:t>
      </w:r>
    </w:p>
    <w:p>
      <w:pPr>
        <w:spacing w:after="160"/>
      </w:pPr>
      <w:r>
        <w:t xml:space="preserve">Tiempo estimado: minutos. Sin impacto en producción.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</w:tblGrid>
      <w:tr>
        <w:trPr>
          <w:tblHeader/>
        </w:trPr>
        <w:tc>
          <w:tcPr>
            <w:tcW w:type="dxa" w:w="9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85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Acción en el portal de Azure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Ingresar al Azure Portal (portal.azure.com) y buscar “Reservations” en la barra de búsqueda superior.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Click en “+ Add” (o “Purchase now”).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En “Purchase”, seleccionar:</w:t>
            </w:r>
          </w:p>
          <w:p>
            <w:r>
              <w:t xml:space="preserve">• Reservation type: Storage → Blob Storage Reserved Capacity</w:t>
            </w:r>
          </w:p>
          <w:p>
            <w:r>
              <w:t xml:space="preserve">• Subscription: la suscripción donde vive la cuenta de storage</w:t>
            </w:r>
          </w:p>
          <w:p>
            <w:r>
              <w:t xml:space="preserve">• Region: debe coincidir exactamente con la región de la cuenta actual</w:t>
            </w:r>
          </w:p>
          <w:p>
            <w:r>
              <w:t xml:space="preserve">• Redundancy: la misma que usa hoy la cuenta (LRS/ZRS/GRS/RA-GRS)</w:t>
            </w:r>
          </w:p>
          <w:p>
            <w:r>
              <w:t xml:space="preserve">• Access tier: Cool</w:t>
            </w:r>
          </w:p>
          <w:p>
            <w:r>
              <w:t xml:space="preserve">• Instance size: 100 TB</w:t>
            </w:r>
          </w:p>
          <w:p>
            <w:r>
              <w:t xml:space="preserve">• Term: 3 years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Definir Scope: “Single subscription” (aplica solo a esta suscripción) o “Shared” (aplica a cualquier suscripción del billing account).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Click en “Review + Buy” y confirmar la compra.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Verificar en Reservations → Reservation details que la reserva quedó activa, con el scope y región correctos.</w:t>
            </w:r>
          </w:p>
        </w:tc>
      </w:tr>
    </w:tbl>
    <w:p>
      <w:pPr>
        <w:pBdr>
          <w:left w:val="single" w:color="2E74B5" w:sz="12" w:space="8"/>
        </w:pBdr>
        <w:spacing w:after="200" w:before="60"/>
        <w:ind w:left="360"/>
      </w:pPr>
      <w:r>
        <w:rPr>
          <w:i/>
          <w:iCs/>
          <w:color w:val="595959"/>
        </w:rPr>
        <w:t xml:space="preserve">Nota: Este paso no requiere que los datos ya estén migrados a Cool. Se puede comprar en cualquier momento; el descuento se activará conforme el consumo real en Cool crezca.</w:t>
      </w:r>
    </w:p>
    <w:p>
      <w:pPr>
        <w:pStyle w:val="Heading1"/>
        <w:spacing w:after="160" w:before="360"/>
      </w:pPr>
      <w:r>
        <w:t xml:space="preserve">4. Parte 2 — Configurar Cool como tier por defecto de la cuenta</w:t>
      </w:r>
    </w:p>
    <w:p>
      <w:pPr>
        <w:spacing w:after="160"/>
      </w:pPr>
      <w:r>
        <w:t xml:space="preserve">Tiempo estimado: minutos. Sin impacto en producción.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</w:tblGrid>
      <w:tr>
        <w:trPr>
          <w:tblHeader/>
        </w:trPr>
        <w:tc>
          <w:tcPr>
            <w:tcW w:type="dxa" w:w="9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85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Acción en el portal de Azure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Ir a la Storage Account correspondiente.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En el menú lateral, seleccionar “Configuration”.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Ubicar el campo “Default access tier” y cambiarlo de Hot a Cool.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Click en “Save”.</w:t>
            </w:r>
          </w:p>
        </w:tc>
      </w:tr>
    </w:tbl>
    <w:p>
      <w:pPr>
        <w:pBdr>
          <w:left w:val="single" w:color="ED7D31" w:sz="12" w:space="8"/>
        </w:pBdr>
        <w:spacing w:after="200" w:before="60"/>
        <w:ind w:left="360"/>
      </w:pPr>
      <w:r>
        <w:rPr>
          <w:b/>
          <w:bCs/>
          <w:color w:val="9C4500"/>
        </w:rPr>
        <w:t xml:space="preserve">⚠ Importante: Este cambio solo afecta a blobs nuevos que se suban sin tier explícito. Los 30 TB existentes permanecen en Hot hasta ejecutar la Parte 3.</w:t>
      </w:r>
    </w:p>
    <w:p>
      <w:pPr>
        <w:pStyle w:val="Heading1"/>
        <w:spacing w:after="160" w:before="360"/>
      </w:pPr>
      <w:r>
        <w:t xml:space="preserve">5. Parte 3 — Migración de los 30 TB existentes (Hot → Cool, sin autotransición)</w:t>
      </w:r>
    </w:p>
    <w:p>
      <w:pPr>
        <w:spacing w:after="160"/>
      </w:pPr>
      <w:r>
        <w:t xml:space="preserve">Tiempo estimado: horas a 1-2 días según cantidad de objetos. Sin downtime; los blobs permanecen accesibles durante el proceso.</w:t>
      </w:r>
    </w:p>
    <w:p>
      <w:pPr>
        <w:spacing w:after="160"/>
      </w:pPr>
      <w:r>
        <w:t xml:space="preserve">El objetivo es crear una única regla de Lifecycle Management que mueva los datos una sola vez, sin encadenar reglas posteriores hacia Cold o Archive.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</w:tblGrid>
      <w:tr>
        <w:trPr>
          <w:tblHeader/>
        </w:trPr>
        <w:tc>
          <w:tcPr>
            <w:tcW w:type="dxa" w:w="9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85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Acción en el portal de Azure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En la Storage Account, ir al menú lateral, sección “Data management” → “Lifecycle management”.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Click en “+ Add a rule”.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Pestaña “Details”:</w:t>
            </w:r>
          </w:p>
          <w:p>
            <w:r>
              <w:t xml:space="preserve">• Rule name: por ejemplo “migracion-hot-a-cool-unica”</w:t>
            </w:r>
          </w:p>
          <w:p>
            <w:r>
              <w:t xml:space="preserve">• Rule scope: “Apply to all blobs” o “Limit blobs with filters” si solo se migrarán ciertos contenedores/prefijos</w:t>
            </w:r>
          </w:p>
          <w:p>
            <w:r>
              <w:t xml:space="preserve">• Blob type: Block blobs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Pestaña “Base blobs”:</w:t>
            </w:r>
          </w:p>
          <w:p>
            <w:r>
              <w:t xml:space="preserve">• Marcar la acción “Move to cool storage”</w:t>
            </w:r>
          </w:p>
          <w:p>
            <w:r>
              <w:t xml:space="preserve">• Condición: “Days since modification greater than” = 0 (para que aplique de inmediato a todos los blobs existentes)</w:t>
            </w:r>
          </w:p>
          <w:p>
            <w:r>
              <w:t xml:space="preserve">• NO marcar “Move to cold storage”, “Move to archive storage” ni “Delete”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Revisar pestañas “Snapshots” / “Versions” — dejarlas sin marcar si no aplican, para evitar movimientos inesperados.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Click en “Add” para guardar la regla.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Esperar la evaluación de la política (Azure la corre en ciclos; puede tardar hasta ~24 horas en cubrir toda la cuenta).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Una vez validado que todos los blobs migraron (ver Parte 6), regresar a “Lifecycle management”, seleccionar la regla y hacer “Delete” o deshabilitarla (toggle a “Disabled”).</w:t>
            </w:r>
          </w:p>
        </w:tc>
      </w:tr>
    </w:tbl>
    <w:p>
      <w:pPr>
        <w:pBdr>
          <w:left w:val="single" w:color="ED7D31" w:sz="12" w:space="8"/>
        </w:pBdr>
        <w:spacing w:after="200" w:before="60"/>
        <w:ind w:left="360"/>
      </w:pPr>
      <w:r>
        <w:rPr>
          <w:b/>
          <w:bCs/>
          <w:color w:val="9C4500"/>
        </w:rPr>
        <w:t xml:space="preserve">⚠ Importante: Eliminar o deshabilitar la regla al final del paso 8 es lo que garantiza que no quede ningún mecanismo automático que continúe moviendo los datos hacia Cold o Archive en el futuro.</w:t>
      </w:r>
    </w:p>
    <w:p>
      <w:pPr>
        <w:pStyle w:val="Heading1"/>
        <w:spacing w:after="160" w:before="360"/>
      </w:pPr>
      <w:r>
        <w:t xml:space="preserve">6. Parte 4 — Validación post-migración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</w:tblGrid>
      <w:tr>
        <w:trPr>
          <w:tblHeader/>
        </w:trPr>
        <w:tc>
          <w:tcPr>
            <w:tcW w:type="dxa" w:w="9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85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Acción en el portal de Azure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En “Lifecycle management”, confirmar que no existan reglas activas apuntando a Cold o Archive.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En “Storage browser” o “Containers”, seleccionar una muestra de blobs y verificar que la columna “Access tier” indique Cool.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En “Cost Management + Billing” → “Reservations”, revisar el reporte de utilización de la reserva (puede tardar 24-48 horas en reflejarse conforme el dato migrado aplica el descuento).</w:t>
            </w:r>
          </w:p>
        </w:tc>
      </w:tr>
    </w:tbl>
    <w:p>
      <w:pPr>
        <w:pStyle w:val="Heading1"/>
        <w:spacing w:after="160" w:before="360"/>
      </w:pPr>
      <w:r>
        <w:t xml:space="preserve">7. Consideraciones y riesgos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Periodo mínimo de retención en Cool: 30 días. Si un blob se borra, sobrescribe o cambia de tier antes de ese periodo, se cobra una penalización prorrateada.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Objetos menores a 128 KB: los tiers fríos facturan un tamaño mínimo de 128 KB por objeto. Si hay muchos archivos pequeños, conviene empaquetarlos (tar/zip) antes de migrar, o dejarlos en 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Costo de transacciones: las operaciones de lectura/escritura son más costosas en Cool que en Hot. Si existen procesos que acceden frecuentemente a estos datos, evaluar si conviene dejar esa porción en 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hay downtime en ningún punto del proceso: los blobs permanecen accesibles durante y después del cambio de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Los 30 TB no se pierden en ningún momento: el cambio de tier es un cambio de metadatos, no una operación de borrado ni de reescritura del contenido.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 el consumo total crece por encima de los 100 TB reservados, el excedente se factura a tarifa estándar (pay-as-you-go).</w:t>
      </w:r>
    </w:p>
    <w:p>
      <w:pPr>
        <w:pStyle w:val="Heading1"/>
        <w:spacing w:after="160" w:before="360"/>
      </w:pPr>
      <w:r>
        <w:t xml:space="preserve">8. Cronograma estimado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</w:tblGrid>
      <w:tr>
        <w:trPr>
          <w:tblHeader/>
        </w:trPr>
        <w:tc>
          <w:tcPr>
            <w:tcW w:type="dxa" w:w="9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85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Acción en el portal de Azure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Diagnóstico e inventario previo: 1-3 días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Compra de la reserva (Parte 1): minutos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Configuración de tier por defecto (Parte 2): minutos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Diseño y publicación de la regla de Lifecycle (Parte 3, pasos 1-6): 1-2 horas</w:t>
            </w:r>
          </w:p>
        </w:tc>
      </w:tr>
      <w:tr>
        <w:tc>
          <w:tcPr>
            <w:tcW w:type="dxa" w:w="900"/>
            <w:shd w:fill="FFFFFF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8500"/>
            <w:shd w:fill="FFFFFF" w:color="auto" w:val="clear"/>
          </w:tcPr>
          <w:p>
            <w:r>
              <w:t xml:space="preserve">Ejecución del ciclo de evaluación y migración real de los 30 TB: horas a 1-2 días</w:t>
            </w:r>
          </w:p>
        </w:tc>
      </w:tr>
      <w:tr>
        <w:tc>
          <w:tcPr>
            <w:tcW w:type="dxa" w:w="900"/>
            <w:shd w:fill="F2F6FB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8500"/>
            <w:shd w:fill="F2F6FB" w:color="auto" w:val="clear"/>
          </w:tcPr>
          <w:p>
            <w:r>
              <w:t xml:space="preserve">Eliminación de la regla temporal y validación final (Parte 3 paso 8 + Parte 4): 1 día</w:t>
            </w:r>
          </w:p>
        </w:tc>
      </w:tr>
    </w:tbl>
    <w:p>
      <w:pPr>
        <w:pStyle w:val="Heading1"/>
        <w:spacing w:after="160" w:before="360"/>
      </w:pPr>
      <w:r>
        <w:t xml:space="preserve">9. Checklist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Reserva de 100 TB / 3 años comprada, con región y redundancia correctas.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Default access tier de la cuenta configurado en Cool.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Regla de Lifecycle Management ejecutada y confirmada (todos los blobs en Cool).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Regla de Lifecycle eliminada o deshabilitada tras la migración (sin autotransición futura).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Muestras de blobs validadas manualmente en Access tier = Cool.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Utilización de la reserva verificada en Cost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Objetos pequeños (&lt;128 KB) revisados/empaquetados si aplica.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6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2026-08-05T04:23:54.255Z</dcterms:created>
  <dcterms:modified xsi:type="dcterms:W3CDTF">2026-08-05T04:23:54.266Z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