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Cotización de Referencia — Microsoft Fabric Capacity</w:t>
      </w:r>
    </w:p>
    <w:p>
      <w:pPr>
        <w:spacing w:after="320"/>
        <w:jc w:val="center"/>
      </w:pPr>
      <w:r>
        <w:rPr>
          <w:i/>
          <w:iCs/>
          <w:color w:val="595959"/>
          <w:sz w:val="20"/>
          <w:szCs w:val="20"/>
        </w:rPr>
        <w:t xml:space="preserve">Basado en Azure Pricing Calculator — precios de lista pública (USD)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Costo PAYG (Pago por Uso) — F4 a F64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6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Capacity Units (CU)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PAYG mensual (730 hrs)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PAYG anual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$525.60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$6,307.20</w:t>
            </w:r>
          </w:p>
        </w:tc>
      </w:tr>
      <w:tr>
        <w:tc>
          <w:tcPr>
            <w:tcW w:type="dxa" w:w="1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F8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$1,051.20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$12,614.40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F16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$2,102.40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$25,228.80</w:t>
            </w:r>
          </w:p>
        </w:tc>
      </w:tr>
      <w:tr>
        <w:tc>
          <w:tcPr>
            <w:tcW w:type="dxa" w:w="1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F32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$4,204.80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$50,457.60</w:t>
            </w:r>
          </w:p>
        </w:tc>
      </w:tr>
      <w:tr>
        <w:tc>
          <w:tcPr>
            <w:tcW w:type="dxa" w:w="1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F64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$8,409.60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$100,915.20</w:t>
            </w:r>
          </w:p>
        </w:tc>
      </w:tr>
    </w:tbl>
    <w:p>
      <w:pPr>
        <w:spacing w:after="120" w:before="120"/>
      </w:pPr>
      <w:r>
        <w:rPr>
          <w:i/>
          <w:iCs/>
          <w:color w:val="595959"/>
          <w:sz w:val="18"/>
          <w:szCs w:val="18"/>
        </w:rPr>
        <w:t xml:space="preserve">Cálculo: Capacity Units × $0.18 USD/hora × 730 horas/mes.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Reserva — Escenarios F32 y F64</w:t>
      </w:r>
    </w:p>
    <w:p>
      <w:pPr>
        <w:spacing w:after="160"/>
      </w:pPr>
      <w:r>
        <w:rPr>
          <w:sz w:val="20"/>
          <w:szCs w:val="20"/>
        </w:rPr>
        <w:t xml:space="preserve">La reserva de capacidad Fabric (1 o 3 años) ofrece un ahorro de ~41% frente a PAYG. A diferencia de otros servicios de Azure, la reserva de 3 años en Fabric no ofrece un descuento adicional significativo sobre la de 1 año: la tarifa mensual equivalente es prácticamente la misma; lo que cambia es la duración del compromiso.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000"/>
        <w:gridCol w:w="2100"/>
        <w:gridCol w:w="28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SKU</w:t>
            </w:r>
          </w:p>
        </w:tc>
        <w:tc>
          <w:tcPr>
            <w:tcW w:type="dxa" w:w="2100"/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Reserva 1 año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(mensual equiv.)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Reserva 1 año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(costo anual)</w:t>
            </w:r>
          </w:p>
        </w:tc>
        <w:tc>
          <w:tcPr>
            <w:tcW w:type="dxa" w:w="2100"/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Reserva 3 años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(mensual equiv.)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Reserva 3 años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(costo total del compromiso)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F32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$2,501.86</w:t>
            </w:r>
          </w:p>
        </w:tc>
        <w:tc>
          <w:tcPr>
            <w:tcW w:type="dxa" w:w="2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$30,022.32</w:t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$2,501.86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$90,066.96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F64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$5,003.71</w:t>
            </w:r>
          </w:p>
        </w:tc>
        <w:tc>
          <w:tcPr>
            <w:tcW w:type="dxa" w:w="2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$60,044.52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$5,003.71</w:t>
            </w:r>
          </w:p>
        </w:tc>
        <w:tc>
          <w:tcPr>
            <w:tcW w:type="dxa" w:w="28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$180,133.56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Costos de OneLake Storage (por TB)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400"/>
      </w:tblGrid>
      <w:tr>
        <w:trPr>
          <w:tblHeader/>
        </w:trPr>
        <w:tc>
          <w:tcPr>
            <w:tcW w:type="dxa" w:w="50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54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Precio de referencia</w:t>
            </w:r>
          </w:p>
        </w:tc>
      </w:tr>
      <w:tr>
        <w:tc>
          <w:tcPr>
            <w:tcW w:type="dxa" w:w="50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OneLake (hot tier)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~$0.023 / GB / mes  (≈ $23.00 / TB / mes)</w:t>
            </w:r>
          </w:p>
        </w:tc>
      </w:tr>
    </w:tbl>
    <w:p>
      <w:pPr>
        <w:spacing w:after="120" w:before="120"/>
      </w:pPr>
      <w:r>
        <w:rPr>
          <w:i/>
          <w:iCs/>
          <w:color w:val="595959"/>
          <w:sz w:val="18"/>
          <w:szCs w:val="18"/>
        </w:rPr>
        <w:t xml:space="preserve">El compute (F-SKU) y el storage se facturan por separado. Existen además niveles "cool" y "cold" más económicos para datos de acceso poco frecuente, y una capa BCDR con precio distinto para redundancia geográfica.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Notas Importantes</w:t>
      </w:r>
    </w:p>
    <w:p>
      <w:pPr>
        <w:spacing w:after="100"/>
      </w:pPr>
      <w:r>
        <w:rPr>
          <w:sz w:val="20"/>
          <w:szCs w:val="20"/>
        </w:rPr>
        <w:t xml:space="preserve">•  Estas cifras usan la tarifa de lista pública en USD (aprox. región US East). Los precios exactos varían por región, moneda y tipo de acuerdo comercial (EA / CSP / MACC).</w:t>
      </w:r>
    </w:p>
    <w:p>
      <w:pPr>
        <w:spacing w:after="100"/>
      </w:pPr>
      <w:r>
        <w:rPr>
          <w:sz w:val="20"/>
          <w:szCs w:val="20"/>
        </w:rPr>
        <w:t xml:space="preserve">•  Se recomienda confirmar la cifra final en la Azure Pricing Calculator seleccionando la región específica del cliente, o consultar con un especialista de ventas de Azure / partner autorizado.</w:t>
      </w:r>
    </w:p>
    <w:p>
      <w:pPr>
        <w:spacing w:after="100"/>
      </w:pPr>
      <w:r>
        <w:rPr>
          <w:sz w:val="20"/>
          <w:szCs w:val="20"/>
        </w:rPr>
        <w:t xml:space="preserve">•  A partir de F64, los usuarios que solo consumen (viewers) contenido de Power BI ya no requieren licencia Pro individual — puede representar un ahorro adicional relevante si el cliente tiene muchos usuarios de solo lectura.</w:t>
      </w:r>
    </w:p>
    <w:p>
      <w:pPr>
        <w:spacing w:after="100"/>
      </w:pPr>
      <w:r>
        <w:rPr>
          <w:sz w:val="20"/>
          <w:szCs w:val="20"/>
        </w:rPr>
        <w:t xml:space="preserve">•  La reserva de capacidad no cubre storage ni networking, únicamente el compute (F-SKU).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2026-09-08T05:10:53.737Z</dcterms:created>
  <dcterms:modified xsi:type="dcterms:W3CDTF">2026-09-08T05:10:53.750Z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