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F3864"/>
          <w:sz w:val="40"/>
          <w:szCs w:val="40"/>
        </w:rPr>
        <w:t xml:space="preserve">Estimado de consumo — Azure AI Foundry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Módulo de visualización de diseño de interiores y generación de presupuesto de materiales</w:t>
      </w:r>
    </w:p>
    <w:p>
      <w:pPr>
        <w:spacing w:after="500"/>
      </w:pPr>
      <w:r>
        <w:rPr>
          <w:color w:val="595959"/>
          <w:sz w:val="20"/>
          <w:szCs w:val="20"/>
        </w:rPr>
        <w:t xml:space="preserve">Modelo de facturación evaluado: Pago por uso (PAYG)  ·  Fase: Piloto / MVP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1. Contexto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El cliente comercializa materiales para interiores (baños, pisos y cerámica). La solución propuesta permite a los usuarios finales ingresar las medidas de un espacio, seleccionar materiales para piso, paredes, techo, muebles y colores, visualizar el resultado mediante generación de imagen con IA, y recibir un presupuesto estimado de materiales con base en su selección.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Este documento resume los modelos de facturación disponibles en Azure AI Foundry (Microsoft Foundry) y presenta un estimado de costo bajo el modelo de pago por uso, con base en los parámetros de la fase piloto proporcionados por el cliente.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2. Modelos de facturación disponibles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2.1 Pago por uso estándar (PAYG / "Global Standard")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Se cobra por token consumido (entrada y salida se tarifan por separado), sin compromiso mínimo. Es el modelo por defecto y el más adecuado para tráfico variable o sin historial de consumo. Los modelos de generación de imagen (familia GPT-Image) están disponibles únicamente bajo esta modalidad.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2.2 Capacidad reservada (Provisioned Throughput Units — PTU)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Se reserva capacidad de cómputo dedicada y se paga una tarifa fija por hora, se utilice o no. Existen compromisos por hora, mensuales o anuales, con mayor descuento a mayor plazo. Requiere una compra mínima de 15 PTU (despliegues Global/Data Zone) o 50 PTU (Regional), con un costo de entrada aproximado de USD $2,448/mes. Puede representar hasta 70% de ahorro frente a PAYG, pero solo en volúmenes altos y sostenidos. No suele estar disponible para modelos de generación de imagen.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2.3 "Tope mensual predefinido"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No existe como modelo de facturación nativo en Azure AI Foundry. Los mecanismos equivalentes son: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Presupuestos y alertas de Azure Cost Management: notifican al alcanzar un umbral, no cortan el servicio automáticamente salvo que se configuren acciones adicionales.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Azure Prepayment (MCA): se precompra un monto y el consumo se descuenta de este; al agotarse, el servicio continúa facturando salvo que se desactive manualmente.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PTU como "tope" de facto: al ser costo fijo por hora, el gasto es predecible independientemente del consumo — aunque no es la opción económica para volúmenes bajos.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2.4 Recomendación de modelo para esta fase</w:t>
      </w:r>
    </w:p>
    <w:p>
      <w:pPr>
        <w:spacing w:after="160"/>
      </w:pPr>
      <w:r>
        <w:rPr>
          <w:b/>
          <w:bCs/>
          <w:color w:val="262626"/>
          <w:sz w:val="21"/>
          <w:szCs w:val="21"/>
        </w:rPr>
        <w:t xml:space="preserve">Para la fase piloto (menos de 1,000 sesiones/mes), se recomienda operar en PAYG. El compromiso mínimo de PTU (~USD $2,448/mes) es significativamente mayor al consumo proyectado, por lo que no se justifica hasta que exista tráfico sostenido de mayor volumen.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3. Supuestos del estimado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Parámetros confirmados con el cliente para la fase piloto: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Volumen: menos de 1,000 sesiones de usuario por mes (se modelan 500 y 1,000 como referencia).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Visualización del diseño: generación de imagen con IA (texto/foto → render), usando el modelo GPT-Image-1.5.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Iteraciones por sesión: 6 o más (exploración extensa) — se modela con 8 renders promedio por sesión.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Generación del presupuesto de materiales: modelo de lenguaje ligero (GPT-4o mini), ~1,500 tokens de entrada y ~800 tokens de salida por sesión.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4. Tarifas de referencia utilizadas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Tarifa</w:t>
            </w:r>
          </w:p>
        </w:tc>
      </w:tr>
      <w:tr>
        <w:tc>
          <w:tcPr>
            <w:tcW w:type="dxa" w:w="36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Render de imagen — calidad baja</w:t>
            </w:r>
          </w:p>
        </w:tc>
        <w:tc>
          <w:tcPr>
            <w:tcW w:type="dxa" w:w="24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GPT-Image-1.5</w:t>
            </w:r>
          </w:p>
        </w:tc>
        <w:tc>
          <w:tcPr>
            <w:tcW w:type="dxa" w:w="36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≈ $0.009 USD / imagen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Render de imagen — calidad media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GPT-Image-1.5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≈ $0.034 USD / imagen</w:t>
            </w:r>
          </w:p>
        </w:tc>
      </w:tr>
      <w:tr>
        <w:tc>
          <w:tcPr>
            <w:tcW w:type="dxa" w:w="36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Render de imagen — calidad alta</w:t>
            </w:r>
          </w:p>
        </w:tc>
        <w:tc>
          <w:tcPr>
            <w:tcW w:type="dxa" w:w="24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GPT-Image-1.5</w:t>
            </w:r>
          </w:p>
        </w:tc>
        <w:tc>
          <w:tcPr>
            <w:tcW w:type="dxa" w:w="36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≈ $0.133 USD / imagen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Generación de presupuesto (texto)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$0.165 / 1M tokens entrada · $0.66 / 1M tokens salida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Nota: las tarifas de generación de imagen corresponden a resolución 1024×1024, región Global Standard, y no incluyen el costo marginal de procesar una fotografía de referencia como entrada (adicional estimado de $0.005–$0.01 por render cuando aplica).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5. Escenarios de costo por sesión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5.1 Opción A — Calidad media en todas las iteraciones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8 renders × $0.034 + generación de presupuesto ≈ </w:t>
      </w:r>
    </w:p>
    <w:p>
      <w:pPr>
        <w:spacing w:after="200"/>
      </w:pPr>
      <w:r>
        <w:rPr>
          <w:b/>
          <w:bCs/>
          <w:color w:val="1F3864"/>
          <w:sz w:val="22"/>
          <w:szCs w:val="22"/>
        </w:rPr>
        <w:t xml:space="preserve">Costo por sesión: $0.27 USD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5.2 Opción B — Calidad progresiva (recomendado)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7 renders en calidad baja + 1 render final en calidad media + generación de presupuesto ≈</w:t>
      </w:r>
    </w:p>
    <w:p>
      <w:pPr>
        <w:spacing w:after="200"/>
      </w:pPr>
      <w:r>
        <w:rPr>
          <w:b/>
          <w:bCs/>
          <w:color w:val="1F3864"/>
          <w:sz w:val="22"/>
          <w:szCs w:val="22"/>
        </w:rPr>
        <w:t xml:space="preserve">Costo por sesión: $0.10 USD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La opción B aprovecha que la mayoría de las iteraciones de un usuario son exploratorias ("probar y descartar") y solo requieren alta fidelidad visual en el resultado final que decide conservar o descargar. Esto reduce el costo por sesión en aproximadamente 2.7 veces sin afectar la calidad del render final.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6. Estimado mensual — fase piloto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6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500 sesiones/mes</w:t>
            </w:r>
          </w:p>
        </w:tc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1,000 sesiones/mes</w:t>
            </w:r>
          </w:p>
        </w:tc>
      </w:tr>
      <w:tr>
        <w:tc>
          <w:tcPr>
            <w:tcW w:type="dxa" w:w="46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Opción A — calidad media en todo</w:t>
            </w:r>
          </w:p>
        </w:tc>
        <w:tc>
          <w:tcPr>
            <w:tcW w:type="dxa" w:w="26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$136 USD</w:t>
            </w:r>
          </w:p>
        </w:tc>
        <w:tc>
          <w:tcPr>
            <w:tcW w:type="dxa" w:w="2600"/>
            <w:shd w:fill="F2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$272 USD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Opción B — calidad progresiva (recomendado)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$49 USD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$98 USD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7. Recomendaciones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Operar en PAYG durante todo el piloto; no comprometer PTU hasta contar con datos reales de tráfico sostenido.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Implementar la estrategia de calidad progresiva: renders en baja calidad durante la exploración, y renderizado en calidad media/alta solo al confirmar o descargar el diseño final.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Usar un modelo ligero (GPT-4o mini) para la generación del presupuesto de materiales — el costo de este componente es marginal (~$0.80 USD por cada 1,000 sesiones).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Presupuestar un rango de contingencia de $100–$300 USD/mes para la fase piloto, cubriendo variabilidad en el comportamiento real de los usuarios (mayor exploración, fotos de alta resolución, reintentos por resultados no satisfactorios).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Configurar alertas de presupuesto en Azure Cost Management desde el día uno del piloto para monitorear consumo real.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Reevaluar el modelo de facturación (PTU) únicamente si el proyecto escala a decenas de miles de sesiones/mes con tráfico predecible y sostenido.</w:t>
      </w:r>
    </w:p>
    <w:p>
      <w:pPr>
        <w:pBdr>
          <w:bottom w:val="single" w:color="BFBFBF" w:sz="6" w:space="1"/>
        </w:pBdr>
        <w:spacing w:after="200" w:before="100"/>
      </w:pP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Este documento presenta un estimado orientativo con fines de planeación. Las tarifas de Azure AI Foundry están sujetas a cambio, varían por región de despliegue (Global Standard, Data Zone, Regional) y no incluyen costos asociados de Azure AI Search, Blob Storage o Content Safety. Se recomienda validar las tarifas vigentes en la calculadora oficial de precios de Azure antes de comprometer el presupuesto con el cliente.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2026-09-08T05:57:08.631Z</dcterms:created>
  <dcterms:modified xsi:type="dcterms:W3CDTF">2026-09-08T05:57:08.643Z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