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4"/>
          <w:szCs w:val="44"/>
        </w:rPr>
        <w:t xml:space="preserve">PROPUESTA DE SERVICIO</w:t>
      </w:r>
    </w:p>
    <w:p>
      <w:pPr>
        <w:spacing w:after="200" w:before="200"/>
        <w:jc w:val="center"/>
      </w:pPr>
      <w:r>
        <w:rPr>
          <w:b/>
          <w:bCs/>
          <w:color w:val="2E5395"/>
          <w:sz w:val="34"/>
          <w:szCs w:val="34"/>
        </w:rPr>
        <w:t xml:space="preserve">Implementación de Microsoft Places (M365)</w:t>
      </w:r>
    </w:p>
    <w:p>
      <w:pPr>
        <w:spacing w:after="1200"/>
        <w:jc w:val="center"/>
      </w:pPr>
      <w:r>
        <w:rPr>
          <w:i/>
          <w:iCs/>
          <w:color w:val="595959"/>
          <w:sz w:val="24"/>
          <w:szCs w:val="24"/>
        </w:rPr>
        <w:t xml:space="preserve">Gestión inteligente de espacios de trabajo híbrido</w:t>
      </w:r>
    </w:p>
    <w:p>
      <w:pPr>
        <w:spacing w:after="80"/>
        <w:jc w:val="center"/>
      </w:pPr>
      <w:r>
        <w:rPr>
          <w:color w:val="262626"/>
          <w:sz w:val="24"/>
          <w:szCs w:val="24"/>
        </w:rPr>
        <w:t xml:space="preserve">Preparado para:  [Nombre del Cliente]</w:t>
      </w:r>
    </w:p>
    <w:p>
      <w:pPr>
        <w:spacing w:after="80"/>
        <w:jc w:val="center"/>
      </w:pPr>
      <w:r>
        <w:rPr>
          <w:color w:val="262626"/>
          <w:sz w:val="24"/>
          <w:szCs w:val="24"/>
        </w:rPr>
        <w:t xml:space="preserve">Preparado por:  [Nombre de la Empresa / Consultor]</w:t>
      </w:r>
    </w:p>
    <w:p>
      <w:pPr>
        <w:spacing w:after="80"/>
        <w:jc w:val="center"/>
      </w:pPr>
      <w:r>
        <w:rPr>
          <w:color w:val="262626"/>
          <w:sz w:val="24"/>
          <w:szCs w:val="24"/>
        </w:rPr>
        <w:t xml:space="preserve">Fecha:  06 de agosto de 2026</w:t>
      </w:r>
    </w:p>
    <w:p>
      <w:pPr>
        <w:spacing w:after="80"/>
        <w:jc w:val="center"/>
      </w:pPr>
      <w:r>
        <w:rPr>
          <w:color w:val="595959"/>
          <w:sz w:val="22"/>
          <w:szCs w:val="22"/>
        </w:rPr>
        <w:t xml:space="preserve">Versión:  1.0  |  Confidencial</w:t>
      </w:r>
    </w:p>
    <w:p>
      <w:pPr>
        <w:sectPr>
          <w:pgSz w:w="12240" w:h="15840" w:orient="portrait"/>
          <w:pgMar w:top="1440" w:right="1440" w:bottom="1440" w:left="1440" w:header="708" w:footer="708" w:gutter="0"/>
          <w:pgNumType/>
          <w:docGrid w:linePitch="360"/>
        </w:sectPr>
      </w:pPr>
    </w:p>
    <w:p>
      <w:pPr>
        <w:pStyle w:val="Heading1"/>
        <w:pBdr>
          <w:bottom w:val="single" w:color="2E5395" w:sz="8" w:space="4"/>
        </w:pBdr>
        <w:spacing w:after="200" w:before="360"/>
      </w:pPr>
      <w:r>
        <w:rPr>
          <w:b/>
          <w:bCs/>
          <w:color w:val="1F3864"/>
          <w:sz w:val="30"/>
          <w:szCs w:val="30"/>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5395" w:sz="8" w:space="4"/>
        </w:pBdr>
        <w:spacing w:after="200" w:before="360"/>
      </w:pPr>
      <w:r>
        <w:rPr>
          <w:b/>
          <w:bCs/>
          <w:color w:val="1F3864"/>
          <w:sz w:val="30"/>
          <w:szCs w:val="30"/>
        </w:rPr>
        <w:t xml:space="preserve">1. Situación Actual</w:t>
      </w:r>
    </w:p>
    <w:p>
      <w:pPr>
        <w:spacing w:after="160" w:line="276"/>
        <w:jc w:val="both"/>
      </w:pPr>
      <w:r>
        <w:rPr>
          <w:color w:val="262626"/>
          <w:sz w:val="22"/>
          <w:szCs w:val="22"/>
        </w:rPr>
        <w:t xml:space="preserve">[Nombre del Cliente] opera bajo un esquema de trabajo híbrido en el cual colaboradores alternan entre oficina y trabajo remoto. Actualmente la organización no cuenta con una herramienta centralizada dentro del ecosistema Microsoft 365 que permita a los colaboradores identificar en tiempo real la disponibilidad de escritorios, salas de reuniones y la ubicación de sus compañeros de equipo dentro de las instalaciones.</w:t>
      </w:r>
    </w:p>
    <w:p>
      <w:pPr>
        <w:spacing w:after="160" w:line="276"/>
        <w:jc w:val="both"/>
      </w:pPr>
      <w:r>
        <w:rPr>
          <w:color w:val="262626"/>
          <w:sz w:val="22"/>
          <w:szCs w:val="22"/>
        </w:rPr>
        <w:t xml:space="preserve">Entre los principales síntomas identificados en el diagnóstico inicial se encuentran:</w:t>
      </w:r>
    </w:p>
    <w:p>
      <w:pPr>
        <w:pStyle w:val="ListParagraph"/>
        <w:numPr>
          <w:ilvl w:val="0"/>
          <w:numId w:val="2"/>
        </w:numPr>
        <w:spacing w:after="90"/>
      </w:pPr>
      <w:r>
        <w:rPr>
          <w:color w:val="262626"/>
          <w:sz w:val="22"/>
          <w:szCs w:val="22"/>
        </w:rPr>
        <w:t xml:space="preserve">Reservación manual o inexistente de escritorios y salas, generando subutilización o saturación de espacios en días de mayor afluencia.</w:t>
      </w:r>
    </w:p>
    <w:p>
      <w:pPr>
        <w:pStyle w:val="ListParagraph"/>
        <w:numPr>
          <w:ilvl w:val="0"/>
          <w:numId w:val="2"/>
        </w:numPr>
        <w:spacing w:after="90"/>
      </w:pPr>
      <w:r>
        <w:rPr>
          <w:color w:val="262626"/>
          <w:sz w:val="22"/>
          <w:szCs w:val="22"/>
        </w:rPr>
        <w:t xml:space="preserve">Falta de visibilidad sobre la ocupación real de pisos y edificios para la toma de decisiones de bienes raíces (real estate).</w:t>
      </w:r>
    </w:p>
    <w:p>
      <w:pPr>
        <w:pStyle w:val="ListParagraph"/>
        <w:numPr>
          <w:ilvl w:val="0"/>
          <w:numId w:val="2"/>
        </w:numPr>
        <w:spacing w:after="90"/>
      </w:pPr>
      <w:r>
        <w:rPr>
          <w:color w:val="262626"/>
          <w:sz w:val="22"/>
          <w:szCs w:val="22"/>
        </w:rPr>
        <w:t xml:space="preserve">Colaboradores sin certeza de qué días y en qué ubicación estará su equipo de trabajo, afectando la coordinación presencial.</w:t>
      </w:r>
    </w:p>
    <w:p>
      <w:pPr>
        <w:pStyle w:val="ListParagraph"/>
        <w:numPr>
          <w:ilvl w:val="0"/>
          <w:numId w:val="2"/>
        </w:numPr>
        <w:spacing w:after="90"/>
      </w:pPr>
      <w:r>
        <w:rPr>
          <w:color w:val="262626"/>
          <w:sz w:val="22"/>
          <w:szCs w:val="22"/>
        </w:rPr>
        <w:t xml:space="preserve">Uso de herramientas de terceros o procesos manuales (hojas de cálculo, correo, señalización física) para gestión de espacios, sin integración con el calendario corporativo de Outlook/Teams.</w:t>
      </w:r>
    </w:p>
    <w:p>
      <w:pPr>
        <w:pStyle w:val="ListParagraph"/>
        <w:numPr>
          <w:ilvl w:val="0"/>
          <w:numId w:val="2"/>
        </w:numPr>
        <w:spacing w:after="90"/>
      </w:pPr>
      <w:r>
        <w:rPr>
          <w:color w:val="262626"/>
          <w:sz w:val="22"/>
          <w:szCs w:val="22"/>
        </w:rPr>
        <w:t xml:space="preserve">Nula explotación de datos de ocupación para políticas de optimización de metros cuadrados y costos de arrendamiento.</w:t>
      </w:r>
    </w:p>
    <w:p>
      <w:pPr>
        <w:spacing w:after="160" w:line="276"/>
        <w:jc w:val="both"/>
      </w:pPr>
      <w:r>
        <w:rPr>
          <w:color w:val="262626"/>
          <w:sz w:val="22"/>
          <w:szCs w:val="22"/>
        </w:rPr>
        <w:t xml:space="preserve">Esta propuesta plantea la implementación de Microsoft Places como la solución nativa de Microsoft 365 para atender estas necesidades, aprovechando la inversión ya realizada en licenciamiento M365/Teams/Outlook.</w:t>
      </w:r>
    </w:p>
    <w:p>
      <w:pPr>
        <w:pStyle w:val="Heading1"/>
        <w:pBdr>
          <w:bottom w:val="single" w:color="2E5395" w:sz="8" w:space="4"/>
        </w:pBdr>
        <w:spacing w:after="200" w:before="360"/>
      </w:pPr>
      <w:r>
        <w:rPr>
          <w:b/>
          <w:bCs/>
          <w:color w:val="1F3864"/>
          <w:sz w:val="30"/>
          <w:szCs w:val="30"/>
        </w:rPr>
        <w:t xml:space="preserve">2. Objetivos</w:t>
      </w:r>
    </w:p>
    <w:p>
      <w:pPr>
        <w:pStyle w:val="Heading2"/>
        <w:spacing w:after="140" w:before="280"/>
      </w:pPr>
      <w:r>
        <w:rPr>
          <w:b/>
          <w:bCs/>
          <w:color w:val="2E5395"/>
          <w:sz w:val="24"/>
          <w:szCs w:val="24"/>
        </w:rPr>
        <w:t xml:space="preserve">2.1 Objetivo General</w:t>
      </w:r>
    </w:p>
    <w:p>
      <w:pPr>
        <w:spacing w:after="160" w:line="276"/>
        <w:jc w:val="both"/>
      </w:pPr>
      <w:r>
        <w:rPr>
          <w:color w:val="262626"/>
          <w:sz w:val="22"/>
          <w:szCs w:val="22"/>
        </w:rPr>
        <w:t xml:space="preserve">Implementar Microsoft Places dentro del tenant de Microsoft 365 de [Nombre del Cliente] para habilitar la búsqueda, reservación y administración inteligente de espacios de trabajo (escritorios, salas y pisos), mejorando la experiencia de trabajo híbrido y generando datos de ocupación accionables para la organización.</w:t>
      </w:r>
    </w:p>
    <w:p>
      <w:pPr>
        <w:pStyle w:val="Heading2"/>
        <w:spacing w:after="140" w:before="280"/>
      </w:pPr>
      <w:r>
        <w:rPr>
          <w:b/>
          <w:bCs/>
          <w:color w:val="2E5395"/>
          <w:sz w:val="24"/>
          <w:szCs w:val="24"/>
        </w:rPr>
        <w:t xml:space="preserve">2.2 Objetivos Específicos</w:t>
      </w:r>
    </w:p>
    <w:p>
      <w:pPr>
        <w:pStyle w:val="ListParagraph"/>
        <w:numPr>
          <w:ilvl w:val="0"/>
          <w:numId w:val="3"/>
        </w:numPr>
        <w:spacing w:after="90"/>
      </w:pPr>
      <w:r>
        <w:rPr>
          <w:color w:val="262626"/>
          <w:sz w:val="22"/>
          <w:szCs w:val="22"/>
        </w:rPr>
        <w:t xml:space="preserve">Configurar la estructura jerárquica de espacios (Campus, Edificio, Piso, Sección) en Microsoft Places acorde a la distribución real de las instalaciones del cliente.</w:t>
      </w:r>
    </w:p>
    <w:p>
      <w:pPr>
        <w:pStyle w:val="ListParagraph"/>
        <w:numPr>
          <w:ilvl w:val="0"/>
          <w:numId w:val="3"/>
        </w:numPr>
        <w:spacing w:after="90"/>
      </w:pPr>
      <w:r>
        <w:rPr>
          <w:color w:val="262626"/>
          <w:sz w:val="22"/>
          <w:szCs w:val="22"/>
        </w:rPr>
        <w:t xml:space="preserve">Habilitar Places Finder y Places Explorer para búsqueda y reservación de escritorios y salas desde Outlook, Teams y la app de Places.</w:t>
      </w:r>
    </w:p>
    <w:p>
      <w:pPr>
        <w:pStyle w:val="ListParagraph"/>
        <w:numPr>
          <w:ilvl w:val="0"/>
          <w:numId w:val="3"/>
        </w:numPr>
        <w:spacing w:after="90"/>
      </w:pPr>
      <w:r>
        <w:rPr>
          <w:color w:val="262626"/>
          <w:sz w:val="22"/>
          <w:szCs w:val="22"/>
        </w:rPr>
        <w:t xml:space="preserve">Configurar políticas de auto-liberación (auto-release) de espacios reservados y no utilizados.</w:t>
      </w:r>
    </w:p>
    <w:p>
      <w:pPr>
        <w:pStyle w:val="ListParagraph"/>
        <w:numPr>
          <w:ilvl w:val="0"/>
          <w:numId w:val="3"/>
        </w:numPr>
        <w:spacing w:after="90"/>
      </w:pPr>
      <w:r>
        <w:rPr>
          <w:color w:val="262626"/>
          <w:sz w:val="22"/>
          <w:szCs w:val="22"/>
        </w:rPr>
        <w:t xml:space="preserve">Habilitar reportes de análisis de ocupación (Places Analytics) para la toma de decisiones del área de Workplace/Real Estate.</w:t>
      </w:r>
    </w:p>
    <w:p>
      <w:pPr>
        <w:pStyle w:val="ListParagraph"/>
        <w:numPr>
          <w:ilvl w:val="0"/>
          <w:numId w:val="3"/>
        </w:numPr>
        <w:spacing w:after="90"/>
      </w:pPr>
      <w:r>
        <w:rPr>
          <w:color w:val="262626"/>
          <w:sz w:val="22"/>
          <w:szCs w:val="22"/>
        </w:rPr>
        <w:t xml:space="preserve">Definir y asignar el modelo de licenciamiento adecuado (core vs. Shared Space) conforme al nuevo esquema de licenciamiento de Microsoft vigente desde abril de 2026.</w:t>
      </w:r>
    </w:p>
    <w:p>
      <w:pPr>
        <w:pStyle w:val="ListParagraph"/>
        <w:numPr>
          <w:ilvl w:val="0"/>
          <w:numId w:val="3"/>
        </w:numPr>
        <w:spacing w:after="90"/>
      </w:pPr>
      <w:r>
        <w:rPr>
          <w:color w:val="262626"/>
          <w:sz w:val="22"/>
          <w:szCs w:val="22"/>
        </w:rPr>
        <w:t xml:space="preserve">Capacitar a administradores de TI/Workplace y a usuarios finales en el uso de la solución.</w:t>
      </w:r>
    </w:p>
    <w:p>
      <w:pPr>
        <w:pStyle w:val="ListParagraph"/>
        <w:numPr>
          <w:ilvl w:val="0"/>
          <w:numId w:val="3"/>
        </w:numPr>
        <w:spacing w:after="90"/>
      </w:pPr>
      <w:r>
        <w:rPr>
          <w:color w:val="262626"/>
          <w:sz w:val="22"/>
          <w:szCs w:val="22"/>
        </w:rPr>
        <w:t xml:space="preserve">Transferir el conocimiento operativo y documentación técnica al equipo interno del cliente.</w:t>
      </w:r>
    </w:p>
    <w:p>
      <w:pPr>
        <w:pStyle w:val="Heading1"/>
        <w:pBdr>
          <w:bottom w:val="single" w:color="2E5395" w:sz="8" w:space="4"/>
        </w:pBdr>
        <w:spacing w:after="200" w:before="360"/>
      </w:pPr>
      <w:r>
        <w:rPr>
          <w:b/>
          <w:bCs/>
          <w:color w:val="1F3864"/>
          <w:sz w:val="30"/>
          <w:szCs w:val="30"/>
        </w:rPr>
        <w:t xml:space="preserve">3. Arquitectura de la Solución</w:t>
      </w:r>
    </w:p>
    <w:p>
      <w:pPr>
        <w:spacing w:after="160" w:line="276"/>
        <w:jc w:val="both"/>
      </w:pPr>
      <w:r>
        <w:rPr>
          <w:color w:val="262626"/>
          <w:sz w:val="22"/>
          <w:szCs w:val="22"/>
        </w:rPr>
        <w:t xml:space="preserve">Microsoft Places es un servicio nativo de Microsoft 365 (no requiere infraestructura on-premises) que se apoya en los siguientes componentes del tenant: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300"/>
            <w:shd w:fill="1F3864" w:val="clear"/>
            <w:tcMar>
              <w:top w:type="dxa" w:w="80"/>
              <w:left w:type="dxa" w:w="120"/>
              <w:bottom w:type="dxa" w:w="80"/>
              <w:right w:type="dxa" w:w="120"/>
            </w:tcMar>
            <w:vAlign w:val="center"/>
          </w:tcPr>
          <w:p>
            <w:pPr>
              <w:jc w:val="left"/>
            </w:pPr>
            <w:r>
              <w:rPr>
                <w:b/>
                <w:bCs/>
                <w:color w:val="FFFFFF"/>
                <w:sz w:val="20"/>
                <w:szCs w:val="20"/>
              </w:rPr>
              <w:t xml:space="preserve">Función dentro de la solución</w:t>
            </w:r>
          </w:p>
        </w:tc>
      </w:tr>
      <w:tr>
        <w:tc>
          <w:tcPr>
            <w:tcW w:type="dxa" w:w="3600"/>
            <w:tcMar>
              <w:top w:type="dxa" w:w="80"/>
              <w:left w:type="dxa" w:w="120"/>
              <w:bottom w:type="dxa" w:w="80"/>
              <w:right w:type="dxa" w:w="120"/>
            </w:tcMar>
            <w:vAlign w:val="center"/>
          </w:tcPr>
          <w:p>
            <w:pPr>
              <w:jc w:val="left"/>
            </w:pPr>
            <w:r>
              <w:rPr>
                <w:b w:val="false"/>
                <w:bCs w:val="false"/>
                <w:color w:val="262626"/>
                <w:sz w:val="20"/>
                <w:szCs w:val="20"/>
              </w:rPr>
              <w:t xml:space="preserve">Microsoft Entra ID</w:t>
            </w:r>
          </w:p>
        </w:tc>
        <w:tc>
          <w:tcPr>
            <w:tcW w:type="dxa" w:w="6300"/>
            <w:tcMar>
              <w:top w:type="dxa" w:w="80"/>
              <w:left w:type="dxa" w:w="120"/>
              <w:bottom w:type="dxa" w:w="80"/>
              <w:right w:type="dxa" w:w="120"/>
            </w:tcMar>
            <w:vAlign w:val="center"/>
          </w:tcPr>
          <w:p>
            <w:pPr>
              <w:jc w:val="left"/>
            </w:pPr>
            <w:r>
              <w:rPr>
                <w:b w:val="false"/>
                <w:bCs w:val="false"/>
                <w:color w:val="262626"/>
                <w:sz w:val="20"/>
                <w:szCs w:val="20"/>
              </w:rPr>
              <w:t xml:space="preserve">Autenticación, asignación de licencias y administración de identidades de usuarios y recursos (salas/escritorios).</w:t>
            </w:r>
          </w:p>
        </w:tc>
      </w:tr>
      <w:tr>
        <w:tc>
          <w:tcPr>
            <w:tcW w:type="dxa" w:w="36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Exchange Online</w:t>
            </w:r>
          </w:p>
        </w:tc>
        <w:tc>
          <w:tcPr>
            <w:tcW w:type="dxa" w:w="6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Buzones de recursos (salas y escritorios), calendarios y motor de reservaciones.</w:t>
            </w:r>
          </w:p>
        </w:tc>
      </w:tr>
      <w:tr>
        <w:tc>
          <w:tcPr>
            <w:tcW w:type="dxa" w:w="3600"/>
            <w:tcMar>
              <w:top w:type="dxa" w:w="80"/>
              <w:left w:type="dxa" w:w="120"/>
              <w:bottom w:type="dxa" w:w="80"/>
              <w:right w:type="dxa" w:w="120"/>
            </w:tcMar>
            <w:vAlign w:val="center"/>
          </w:tcPr>
          <w:p>
            <w:pPr>
              <w:jc w:val="left"/>
            </w:pPr>
            <w:r>
              <w:rPr>
                <w:b w:val="false"/>
                <w:bCs w:val="false"/>
                <w:color w:val="262626"/>
                <w:sz w:val="20"/>
                <w:szCs w:val="20"/>
              </w:rPr>
              <w:t xml:space="preserve">Microsoft Places (servicio)</w:t>
            </w:r>
          </w:p>
        </w:tc>
        <w:tc>
          <w:tcPr>
            <w:tcW w:type="dxa" w:w="6300"/>
            <w:tcMar>
              <w:top w:type="dxa" w:w="80"/>
              <w:left w:type="dxa" w:w="120"/>
              <w:bottom w:type="dxa" w:w="80"/>
              <w:right w:type="dxa" w:w="120"/>
            </w:tcMar>
            <w:vAlign w:val="center"/>
          </w:tcPr>
          <w:p>
            <w:pPr>
              <w:jc w:val="left"/>
            </w:pPr>
            <w:r>
              <w:rPr>
                <w:b w:val="false"/>
                <w:bCs w:val="false"/>
                <w:color w:val="262626"/>
                <w:sz w:val="20"/>
                <w:szCs w:val="20"/>
              </w:rPr>
              <w:t xml:space="preserve">Motor central: Places Finder, Places Explorer, mapas interactivos, políticas de auto-liberación y analítica de ocupación.</w:t>
            </w:r>
          </w:p>
        </w:tc>
      </w:tr>
      <w:tr>
        <w:tc>
          <w:tcPr>
            <w:tcW w:type="dxa" w:w="36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Microsoft Teams</w:t>
            </w:r>
          </w:p>
        </w:tc>
        <w:tc>
          <w:tcPr>
            <w:tcW w:type="dxa" w:w="6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Punto de acceso a Places (app conectada), reservación desde el calendario de Teams y Teams Rooms/Shared Space.</w:t>
            </w:r>
          </w:p>
        </w:tc>
      </w:tr>
      <w:tr>
        <w:tc>
          <w:tcPr>
            <w:tcW w:type="dxa" w:w="3600"/>
            <w:tcMar>
              <w:top w:type="dxa" w:w="80"/>
              <w:left w:type="dxa" w:w="120"/>
              <w:bottom w:type="dxa" w:w="80"/>
              <w:right w:type="dxa" w:w="120"/>
            </w:tcMar>
            <w:vAlign w:val="center"/>
          </w:tcPr>
          <w:p>
            <w:pPr>
              <w:jc w:val="left"/>
            </w:pPr>
            <w:r>
              <w:rPr>
                <w:b w:val="false"/>
                <w:bCs w:val="false"/>
                <w:color w:val="262626"/>
                <w:sz w:val="20"/>
                <w:szCs w:val="20"/>
              </w:rPr>
              <w:t xml:space="preserve">Outlook (nuevo Outlook / web)</w:t>
            </w:r>
          </w:p>
        </w:tc>
        <w:tc>
          <w:tcPr>
            <w:tcW w:type="dxa" w:w="6300"/>
            <w:tcMar>
              <w:top w:type="dxa" w:w="80"/>
              <w:left w:type="dxa" w:w="120"/>
              <w:bottom w:type="dxa" w:w="80"/>
              <w:right w:type="dxa" w:w="120"/>
            </w:tcMar>
            <w:vAlign w:val="center"/>
          </w:tcPr>
          <w:p>
            <w:pPr>
              <w:jc w:val="left"/>
            </w:pPr>
            <w:r>
              <w:rPr>
                <w:b w:val="false"/>
                <w:bCs w:val="false"/>
                <w:color w:val="262626"/>
                <w:sz w:val="20"/>
                <w:szCs w:val="20"/>
              </w:rPr>
              <w:t xml:space="preserve">Reservación de escritorios y salas desde el flujo de agendado de reuniones.</w:t>
            </w:r>
          </w:p>
        </w:tc>
      </w:tr>
      <w:tr>
        <w:tc>
          <w:tcPr>
            <w:tcW w:type="dxa" w:w="36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Microsoft Places Admin Center / PowerShell (módulo MicrosoftPlaces)</w:t>
            </w:r>
          </w:p>
        </w:tc>
        <w:tc>
          <w:tcPr>
            <w:tcW w:type="dxa" w:w="6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Configuración de la jerarquía de espacios, importación de planos, políticas y administración avanzada.</w:t>
            </w:r>
          </w:p>
        </w:tc>
      </w:tr>
      <w:tr>
        <w:tc>
          <w:tcPr>
            <w:tcW w:type="dxa" w:w="3600"/>
            <w:tcMar>
              <w:top w:type="dxa" w:w="80"/>
              <w:left w:type="dxa" w:w="120"/>
              <w:bottom w:type="dxa" w:w="80"/>
              <w:right w:type="dxa" w:w="120"/>
            </w:tcMar>
            <w:vAlign w:val="center"/>
          </w:tcPr>
          <w:p>
            <w:pPr>
              <w:jc w:val="left"/>
            </w:pPr>
            <w:r>
              <w:rPr>
                <w:b w:val="false"/>
                <w:bCs w:val="false"/>
                <w:color w:val="262626"/>
                <w:sz w:val="20"/>
                <w:szCs w:val="20"/>
              </w:rPr>
              <w:t xml:space="preserve">Power BI (opcional)</w:t>
            </w:r>
          </w:p>
        </w:tc>
        <w:tc>
          <w:tcPr>
            <w:tcW w:type="dxa" w:w="6300"/>
            <w:tcMar>
              <w:top w:type="dxa" w:w="80"/>
              <w:left w:type="dxa" w:w="120"/>
              <w:bottom w:type="dxa" w:w="80"/>
              <w:right w:type="dxa" w:w="120"/>
            </w:tcMar>
            <w:vAlign w:val="center"/>
          </w:tcPr>
          <w:p>
            <w:pPr>
              <w:jc w:val="left"/>
            </w:pPr>
            <w:r>
              <w:rPr>
                <w:b w:val="false"/>
                <w:bCs w:val="false"/>
                <w:color w:val="262626"/>
                <w:sz w:val="20"/>
                <w:szCs w:val="20"/>
              </w:rPr>
              <w:t xml:space="preserve">Explotación avanzada de datos de ocupación exportados desde Places Analytics para tableros ejecutivos.</w:t>
            </w:r>
          </w:p>
        </w:tc>
      </w:tr>
      <w:tr>
        <w:tc>
          <w:tcPr>
            <w:tcW w:type="dxa" w:w="36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Sensores IoT / Azure IoT (opcional)</w:t>
            </w:r>
          </w:p>
        </w:tc>
        <w:tc>
          <w:tcPr>
            <w:tcW w:type="dxa" w:w="6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Sensores de ocupación de terceros integrados vía partners certificados para detección en tiempo real (no incluido por default).</w:t>
            </w:r>
          </w:p>
        </w:tc>
      </w:tr>
    </w:tbl>
    <w:p>
      <w:pPr>
        <w:spacing w:before="240"/>
      </w:pPr>
    </w:p>
    <w:p>
      <w:pPr>
        <w:pStyle w:val="Heading2"/>
        <w:spacing w:after="140" w:before="280"/>
      </w:pPr>
      <w:r>
        <w:rPr>
          <w:b/>
          <w:bCs/>
          <w:color w:val="2E5395"/>
          <w:sz w:val="24"/>
          <w:szCs w:val="24"/>
        </w:rPr>
        <w:t xml:space="preserve">3.1 Diagrama lógico de la solución</w:t>
      </w:r>
    </w:p>
    <w:p>
      <w:pPr>
        <w:spacing w:after="160" w:line="276"/>
        <w:jc w:val="both"/>
      </w:pPr>
      <w:r>
        <w:rPr>
          <w:color w:val="262626"/>
          <w:sz w:val="22"/>
          <w:szCs w:val="22"/>
        </w:rPr>
        <w:t xml:space="preserve">A continuación se describe el flujo lógico de la arquitectura propuesta:</w:t>
      </w:r>
    </w:p>
    <w:p>
      <w:pPr>
        <w:pStyle w:val="ListParagraph"/>
        <w:numPr>
          <w:ilvl w:val="0"/>
          <w:numId w:val="2"/>
        </w:numPr>
        <w:spacing w:after="90"/>
      </w:pPr>
      <w:r>
        <w:rPr>
          <w:color w:val="262626"/>
          <w:sz w:val="22"/>
          <w:szCs w:val="22"/>
        </w:rPr>
        <w:t xml:space="preserve">Usuario final → Accede desde Outlook, Teams o la app de Places (web/móvil).</w:t>
      </w:r>
    </w:p>
    <w:p>
      <w:pPr>
        <w:pStyle w:val="ListParagraph"/>
        <w:numPr>
          <w:ilvl w:val="0"/>
          <w:numId w:val="2"/>
        </w:numPr>
        <w:spacing w:after="90"/>
      </w:pPr>
      <w:r>
        <w:rPr>
          <w:color w:val="262626"/>
          <w:sz w:val="22"/>
          <w:szCs w:val="22"/>
        </w:rPr>
        <w:t xml:space="preserve">Capa de identidad → Microsoft Entra ID valida credenciales y licencia asignada (core o Shared Space).</w:t>
      </w:r>
    </w:p>
    <w:p>
      <w:pPr>
        <w:pStyle w:val="ListParagraph"/>
        <w:numPr>
          <w:ilvl w:val="0"/>
          <w:numId w:val="2"/>
        </w:numPr>
        <w:spacing w:after="90"/>
      </w:pPr>
      <w:r>
        <w:rPr>
          <w:color w:val="262626"/>
          <w:sz w:val="22"/>
          <w:szCs w:val="22"/>
        </w:rPr>
        <w:t xml:space="preserve">Capa de servicio → Microsoft Places procesa la solicitud de búsqueda/reservación contra la jerarquía de espacios configurada.</w:t>
      </w:r>
    </w:p>
    <w:p>
      <w:pPr>
        <w:pStyle w:val="ListParagraph"/>
        <w:numPr>
          <w:ilvl w:val="0"/>
          <w:numId w:val="2"/>
        </w:numPr>
        <w:spacing w:after="90"/>
      </w:pPr>
      <w:r>
        <w:rPr>
          <w:color w:val="262626"/>
          <w:sz w:val="22"/>
          <w:szCs w:val="22"/>
        </w:rPr>
        <w:t xml:space="preserve">Capa de datos → Exchange Online administra el buzón de recursos y el estado del calendario del espacio.</w:t>
      </w:r>
    </w:p>
    <w:p>
      <w:pPr>
        <w:pStyle w:val="ListParagraph"/>
        <w:numPr>
          <w:ilvl w:val="0"/>
          <w:numId w:val="2"/>
        </w:numPr>
        <w:spacing w:after="90"/>
      </w:pPr>
      <w:r>
        <w:rPr>
          <w:color w:val="262626"/>
          <w:sz w:val="22"/>
          <w:szCs w:val="22"/>
        </w:rPr>
        <w:t xml:space="preserve">Capa de administración → Places Admin Center / PowerShell gestionan la configuración de campus, edificios, pisos, planos y políticas.</w:t>
      </w:r>
    </w:p>
    <w:p>
      <w:pPr>
        <w:pStyle w:val="ListParagraph"/>
        <w:numPr>
          <w:ilvl w:val="0"/>
          <w:numId w:val="2"/>
        </w:numPr>
        <w:spacing w:after="90"/>
      </w:pPr>
      <w:r>
        <w:rPr>
          <w:color w:val="262626"/>
          <w:sz w:val="22"/>
          <w:szCs w:val="22"/>
        </w:rPr>
        <w:t xml:space="preserve">Capa analítica (opcional) → Places Analytics y/o Power BI consolidan datos de ocupación para reportes ejecutivos.</w:t>
      </w:r>
    </w:p>
    <w:p>
      <w:pPr>
        <w:pStyle w:val="Heading1"/>
        <w:pBdr>
          <w:bottom w:val="single" w:color="2E5395" w:sz="8" w:space="4"/>
        </w:pBdr>
        <w:spacing w:after="200" w:before="360"/>
      </w:pPr>
      <w:r>
        <w:rPr>
          <w:b/>
          <w:bCs/>
          <w:color w:val="1F3864"/>
          <w:sz w:val="30"/>
          <w:szCs w:val="30"/>
        </w:rPr>
        <w:t xml:space="preserve">4. Alcance del Servicio</w:t>
      </w:r>
    </w:p>
    <w:p>
      <w:pPr>
        <w:spacing w:after="160" w:line="276"/>
        <w:jc w:val="both"/>
      </w:pPr>
      <w:r>
        <w:rPr>
          <w:color w:val="262626"/>
          <w:sz w:val="22"/>
          <w:szCs w:val="22"/>
        </w:rPr>
        <w:t xml:space="preserve">El presente servicio incluye las siguientes actividades:</w:t>
      </w:r>
    </w:p>
    <w:p>
      <w:pPr>
        <w:pStyle w:val="ListParagraph"/>
        <w:numPr>
          <w:ilvl w:val="0"/>
          <w:numId w:val="2"/>
        </w:numPr>
        <w:spacing w:after="90"/>
      </w:pPr>
      <w:r>
        <w:rPr>
          <w:color w:val="262626"/>
          <w:sz w:val="22"/>
          <w:szCs w:val="22"/>
        </w:rPr>
        <w:t xml:space="preserve">Levantamiento de requerimientos funcionales con el área de Workplace/Facilities y TI.</w:t>
      </w:r>
    </w:p>
    <w:p>
      <w:pPr>
        <w:pStyle w:val="ListParagraph"/>
        <w:numPr>
          <w:ilvl w:val="0"/>
          <w:numId w:val="2"/>
        </w:numPr>
        <w:spacing w:after="90"/>
      </w:pPr>
      <w:r>
        <w:rPr>
          <w:color w:val="262626"/>
          <w:sz w:val="22"/>
          <w:szCs w:val="22"/>
        </w:rPr>
        <w:t xml:space="preserve">Diseño de la jerarquía de espacios (hasta [X] edificios, [X] pisos, [X] secciones — a definir con el cliente).</w:t>
      </w:r>
    </w:p>
    <w:p>
      <w:pPr>
        <w:pStyle w:val="ListParagraph"/>
        <w:numPr>
          <w:ilvl w:val="0"/>
          <w:numId w:val="2"/>
        </w:numPr>
        <w:spacing w:after="90"/>
      </w:pPr>
      <w:r>
        <w:rPr>
          <w:color w:val="262626"/>
          <w:sz w:val="22"/>
          <w:szCs w:val="22"/>
        </w:rPr>
        <w:t xml:space="preserve">Configuración de buzones de recursos (salas y escritorios) en Exchange Online.</w:t>
      </w:r>
    </w:p>
    <w:p>
      <w:pPr>
        <w:pStyle w:val="ListParagraph"/>
        <w:numPr>
          <w:ilvl w:val="0"/>
          <w:numId w:val="2"/>
        </w:numPr>
        <w:spacing w:after="90"/>
      </w:pPr>
      <w:r>
        <w:rPr>
          <w:color w:val="262626"/>
          <w:sz w:val="22"/>
          <w:szCs w:val="22"/>
        </w:rPr>
        <w:t xml:space="preserve">Carga e importación de planos de piso (floor plans) en formato compatible.</w:t>
      </w:r>
    </w:p>
    <w:p>
      <w:pPr>
        <w:pStyle w:val="ListParagraph"/>
        <w:numPr>
          <w:ilvl w:val="0"/>
          <w:numId w:val="2"/>
        </w:numPr>
        <w:spacing w:after="90"/>
      </w:pPr>
      <w:r>
        <w:rPr>
          <w:color w:val="262626"/>
          <w:sz w:val="22"/>
          <w:szCs w:val="22"/>
        </w:rPr>
        <w:t xml:space="preserve">Configuración de Places Finder, Places Explorer y app de Places en Teams/Outlook.</w:t>
      </w:r>
    </w:p>
    <w:p>
      <w:pPr>
        <w:pStyle w:val="ListParagraph"/>
        <w:numPr>
          <w:ilvl w:val="0"/>
          <w:numId w:val="2"/>
        </w:numPr>
        <w:spacing w:after="90"/>
      </w:pPr>
      <w:r>
        <w:rPr>
          <w:color w:val="262626"/>
          <w:sz w:val="22"/>
          <w:szCs w:val="22"/>
        </w:rPr>
        <w:t xml:space="preserve">Configuración de políticas de auto-liberación (auto-release) y modos de escritorio (reservable, asignado, no reservable, deshabilitado).</w:t>
      </w:r>
    </w:p>
    <w:p>
      <w:pPr>
        <w:pStyle w:val="ListParagraph"/>
        <w:numPr>
          <w:ilvl w:val="0"/>
          <w:numId w:val="2"/>
        </w:numPr>
        <w:spacing w:after="90"/>
      </w:pPr>
      <w:r>
        <w:rPr>
          <w:color w:val="262626"/>
          <w:sz w:val="22"/>
          <w:szCs w:val="22"/>
        </w:rPr>
        <w:t xml:space="preserve">Configuración de Places Analytics para reportes de ocupación.</w:t>
      </w:r>
    </w:p>
    <w:p>
      <w:pPr>
        <w:pStyle w:val="ListParagraph"/>
        <w:numPr>
          <w:ilvl w:val="0"/>
          <w:numId w:val="2"/>
        </w:numPr>
        <w:spacing w:after="90"/>
      </w:pPr>
      <w:r>
        <w:rPr>
          <w:color w:val="262626"/>
          <w:sz w:val="22"/>
          <w:szCs w:val="22"/>
        </w:rPr>
        <w:t xml:space="preserve">Revisión y recomendación del modelo de licenciamiento (core / Shared Space) conforme al inventario de espacios del cliente.</w:t>
      </w:r>
    </w:p>
    <w:p>
      <w:pPr>
        <w:pStyle w:val="ListParagraph"/>
        <w:numPr>
          <w:ilvl w:val="0"/>
          <w:numId w:val="2"/>
        </w:numPr>
        <w:spacing w:after="90"/>
      </w:pPr>
      <w:r>
        <w:rPr>
          <w:color w:val="262626"/>
          <w:sz w:val="22"/>
          <w:szCs w:val="22"/>
        </w:rPr>
        <w:t xml:space="preserve">Sesión de habilitación técnica para el equipo de TI/Workplace (administración de la solución).</w:t>
      </w:r>
    </w:p>
    <w:p>
      <w:pPr>
        <w:pStyle w:val="ListParagraph"/>
        <w:numPr>
          <w:ilvl w:val="0"/>
          <w:numId w:val="2"/>
        </w:numPr>
        <w:spacing w:after="90"/>
      </w:pPr>
      <w:r>
        <w:rPr>
          <w:color w:val="262626"/>
          <w:sz w:val="22"/>
          <w:szCs w:val="22"/>
        </w:rPr>
        <w:t xml:space="preserve">Sesión de capacitación a usuarios finales (uso de Places Finder / reservación de escritorios y salas).</w:t>
      </w:r>
    </w:p>
    <w:p>
      <w:pPr>
        <w:pStyle w:val="ListParagraph"/>
        <w:numPr>
          <w:ilvl w:val="0"/>
          <w:numId w:val="2"/>
        </w:numPr>
        <w:spacing w:after="90"/>
      </w:pPr>
      <w:r>
        <w:rPr>
          <w:color w:val="262626"/>
          <w:sz w:val="22"/>
          <w:szCs w:val="22"/>
        </w:rPr>
        <w:t xml:space="preserve">Documentación técnica y manual de administración entregados al cierre del proyecto.</w:t>
      </w:r>
    </w:p>
    <w:p>
      <w:pPr>
        <w:pStyle w:val="ListParagraph"/>
        <w:numPr>
          <w:ilvl w:val="0"/>
          <w:numId w:val="2"/>
        </w:numPr>
        <w:spacing w:after="90"/>
      </w:pPr>
      <w:r>
        <w:rPr>
          <w:color w:val="262626"/>
          <w:sz w:val="22"/>
          <w:szCs w:val="22"/>
        </w:rPr>
        <w:t xml:space="preserve">Acompañamiento durante periodo de estabilización de [2] semanas posteriores al Go-Live.</w:t>
      </w:r>
    </w:p>
    <w:p>
      <w:pPr>
        <w:pStyle w:val="Heading1"/>
        <w:pBdr>
          <w:bottom w:val="single" w:color="2E5395" w:sz="8" w:space="4"/>
        </w:pBdr>
        <w:spacing w:after="200" w:before="360"/>
      </w:pPr>
      <w:r>
        <w:rPr>
          <w:b/>
          <w:bCs/>
          <w:color w:val="1F3864"/>
          <w:sz w:val="30"/>
          <w:szCs w:val="30"/>
        </w:rPr>
        <w:t xml:space="preserve">5. Fuera de Alcance</w:t>
      </w:r>
    </w:p>
    <w:p>
      <w:pPr>
        <w:spacing w:after="160" w:line="276"/>
        <w:jc w:val="both"/>
      </w:pPr>
      <w:r>
        <w:rPr>
          <w:color w:val="262626"/>
          <w:sz w:val="22"/>
          <w:szCs w:val="22"/>
        </w:rPr>
        <w:t xml:space="preserve">No forman parte de este servicio las siguientes actividades, las cuales podrán cotizarse de manera independiente:</w:t>
      </w:r>
    </w:p>
    <w:p>
      <w:pPr>
        <w:pStyle w:val="ListParagraph"/>
        <w:numPr>
          <w:ilvl w:val="0"/>
          <w:numId w:val="2"/>
        </w:numPr>
        <w:spacing w:after="90"/>
      </w:pPr>
      <w:r>
        <w:rPr>
          <w:color w:val="262626"/>
          <w:sz w:val="22"/>
          <w:szCs w:val="22"/>
        </w:rPr>
        <w:t xml:space="preserve">Compra, instalación o configuración de sensores de ocupación IoT de terceros (hardware).</w:t>
      </w:r>
    </w:p>
    <w:p>
      <w:pPr>
        <w:pStyle w:val="ListParagraph"/>
        <w:numPr>
          <w:ilvl w:val="0"/>
          <w:numId w:val="2"/>
        </w:numPr>
        <w:spacing w:after="90"/>
      </w:pPr>
      <w:r>
        <w:rPr>
          <w:color w:val="262626"/>
          <w:sz w:val="22"/>
          <w:szCs w:val="22"/>
        </w:rPr>
        <w:t xml:space="preserve">Desarrollo de tableros personalizados en Power BI más allá de la plantilla estándar de Places Analytics.</w:t>
      </w:r>
    </w:p>
    <w:p>
      <w:pPr>
        <w:pStyle w:val="ListParagraph"/>
        <w:numPr>
          <w:ilvl w:val="0"/>
          <w:numId w:val="2"/>
        </w:numPr>
        <w:spacing w:after="90"/>
      </w:pPr>
      <w:r>
        <w:rPr>
          <w:color w:val="262626"/>
          <w:sz w:val="22"/>
          <w:szCs w:val="22"/>
        </w:rPr>
        <w:t xml:space="preserve">Digitalización o levantamiento arquitectónico de planos de piso no existentes en formato digital.</w:t>
      </w:r>
    </w:p>
    <w:p>
      <w:pPr>
        <w:pStyle w:val="ListParagraph"/>
        <w:numPr>
          <w:ilvl w:val="0"/>
          <w:numId w:val="2"/>
        </w:numPr>
        <w:spacing w:after="90"/>
      </w:pPr>
      <w:r>
        <w:rPr>
          <w:color w:val="262626"/>
          <w:sz w:val="22"/>
          <w:szCs w:val="22"/>
        </w:rPr>
        <w:t xml:space="preserve">Compra o gestión de licenciamiento M365, Teams Premium o Shared Space (se realiza recomendación, la adquisición corre por cuenta del cliente o su reseller/CSP).</w:t>
      </w:r>
    </w:p>
    <w:p>
      <w:pPr>
        <w:pStyle w:val="ListParagraph"/>
        <w:numPr>
          <w:ilvl w:val="0"/>
          <w:numId w:val="2"/>
        </w:numPr>
        <w:spacing w:after="90"/>
      </w:pPr>
      <w:r>
        <w:rPr>
          <w:color w:val="262626"/>
          <w:sz w:val="22"/>
          <w:szCs w:val="22"/>
        </w:rPr>
        <w:t xml:space="preserve">Integración con sistemas de control de acceso físico (torniquetes, tarjetas RFID, biometría).</w:t>
      </w:r>
    </w:p>
    <w:p>
      <w:pPr>
        <w:pStyle w:val="ListParagraph"/>
        <w:numPr>
          <w:ilvl w:val="0"/>
          <w:numId w:val="2"/>
        </w:numPr>
        <w:spacing w:after="90"/>
      </w:pPr>
      <w:r>
        <w:rPr>
          <w:color w:val="262626"/>
          <w:sz w:val="22"/>
          <w:szCs w:val="22"/>
        </w:rPr>
        <w:t xml:space="preserve">Soporte a versiones de Outlook clásico (Outlook Desktop legacy) no compatibles con Places (ver requerimientos técnicos).</w:t>
      </w:r>
    </w:p>
    <w:p>
      <w:pPr>
        <w:pStyle w:val="ListParagraph"/>
        <w:numPr>
          <w:ilvl w:val="0"/>
          <w:numId w:val="2"/>
        </w:numPr>
        <w:spacing w:after="90"/>
      </w:pPr>
      <w:r>
        <w:rPr>
          <w:color w:val="262626"/>
          <w:sz w:val="22"/>
          <w:szCs w:val="22"/>
        </w:rPr>
        <w:t xml:space="preserve">Gestión del cambio (change management) organizacional a nivel corporativo, más allá de la capacitación funcional incluida.</w:t>
      </w:r>
    </w:p>
    <w:p>
      <w:pPr>
        <w:pStyle w:val="ListParagraph"/>
        <w:numPr>
          <w:ilvl w:val="0"/>
          <w:numId w:val="2"/>
        </w:numPr>
        <w:spacing w:after="90"/>
      </w:pPr>
      <w:r>
        <w:rPr>
          <w:color w:val="262626"/>
          <w:sz w:val="22"/>
          <w:szCs w:val="22"/>
        </w:rPr>
        <w:t xml:space="preserve">Soporte post Go-Live posterior al periodo de estabilización definido, salvo contratación de un servicio de soporte adicional (ANS/SLA).</w:t>
      </w:r>
    </w:p>
    <w:p>
      <w:pPr>
        <w:pStyle w:val="Heading1"/>
        <w:pBdr>
          <w:bottom w:val="single" w:color="2E5395" w:sz="8" w:space="4"/>
        </w:pBdr>
        <w:spacing w:after="200" w:before="360"/>
      </w:pPr>
      <w:r>
        <w:rPr>
          <w:b/>
          <w:bCs/>
          <w:color w:val="1F3864"/>
          <w:sz w:val="30"/>
          <w:szCs w:val="30"/>
        </w:rPr>
        <w:t xml:space="preserve">6. Requerimientos Técnicos</w:t>
      </w:r>
    </w:p>
    <w:p>
      <w:pPr>
        <w:pStyle w:val="Heading2"/>
        <w:spacing w:after="140" w:before="280"/>
      </w:pPr>
      <w:r>
        <w:rPr>
          <w:b/>
          <w:bCs/>
          <w:color w:val="2E5395"/>
          <w:sz w:val="24"/>
          <w:szCs w:val="24"/>
        </w:rPr>
        <w:t xml:space="preserve">6.1 Prerrequisitos de tenant</w:t>
      </w:r>
    </w:p>
    <w:p>
      <w:pPr>
        <w:pStyle w:val="ListParagraph"/>
        <w:numPr>
          <w:ilvl w:val="0"/>
          <w:numId w:val="2"/>
        </w:numPr>
        <w:spacing w:after="90"/>
      </w:pPr>
      <w:r>
        <w:rPr>
          <w:color w:val="262626"/>
          <w:sz w:val="22"/>
          <w:szCs w:val="22"/>
        </w:rPr>
        <w:t xml:space="preserve">Tenant de Microsoft 365 activo con Microsoft Entra ID como directorio de identidades.</w:t>
      </w:r>
    </w:p>
    <w:p>
      <w:pPr>
        <w:pStyle w:val="ListParagraph"/>
        <w:numPr>
          <w:ilvl w:val="0"/>
          <w:numId w:val="2"/>
        </w:numPr>
        <w:spacing w:after="90"/>
      </w:pPr>
      <w:r>
        <w:rPr>
          <w:color w:val="262626"/>
          <w:sz w:val="22"/>
          <w:szCs w:val="22"/>
        </w:rPr>
        <w:t xml:space="preserve">Exchange Online habilitado (buzones de recursos para salas y escritorios).</w:t>
      </w:r>
    </w:p>
    <w:p>
      <w:pPr>
        <w:pStyle w:val="ListParagraph"/>
        <w:numPr>
          <w:ilvl w:val="0"/>
          <w:numId w:val="2"/>
        </w:numPr>
        <w:spacing w:after="90"/>
      </w:pPr>
      <w:r>
        <w:rPr>
          <w:color w:val="262626"/>
          <w:sz w:val="22"/>
          <w:szCs w:val="22"/>
        </w:rPr>
        <w:t xml:space="preserve">Microsoft Teams habilitado para los usuarios que utilizarán la reservación desde el calendario.</w:t>
      </w:r>
    </w:p>
    <w:p>
      <w:pPr>
        <w:pStyle w:val="ListParagraph"/>
        <w:numPr>
          <w:ilvl w:val="0"/>
          <w:numId w:val="2"/>
        </w:numPr>
        <w:spacing w:after="90"/>
      </w:pPr>
      <w:r>
        <w:rPr>
          <w:color w:val="262626"/>
          <w:sz w:val="22"/>
          <w:szCs w:val="22"/>
        </w:rPr>
        <w:t xml:space="preserve">Cuenta de administrador con rol Exchange Administrator o Places Administrator asignado en Microsoft Entra ID.</w:t>
      </w:r>
    </w:p>
    <w:p>
      <w:pPr>
        <w:pStyle w:val="ListParagraph"/>
        <w:numPr>
          <w:ilvl w:val="0"/>
          <w:numId w:val="2"/>
        </w:numPr>
        <w:spacing w:after="90"/>
      </w:pPr>
      <w:r>
        <w:rPr>
          <w:color w:val="262626"/>
          <w:sz w:val="22"/>
          <w:szCs w:val="22"/>
        </w:rPr>
        <w:t xml:space="preserve">PowerShell 7 (versión 7.4.0 o superior) — no se soporta Windows PowerShell clásico — con el módulo MicrosoftPlaces instalado (Install-Module -Name MicrosoftPlaces -Force).</w:t>
      </w:r>
    </w:p>
    <w:p>
      <w:pPr>
        <w:pStyle w:val="ListParagraph"/>
        <w:numPr>
          <w:ilvl w:val="0"/>
          <w:numId w:val="2"/>
        </w:numPr>
        <w:spacing w:after="90"/>
      </w:pPr>
      <w:r>
        <w:rPr>
          <w:color w:val="262626"/>
          <w:sz w:val="22"/>
          <w:szCs w:val="22"/>
        </w:rPr>
        <w:t xml:space="preserve">Módulos de PowerShell de Exchange Online y Microsoft Teams disponibles para tareas de configuración avanzada.</w:t>
      </w:r>
    </w:p>
    <w:p>
      <w:pPr>
        <w:pStyle w:val="Heading2"/>
        <w:spacing w:after="140" w:before="280"/>
      </w:pPr>
      <w:r>
        <w:rPr>
          <w:b/>
          <w:bCs/>
          <w:color w:val="2E5395"/>
          <w:sz w:val="24"/>
          <w:szCs w:val="24"/>
        </w:rPr>
        <w:t xml:space="preserve">6.2 Clientes / endpoints soportados</w:t>
      </w:r>
    </w:p>
    <w:p>
      <w:pPr>
        <w:pStyle w:val="ListParagraph"/>
        <w:numPr>
          <w:ilvl w:val="0"/>
          <w:numId w:val="2"/>
        </w:numPr>
        <w:spacing w:after="90"/>
      </w:pPr>
      <w:r>
        <w:rPr>
          <w:color w:val="262626"/>
          <w:sz w:val="22"/>
          <w:szCs w:val="22"/>
        </w:rPr>
        <w:t xml:space="preserve">Nuevo Outlook (New Outlook) en Windows y Outlook en la web — Outlook clásico (desktop legacy) no es compatible con la reservación de escritorios.</w:t>
      </w:r>
    </w:p>
    <w:p>
      <w:pPr>
        <w:pStyle w:val="ListParagraph"/>
        <w:numPr>
          <w:ilvl w:val="0"/>
          <w:numId w:val="2"/>
        </w:numPr>
        <w:spacing w:after="90"/>
      </w:pPr>
      <w:r>
        <w:rPr>
          <w:color w:val="262626"/>
          <w:sz w:val="22"/>
          <w:szCs w:val="22"/>
        </w:rPr>
        <w:t xml:space="preserve">App de Microsoft Places disponible en la web y como app conectada dentro de Teams, Outlook y la app de Microsoft 365 (escritorio y móvil).</w:t>
      </w:r>
    </w:p>
    <w:p>
      <w:pPr>
        <w:pStyle w:val="ListParagraph"/>
        <w:numPr>
          <w:ilvl w:val="0"/>
          <w:numId w:val="2"/>
        </w:numPr>
        <w:spacing w:after="90"/>
      </w:pPr>
      <w:r>
        <w:rPr>
          <w:color w:val="262626"/>
          <w:sz w:val="22"/>
          <w:szCs w:val="22"/>
        </w:rPr>
        <w:t xml:space="preserve">Microsoft Teams (escritorio, web y móvil) para acceso a Places Finder desde el calendario.</w:t>
      </w:r>
    </w:p>
    <w:p>
      <w:pPr>
        <w:pStyle w:val="Heading2"/>
        <w:spacing w:after="140" w:before="280"/>
      </w:pPr>
      <w:r>
        <w:rPr>
          <w:b/>
          <w:bCs/>
          <w:color w:val="2E5395"/>
          <w:sz w:val="24"/>
          <w:szCs w:val="24"/>
        </w:rPr>
        <w:t xml:space="preserve">6.3 Información requerida del cliente</w:t>
      </w:r>
    </w:p>
    <w:p>
      <w:pPr>
        <w:pStyle w:val="ListParagraph"/>
        <w:numPr>
          <w:ilvl w:val="0"/>
          <w:numId w:val="2"/>
        </w:numPr>
        <w:spacing w:after="90"/>
      </w:pPr>
      <w:r>
        <w:rPr>
          <w:color w:val="262626"/>
          <w:sz w:val="22"/>
          <w:szCs w:val="22"/>
        </w:rPr>
        <w:t xml:space="preserve">Inventario de edificios, pisos y secciones a administrar en Places.</w:t>
      </w:r>
    </w:p>
    <w:p>
      <w:pPr>
        <w:pStyle w:val="ListParagraph"/>
        <w:numPr>
          <w:ilvl w:val="0"/>
          <w:numId w:val="2"/>
        </w:numPr>
        <w:spacing w:after="90"/>
      </w:pPr>
      <w:r>
        <w:rPr>
          <w:color w:val="262626"/>
          <w:sz w:val="22"/>
          <w:szCs w:val="22"/>
        </w:rPr>
        <w:t xml:space="preserve">Planos de piso digitalizados (formato imagen o vectorial compatible).</w:t>
      </w:r>
    </w:p>
    <w:p>
      <w:pPr>
        <w:pStyle w:val="ListParagraph"/>
        <w:numPr>
          <w:ilvl w:val="0"/>
          <w:numId w:val="2"/>
        </w:numPr>
        <w:spacing w:after="90"/>
      </w:pPr>
      <w:r>
        <w:rPr>
          <w:color w:val="262626"/>
          <w:sz w:val="22"/>
          <w:szCs w:val="22"/>
        </w:rPr>
        <w:t xml:space="preserve">Listado de salas de reuniones y escritorios a incorporar, incluyendo capacidad y equipamiento.</w:t>
      </w:r>
    </w:p>
    <w:p>
      <w:pPr>
        <w:pStyle w:val="ListParagraph"/>
        <w:numPr>
          <w:ilvl w:val="0"/>
          <w:numId w:val="2"/>
        </w:numPr>
        <w:spacing w:after="90"/>
      </w:pPr>
      <w:r>
        <w:rPr>
          <w:color w:val="262626"/>
          <w:sz w:val="22"/>
          <w:szCs w:val="22"/>
        </w:rPr>
        <w:t xml:space="preserve">Política interna de trabajo híbrido (días de asistencia, reglas de reservación, anticipación máxima de reserva, etc.).</w:t>
      </w:r>
    </w:p>
    <w:p>
      <w:pPr>
        <w:pStyle w:val="Heading1"/>
        <w:pBdr>
          <w:bottom w:val="single" w:color="2E5395" w:sz="8" w:space="4"/>
        </w:pBdr>
        <w:spacing w:after="200" w:before="360"/>
      </w:pPr>
      <w:r>
        <w:rPr>
          <w:b/>
          <w:bCs/>
          <w:color w:val="1F3864"/>
          <w:sz w:val="30"/>
          <w:szCs w:val="30"/>
        </w:rPr>
        <w:t xml:space="preserve">7. Requerimientos Humanos (Equipo del Proyecto)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9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Rol</w:t>
            </w:r>
          </w:p>
        </w:tc>
        <w:tc>
          <w:tcPr>
            <w:tcW w:type="dxa" w:w="4800"/>
            <w:shd w:fill="1F3864" w:val="clear"/>
            <w:tcMar>
              <w:top w:type="dxa" w:w="80"/>
              <w:left w:type="dxa" w:w="120"/>
              <w:bottom w:type="dxa" w:w="80"/>
              <w:right w:type="dxa" w:w="120"/>
            </w:tcMar>
            <w:vAlign w:val="center"/>
          </w:tcPr>
          <w:p>
            <w:pPr>
              <w:jc w:val="left"/>
            </w:pPr>
            <w:r>
              <w:rPr>
                <w:b/>
                <w:bCs/>
                <w:color w:val="FFFFFF"/>
                <w:sz w:val="20"/>
                <w:szCs w:val="20"/>
              </w:rPr>
              <w:t xml:space="preserve">Responsabilidad</w:t>
            </w:r>
          </w:p>
        </w:tc>
        <w:tc>
          <w:tcPr>
            <w:tcW w:type="dxa" w:w="1900"/>
            <w:shd w:fill="1F3864" w:val="clear"/>
            <w:tcMar>
              <w:top w:type="dxa" w:w="80"/>
              <w:left w:type="dxa" w:w="120"/>
              <w:bottom w:type="dxa" w:w="80"/>
              <w:right w:type="dxa" w:w="120"/>
            </w:tcMar>
            <w:vAlign w:val="center"/>
          </w:tcPr>
          <w:p>
            <w:pPr>
              <w:jc w:val="left"/>
            </w:pPr>
            <w:r>
              <w:rPr>
                <w:b/>
                <w:bCs/>
                <w:color w:val="FFFFFF"/>
                <w:sz w:val="20"/>
                <w:szCs w:val="20"/>
              </w:rPr>
              <w:t xml:space="preserve">Dedicación estimada</w:t>
            </w:r>
          </w:p>
        </w:tc>
      </w:tr>
      <w:tr>
        <w:tc>
          <w:tcPr>
            <w:tcW w:type="dxa" w:w="3200"/>
            <w:tcMar>
              <w:top w:type="dxa" w:w="80"/>
              <w:left w:type="dxa" w:w="120"/>
              <w:bottom w:type="dxa" w:w="80"/>
              <w:right w:type="dxa" w:w="120"/>
            </w:tcMar>
            <w:vAlign w:val="center"/>
          </w:tcPr>
          <w:p>
            <w:pPr>
              <w:jc w:val="left"/>
            </w:pPr>
            <w:r>
              <w:rPr>
                <w:b w:val="false"/>
                <w:bCs w:val="false"/>
                <w:color w:val="262626"/>
                <w:sz w:val="20"/>
                <w:szCs w:val="20"/>
              </w:rPr>
              <w:t xml:space="preserve">Gerente de Proyecto</w:t>
            </w:r>
          </w:p>
        </w:tc>
        <w:tc>
          <w:tcPr>
            <w:tcW w:type="dxa" w:w="4800"/>
            <w:tcMar>
              <w:top w:type="dxa" w:w="80"/>
              <w:left w:type="dxa" w:w="120"/>
              <w:bottom w:type="dxa" w:w="80"/>
              <w:right w:type="dxa" w:w="120"/>
            </w:tcMar>
            <w:vAlign w:val="center"/>
          </w:tcPr>
          <w:p>
            <w:pPr>
              <w:jc w:val="left"/>
            </w:pPr>
            <w:r>
              <w:rPr>
                <w:b w:val="false"/>
                <w:bCs w:val="false"/>
                <w:color w:val="262626"/>
                <w:sz w:val="20"/>
                <w:szCs w:val="20"/>
              </w:rPr>
              <w:t xml:space="preserve">Coordinación general, seguimiento de cronograma, gestión de riesgos y comunicación con el cliente.</w:t>
            </w:r>
          </w:p>
        </w:tc>
        <w:tc>
          <w:tcPr>
            <w:tcW w:type="dxa" w:w="1900"/>
            <w:tcMar>
              <w:top w:type="dxa" w:w="80"/>
              <w:left w:type="dxa" w:w="120"/>
              <w:bottom w:type="dxa" w:w="80"/>
              <w:right w:type="dxa" w:w="120"/>
            </w:tcMar>
            <w:vAlign w:val="center"/>
          </w:tcPr>
          <w:p>
            <w:pPr>
              <w:jc w:val="left"/>
            </w:pPr>
            <w:r>
              <w:rPr>
                <w:b w:val="false"/>
                <w:bCs w:val="false"/>
                <w:color w:val="262626"/>
                <w:sz w:val="20"/>
                <w:szCs w:val="20"/>
              </w:rPr>
              <w:t xml:space="preserve">Parcial</w:t>
            </w:r>
          </w:p>
        </w:tc>
      </w:tr>
      <w:tr>
        <w:tc>
          <w:tcPr>
            <w:tcW w:type="dxa" w:w="32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Arquitecto / Consultor M365</w:t>
            </w:r>
          </w:p>
        </w:tc>
        <w:tc>
          <w:tcPr>
            <w:tcW w:type="dxa" w:w="48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Diseño de la solución, configuración de Places, jerarquía de espacios y políticas.</w:t>
            </w:r>
          </w:p>
        </w:tc>
        <w:tc>
          <w:tcPr>
            <w:tcW w:type="dxa" w:w="19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Dedicada durante configuración</w:t>
            </w:r>
          </w:p>
        </w:tc>
      </w:tr>
      <w:tr>
        <w:tc>
          <w:tcPr>
            <w:tcW w:type="dxa" w:w="3200"/>
            <w:tcMar>
              <w:top w:type="dxa" w:w="80"/>
              <w:left w:type="dxa" w:w="120"/>
              <w:bottom w:type="dxa" w:w="80"/>
              <w:right w:type="dxa" w:w="120"/>
            </w:tcMar>
            <w:vAlign w:val="center"/>
          </w:tcPr>
          <w:p>
            <w:pPr>
              <w:jc w:val="left"/>
            </w:pPr>
            <w:r>
              <w:rPr>
                <w:b w:val="false"/>
                <w:bCs w:val="false"/>
                <w:color w:val="262626"/>
                <w:sz w:val="20"/>
                <w:szCs w:val="20"/>
              </w:rPr>
              <w:t xml:space="preserve">Especialista en Exchange Online</w:t>
            </w:r>
          </w:p>
        </w:tc>
        <w:tc>
          <w:tcPr>
            <w:tcW w:type="dxa" w:w="4800"/>
            <w:tcMar>
              <w:top w:type="dxa" w:w="80"/>
              <w:left w:type="dxa" w:w="120"/>
              <w:bottom w:type="dxa" w:w="80"/>
              <w:right w:type="dxa" w:w="120"/>
            </w:tcMar>
            <w:vAlign w:val="center"/>
          </w:tcPr>
          <w:p>
            <w:pPr>
              <w:jc w:val="left"/>
            </w:pPr>
            <w:r>
              <w:rPr>
                <w:b w:val="false"/>
                <w:bCs w:val="false"/>
                <w:color w:val="262626"/>
                <w:sz w:val="20"/>
                <w:szCs w:val="20"/>
              </w:rPr>
              <w:t xml:space="preserve">Configuración de buzones de recursos, calendarios y permisos de delegación.</w:t>
            </w:r>
          </w:p>
        </w:tc>
        <w:tc>
          <w:tcPr>
            <w:tcW w:type="dxa" w:w="1900"/>
            <w:tcMar>
              <w:top w:type="dxa" w:w="80"/>
              <w:left w:type="dxa" w:w="120"/>
              <w:bottom w:type="dxa" w:w="80"/>
              <w:right w:type="dxa" w:w="120"/>
            </w:tcMar>
            <w:vAlign w:val="center"/>
          </w:tcPr>
          <w:p>
            <w:pPr>
              <w:jc w:val="left"/>
            </w:pPr>
            <w:r>
              <w:rPr>
                <w:b w:val="false"/>
                <w:bCs w:val="false"/>
                <w:color w:val="262626"/>
                <w:sz w:val="20"/>
                <w:szCs w:val="20"/>
              </w:rPr>
              <w:t xml:space="preserve">Parcial</w:t>
            </w:r>
          </w:p>
        </w:tc>
      </w:tr>
      <w:tr>
        <w:tc>
          <w:tcPr>
            <w:tcW w:type="dxa" w:w="32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Especialista en Licenciamiento M365</w:t>
            </w:r>
          </w:p>
        </w:tc>
        <w:tc>
          <w:tcPr>
            <w:tcW w:type="dxa" w:w="48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Análisis y recomendación del modelo de licenciamiento core / Shared Space.</w:t>
            </w:r>
          </w:p>
        </w:tc>
        <w:tc>
          <w:tcPr>
            <w:tcW w:type="dxa" w:w="19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Puntual</w:t>
            </w:r>
          </w:p>
        </w:tc>
      </w:tr>
      <w:tr>
        <w:tc>
          <w:tcPr>
            <w:tcW w:type="dxa" w:w="3200"/>
            <w:tcMar>
              <w:top w:type="dxa" w:w="80"/>
              <w:left w:type="dxa" w:w="120"/>
              <w:bottom w:type="dxa" w:w="80"/>
              <w:right w:type="dxa" w:w="120"/>
            </w:tcMar>
            <w:vAlign w:val="center"/>
          </w:tcPr>
          <w:p>
            <w:pPr>
              <w:jc w:val="left"/>
            </w:pPr>
            <w:r>
              <w:rPr>
                <w:b w:val="false"/>
                <w:bCs w:val="false"/>
                <w:color w:val="262626"/>
                <w:sz w:val="20"/>
                <w:szCs w:val="20"/>
              </w:rPr>
              <w:t xml:space="preserve">Capacitador / Change Enablement</w:t>
            </w:r>
          </w:p>
        </w:tc>
        <w:tc>
          <w:tcPr>
            <w:tcW w:type="dxa" w:w="4800"/>
            <w:tcMar>
              <w:top w:type="dxa" w:w="80"/>
              <w:left w:type="dxa" w:w="120"/>
              <w:bottom w:type="dxa" w:w="80"/>
              <w:right w:type="dxa" w:w="120"/>
            </w:tcMar>
            <w:vAlign w:val="center"/>
          </w:tcPr>
          <w:p>
            <w:pPr>
              <w:jc w:val="left"/>
            </w:pPr>
            <w:r>
              <w:rPr>
                <w:b w:val="false"/>
                <w:bCs w:val="false"/>
                <w:color w:val="262626"/>
                <w:sz w:val="20"/>
                <w:szCs w:val="20"/>
              </w:rPr>
              <w:t xml:space="preserve">Diseño y ejecución de sesiones de capacitación a usuarios finales y administradores.</w:t>
            </w:r>
          </w:p>
        </w:tc>
        <w:tc>
          <w:tcPr>
            <w:tcW w:type="dxa" w:w="1900"/>
            <w:tcMar>
              <w:top w:type="dxa" w:w="80"/>
              <w:left w:type="dxa" w:w="120"/>
              <w:bottom w:type="dxa" w:w="80"/>
              <w:right w:type="dxa" w:w="120"/>
            </w:tcMar>
            <w:vAlign w:val="center"/>
          </w:tcPr>
          <w:p>
            <w:pPr>
              <w:jc w:val="left"/>
            </w:pPr>
            <w:r>
              <w:rPr>
                <w:b w:val="false"/>
                <w:bCs w:val="false"/>
                <w:color w:val="262626"/>
                <w:sz w:val="20"/>
                <w:szCs w:val="20"/>
              </w:rPr>
              <w:t xml:space="preserve">Puntual</w:t>
            </w:r>
          </w:p>
        </w:tc>
      </w:tr>
      <w:tr>
        <w:tc>
          <w:tcPr>
            <w:tcW w:type="dxa" w:w="32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Contacto de Workplace/Facilities (Cliente)</w:t>
            </w:r>
          </w:p>
        </w:tc>
        <w:tc>
          <w:tcPr>
            <w:tcW w:type="dxa" w:w="48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Provisión de planos, inventario de espacios y validación funcional.</w:t>
            </w:r>
          </w:p>
        </w:tc>
        <w:tc>
          <w:tcPr>
            <w:tcW w:type="dxa" w:w="19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Parcial (Cliente)</w:t>
            </w:r>
          </w:p>
        </w:tc>
      </w:tr>
      <w:tr>
        <w:tc>
          <w:tcPr>
            <w:tcW w:type="dxa" w:w="3200"/>
            <w:tcMar>
              <w:top w:type="dxa" w:w="80"/>
              <w:left w:type="dxa" w:w="120"/>
              <w:bottom w:type="dxa" w:w="80"/>
              <w:right w:type="dxa" w:w="120"/>
            </w:tcMar>
            <w:vAlign w:val="center"/>
          </w:tcPr>
          <w:p>
            <w:pPr>
              <w:jc w:val="left"/>
            </w:pPr>
            <w:r>
              <w:rPr>
                <w:b w:val="false"/>
                <w:bCs w:val="false"/>
                <w:color w:val="262626"/>
                <w:sz w:val="20"/>
                <w:szCs w:val="20"/>
              </w:rPr>
              <w:t xml:space="preserve">Administrador de TI (Cliente)</w:t>
            </w:r>
          </w:p>
        </w:tc>
        <w:tc>
          <w:tcPr>
            <w:tcW w:type="dxa" w:w="4800"/>
            <w:tcMar>
              <w:top w:type="dxa" w:w="80"/>
              <w:left w:type="dxa" w:w="120"/>
              <w:bottom w:type="dxa" w:w="80"/>
              <w:right w:type="dxa" w:w="120"/>
            </w:tcMar>
            <w:vAlign w:val="center"/>
          </w:tcPr>
          <w:p>
            <w:pPr>
              <w:jc w:val="left"/>
            </w:pPr>
            <w:r>
              <w:rPr>
                <w:b w:val="false"/>
                <w:bCs w:val="false"/>
                <w:color w:val="262626"/>
                <w:sz w:val="20"/>
                <w:szCs w:val="20"/>
              </w:rPr>
              <w:t xml:space="preserve">Otorgamiento de accesos, roles administrativos y soporte durante la configuración.</w:t>
            </w:r>
          </w:p>
        </w:tc>
        <w:tc>
          <w:tcPr>
            <w:tcW w:type="dxa" w:w="1900"/>
            <w:tcMar>
              <w:top w:type="dxa" w:w="80"/>
              <w:left w:type="dxa" w:w="120"/>
              <w:bottom w:type="dxa" w:w="80"/>
              <w:right w:type="dxa" w:w="120"/>
            </w:tcMar>
            <w:vAlign w:val="center"/>
          </w:tcPr>
          <w:p>
            <w:pPr>
              <w:jc w:val="left"/>
            </w:pPr>
            <w:r>
              <w:rPr>
                <w:b w:val="false"/>
                <w:bCs w:val="false"/>
                <w:color w:val="262626"/>
                <w:sz w:val="20"/>
                <w:szCs w:val="20"/>
              </w:rPr>
              <w:t xml:space="preserve">Parcial (Cliente)</w:t>
            </w:r>
          </w:p>
        </w:tc>
      </w:tr>
    </w:tbl>
    <w:p>
      <w:pPr>
        <w:pStyle w:val="Heading1"/>
        <w:pBdr>
          <w:bottom w:val="single" w:color="2E5395" w:sz="8" w:space="4"/>
        </w:pBdr>
        <w:spacing w:after="200" w:before="360"/>
      </w:pPr>
      <w:r>
        <w:rPr>
          <w:b/>
          <w:bCs/>
          <w:color w:val="1F3864"/>
          <w:sz w:val="30"/>
          <w:szCs w:val="30"/>
        </w:rPr>
        <w:t xml:space="preserve">8. Licenciamiento</w:t>
      </w:r>
    </w:p>
    <w:p>
      <w:pPr>
        <w:spacing w:after="160" w:line="276"/>
        <w:jc w:val="both"/>
      </w:pPr>
      <w:r>
        <w:rPr>
          <w:color w:val="262626"/>
          <w:sz w:val="22"/>
          <w:szCs w:val="22"/>
        </w:rPr>
        <w:t xml:space="preserve">A partir del 1 de abril de 2026, Microsoft modificó el modelo de licenciamiento de Places, pasando de un esquema basado en usuario (Teams Premium) a un esquema mixto de licenciamiento por espacio (“Shared Space”) para funcionalidades avanzadas. A continuación se resume el esquema vigente: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tblHeader/>
        </w:trPr>
        <w:tc>
          <w:tcPr>
            <w:tcW w:type="dxa" w:w="3300"/>
            <w:shd w:fill="1F3864" w:val="clear"/>
            <w:tcMar>
              <w:top w:type="dxa" w:w="80"/>
              <w:left w:type="dxa" w:w="120"/>
              <w:bottom w:type="dxa" w:w="80"/>
              <w:right w:type="dxa" w:w="120"/>
            </w:tcMar>
            <w:vAlign w:val="center"/>
          </w:tcPr>
          <w:p>
            <w:pPr>
              <w:jc w:val="left"/>
            </w:pPr>
            <w:r>
              <w:rPr>
                <w:b/>
                <w:bCs/>
                <w:color w:val="FFFFFF"/>
                <w:sz w:val="20"/>
                <w:szCs w:val="20"/>
              </w:rPr>
              <w:t xml:space="preserve">Funcionalidad</w:t>
            </w:r>
          </w:p>
        </w:tc>
        <w:tc>
          <w:tcPr>
            <w:tcW w:type="dxa" w:w="3300"/>
            <w:shd w:fill="1F3864" w:val="clear"/>
            <w:tcMar>
              <w:top w:type="dxa" w:w="80"/>
              <w:left w:type="dxa" w:w="120"/>
              <w:bottom w:type="dxa" w:w="80"/>
              <w:right w:type="dxa" w:w="120"/>
            </w:tcMar>
            <w:vAlign w:val="center"/>
          </w:tcPr>
          <w:p>
            <w:pPr>
              <w:jc w:val="left"/>
            </w:pPr>
            <w:r>
              <w:rPr>
                <w:b/>
                <w:bCs/>
                <w:color w:val="FFFFFF"/>
                <w:sz w:val="20"/>
                <w:szCs w:val="20"/>
              </w:rPr>
              <w:t xml:space="preserve">Licencia requerida</w:t>
            </w:r>
          </w:p>
        </w:tc>
        <w:tc>
          <w:tcPr>
            <w:tcW w:type="dxa" w:w="3300"/>
            <w:shd w:fill="1F3864" w:val="clear"/>
            <w:tcMar>
              <w:top w:type="dxa" w:w="80"/>
              <w:left w:type="dxa" w:w="120"/>
              <w:bottom w:type="dxa" w:w="80"/>
              <w:right w:type="dxa" w:w="120"/>
            </w:tcMar>
            <w:vAlign w:val="center"/>
          </w:tcPr>
          <w:p>
            <w:pPr>
              <w:jc w:val="left"/>
            </w:pPr>
            <w:r>
              <w:rPr>
                <w:b/>
                <w:bCs/>
                <w:color w:val="FFFFFF"/>
                <w:sz w:val="20"/>
                <w:szCs w:val="20"/>
              </w:rPr>
              <w:t xml:space="preserve">Observaciones</w:t>
            </w:r>
          </w:p>
        </w:tc>
      </w:tr>
      <w:tr>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Places Finder (búsqueda de espacios con mapas, fotos, atributos)</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Incluida en licencias con calendario de Outlook/Teams (M365 E3/E5, Business Basic/Standard/Premium, Exchange Online, Teams, entre otras)</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Ya no requiere Teams Premium a partir de abril 2026</w:t>
            </w:r>
          </w:p>
        </w:tc>
      </w:tr>
      <w:tr>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App de Microsoft Places (web, Teams, Outlook, M365 app)</w:t>
            </w:r>
          </w:p>
        </w:tc>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Incluida en las mismas licencias anteriores</w:t>
            </w:r>
          </w:p>
        </w:tc>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Disponible de forma amplia</w:t>
            </w:r>
          </w:p>
        </w:tc>
      </w:tr>
      <w:tr>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Reservación de salas y pools de escritorios (no asignados a una persona)</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Sin licencia adicional</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Incluida en el núcleo del servicio</w:t>
            </w:r>
          </w:p>
        </w:tc>
      </w:tr>
      <w:tr>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Reservación de escritorio individual (nombrado/asignado)</w:t>
            </w:r>
          </w:p>
        </w:tc>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Requiere licencia Microsoft Teams Shared Space por espacio</w:t>
            </w:r>
          </w:p>
        </w:tc>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Antes requería Teams Premium por usuario</w:t>
            </w:r>
          </w:p>
        </w:tc>
      </w:tr>
      <w:tr>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Auto-liberación (auto-release) de salas y escritorios</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Requiere Shared Space license en el espacio correspondiente</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Sin la licencia, la política se puede configurar pero no se aplica</w:t>
            </w:r>
          </w:p>
        </w:tc>
      </w:tr>
      <w:tr>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Analítica de ocupación (Places Analytics) por espacio</w:t>
            </w:r>
          </w:p>
        </w:tc>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Requiere Shared Space license en salas/escritorios reportados</w:t>
            </w:r>
          </w:p>
        </w:tc>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Otras métricas generales no requieren licencia adicional</w:t>
            </w:r>
          </w:p>
        </w:tc>
      </w:tr>
      <w:tr>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Microsoft Teams Rooms (MTR) en salas de reuniones</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Licencia Teams Rooms Basic / Pro</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Basic sin costo hasta 25 salas; Pro con costo por sala/mes</w:t>
            </w:r>
          </w:p>
        </w:tc>
      </w:tr>
      <w:tr>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Reservación asistida por IA / Copilot room booking</w:t>
            </w:r>
          </w:p>
        </w:tc>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Requiere licencia Microsoft 365 Copilot</w:t>
            </w:r>
          </w:p>
        </w:tc>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Funcionalidad opcional avanzada</w:t>
            </w:r>
          </w:p>
        </w:tc>
      </w:tr>
      <w:tr>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Clientes con Teams Premium contratado antes del 1-abr-2026</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Mantienen funcionalidades premium de Places</w:t>
            </w:r>
          </w:p>
        </w:tc>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Hasta la renovación de su contrato; después migran a Shared Space</w:t>
            </w:r>
          </w:p>
        </w:tc>
      </w:tr>
    </w:tbl>
    <w:p>
      <w:pPr>
        <w:spacing w:before="200"/>
      </w:pPr>
    </w:p>
    <w:p>
      <w:pPr>
        <w:spacing w:after="160" w:line="276"/>
        <w:jc w:val="both"/>
      </w:pPr>
      <w:r>
        <w:rPr>
          <w:color w:val="262626"/>
          <w:sz w:val="22"/>
          <w:szCs w:val="22"/>
        </w:rPr>
        <w:t xml:space="preserve">Recomendación: se sugiere realizar un inventario de escritorios individuales, salas y necesidades de analítica/auto-liberación para dimensionar el número de licencias Shared Space requeridas, evitando sobre-licenciar espacios de bajo uso (pools genéricos) que no requieren licencia adicional.</w:t>
      </w:r>
    </w:p>
    <w:p>
      <w:pPr>
        <w:pStyle w:val="Heading1"/>
        <w:pBdr>
          <w:bottom w:val="single" w:color="2E5395" w:sz="8" w:space="4"/>
        </w:pBdr>
        <w:spacing w:after="200" w:before="360"/>
      </w:pPr>
      <w:r>
        <w:rPr>
          <w:b/>
          <w:bCs/>
          <w:color w:val="1F3864"/>
          <w:sz w:val="30"/>
          <w:szCs w:val="30"/>
        </w:rPr>
        <w:t xml:space="preserve">9. Supuestos</w:t>
      </w:r>
    </w:p>
    <w:p>
      <w:pPr>
        <w:pStyle w:val="ListParagraph"/>
        <w:numPr>
          <w:ilvl w:val="0"/>
          <w:numId w:val="2"/>
        </w:numPr>
        <w:spacing w:after="90"/>
      </w:pPr>
      <w:r>
        <w:rPr>
          <w:color w:val="262626"/>
          <w:sz w:val="22"/>
          <w:szCs w:val="22"/>
        </w:rPr>
        <w:t xml:space="preserve">El cliente cuenta con un tenant de Microsoft 365 activo y saneado, sin migraciones pendientes de Exchange.</w:t>
      </w:r>
    </w:p>
    <w:p>
      <w:pPr>
        <w:pStyle w:val="ListParagraph"/>
        <w:numPr>
          <w:ilvl w:val="0"/>
          <w:numId w:val="2"/>
        </w:numPr>
        <w:spacing w:after="90"/>
      </w:pPr>
      <w:r>
        <w:rPr>
          <w:color w:val="262626"/>
          <w:sz w:val="22"/>
          <w:szCs w:val="22"/>
        </w:rPr>
        <w:t xml:space="preserve">El cliente proporcionará oportunamente los planos de piso, inventario de espacios y accesos administrativos necesarios.</w:t>
      </w:r>
    </w:p>
    <w:p>
      <w:pPr>
        <w:pStyle w:val="ListParagraph"/>
        <w:numPr>
          <w:ilvl w:val="0"/>
          <w:numId w:val="2"/>
        </w:numPr>
        <w:spacing w:after="90"/>
      </w:pPr>
      <w:r>
        <w:rPr>
          <w:color w:val="262626"/>
          <w:sz w:val="22"/>
          <w:szCs w:val="22"/>
        </w:rPr>
        <w:t xml:space="preserve">Las licencias M365/Teams/Shared Space requeridas serán adquiridas por el cliente directamente o a través de su reseller/CSP; su costo no está incluido en esta propuesta.</w:t>
      </w:r>
    </w:p>
    <w:p>
      <w:pPr>
        <w:pStyle w:val="ListParagraph"/>
        <w:numPr>
          <w:ilvl w:val="0"/>
          <w:numId w:val="2"/>
        </w:numPr>
        <w:spacing w:after="90"/>
      </w:pPr>
      <w:r>
        <w:rPr>
          <w:color w:val="262626"/>
          <w:sz w:val="22"/>
          <w:szCs w:val="22"/>
        </w:rPr>
        <w:t xml:space="preserve">El número de edificios, pisos y espacios a configurar corresponde al inventario acordado en la fase de levantamiento; cambios de alcance mayores podrán generar una adenda.</w:t>
      </w:r>
    </w:p>
    <w:p>
      <w:pPr>
        <w:pStyle w:val="ListParagraph"/>
        <w:numPr>
          <w:ilvl w:val="0"/>
          <w:numId w:val="2"/>
        </w:numPr>
        <w:spacing w:after="90"/>
      </w:pPr>
      <w:r>
        <w:rPr>
          <w:color w:val="262626"/>
          <w:sz w:val="22"/>
          <w:szCs w:val="22"/>
        </w:rPr>
        <w:t xml:space="preserve">El proyecto se ejecutará de forma remota, salvo que se acuerde explícitamente actividades presenciales adicionales.</w:t>
      </w:r>
    </w:p>
    <w:p>
      <w:pPr>
        <w:pStyle w:val="ListParagraph"/>
        <w:numPr>
          <w:ilvl w:val="0"/>
          <w:numId w:val="2"/>
        </w:numPr>
        <w:spacing w:after="90"/>
      </w:pPr>
      <w:r>
        <w:rPr>
          <w:color w:val="262626"/>
          <w:sz w:val="22"/>
          <w:szCs w:val="22"/>
        </w:rPr>
        <w:t xml:space="preserve">Los tiempos de respuesta del cliente para validaciones y aprobaciones no excederán los [3] días hábiles, a fin de no afectar el cronograma.</w:t>
      </w:r>
    </w:p>
    <w:p>
      <w:pPr>
        <w:pStyle w:val="ListParagraph"/>
        <w:numPr>
          <w:ilvl w:val="0"/>
          <w:numId w:val="2"/>
        </w:numPr>
        <w:spacing w:after="90"/>
      </w:pPr>
      <w:r>
        <w:rPr>
          <w:color w:val="262626"/>
          <w:sz w:val="22"/>
          <w:szCs w:val="22"/>
        </w:rPr>
        <w:t xml:space="preserve">No se contempla la creación de contenido de digitalización de planos (se recibe en formato digital editable).</w:t>
      </w:r>
    </w:p>
    <w:p>
      <w:pPr>
        <w:pStyle w:val="Heading1"/>
        <w:pBdr>
          <w:bottom w:val="single" w:color="2E5395" w:sz="8" w:space="4"/>
        </w:pBdr>
        <w:spacing w:after="200" w:before="360"/>
      </w:pPr>
      <w:r>
        <w:rPr>
          <w:b/>
          <w:bCs/>
          <w:color w:val="1F3864"/>
          <w:sz w:val="30"/>
          <w:szCs w:val="30"/>
        </w:rPr>
        <w:t xml:space="preserve">10. Estimación de Costos y Calculadora de Azure</w:t>
      </w:r>
    </w:p>
    <w:p>
      <w:pPr>
        <w:spacing w:after="160" w:line="276"/>
        <w:jc w:val="both"/>
      </w:pPr>
      <w:r>
        <w:rPr>
          <w:color w:val="262626"/>
          <w:sz w:val="22"/>
          <w:szCs w:val="22"/>
        </w:rPr>
        <w:t xml:space="preserve">Microsoft Places es un servicio SaaS incluido dentro del ecosistema Microsoft 365 y no requiere infraestructura dedicada de Azure para su operación estándar (no hay VMs, bases de datos ni servicios PaaS obligatorios). El consumo de Azure aplicaría únicamente si el cliente opta por escenarios opcionales de integración avanzada, por ejemplo:</w:t>
      </w:r>
    </w:p>
    <w:p>
      <w:pPr>
        <w:pStyle w:val="ListParagraph"/>
        <w:numPr>
          <w:ilvl w:val="0"/>
          <w:numId w:val="2"/>
        </w:numPr>
        <w:spacing w:after="90"/>
      </w:pPr>
      <w:r>
        <w:rPr>
          <w:color w:val="262626"/>
          <w:sz w:val="22"/>
          <w:szCs w:val="22"/>
        </w:rPr>
        <w:t xml:space="preserve">Ingesta de datos de sensores IoT de ocupación mediante Azure IoT Hub / Azure Event Hubs.</w:t>
      </w:r>
    </w:p>
    <w:p>
      <w:pPr>
        <w:pStyle w:val="ListParagraph"/>
        <w:numPr>
          <w:ilvl w:val="0"/>
          <w:numId w:val="2"/>
        </w:numPr>
        <w:spacing w:after="90"/>
      </w:pPr>
      <w:r>
        <w:rPr>
          <w:color w:val="262626"/>
          <w:sz w:val="22"/>
          <w:szCs w:val="22"/>
        </w:rPr>
        <w:t xml:space="preserve">Procesamiento o almacenamiento adicional de datos históricos de ocupación en Azure SQL Database o Azure Data Lake para análisis extendido.</w:t>
      </w:r>
    </w:p>
    <w:p>
      <w:pPr>
        <w:pStyle w:val="ListParagraph"/>
        <w:numPr>
          <w:ilvl w:val="0"/>
          <w:numId w:val="2"/>
        </w:numPr>
        <w:spacing w:after="90"/>
      </w:pPr>
      <w:r>
        <w:rPr>
          <w:color w:val="262626"/>
          <w:sz w:val="22"/>
          <w:szCs w:val="22"/>
        </w:rPr>
        <w:t xml:space="preserve">Automatización de flujos (por ejemplo, notificaciones o sincronización con sistemas de terceros) mediante Azure Logic Apps o Power Automate Premium.</w:t>
      </w:r>
    </w:p>
    <w:p>
      <w:pPr>
        <w:spacing w:after="160" w:line="276"/>
        <w:jc w:val="both"/>
      </w:pPr>
      <w:r>
        <w:rPr>
          <w:color w:val="262626"/>
          <w:sz w:val="22"/>
          <w:szCs w:val="22"/>
        </w:rPr>
        <w:t xml:space="preserve">En caso de requerirse alguno de estos escenarios opcionales, se recomienda generar una estimación específica en la Calculadora de precios de Azure (https://azure.microsoft.com/pricing/calculator/) considerando la región de despliegue del cliente. A modo de referencia, se incluye un estimado mensual preliminar (sujeto a validación en la calculadora oficial al definir el escenario):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700"/>
      </w:tblGrid>
      <w:tr>
        <w:trPr>
          <w:tblHeader/>
        </w:trPr>
        <w:tc>
          <w:tcPr>
            <w:tcW w:type="dxa" w:w="3300"/>
            <w:shd w:fill="1F3864" w:val="clear"/>
            <w:tcMar>
              <w:top w:type="dxa" w:w="80"/>
              <w:left w:type="dxa" w:w="120"/>
              <w:bottom w:type="dxa" w:w="80"/>
              <w:right w:type="dxa" w:w="120"/>
            </w:tcMar>
            <w:vAlign w:val="center"/>
          </w:tcPr>
          <w:p>
            <w:pPr>
              <w:jc w:val="left"/>
            </w:pPr>
            <w:r>
              <w:rPr>
                <w:b/>
                <w:bCs/>
                <w:color w:val="FFFFFF"/>
                <w:sz w:val="20"/>
                <w:szCs w:val="20"/>
              </w:rPr>
              <w:t xml:space="preserve">Servicio Azure (opcional)</w:t>
            </w:r>
          </w:p>
        </w:tc>
        <w:tc>
          <w:tcPr>
            <w:tcW w:type="dxa" w:w="3900"/>
            <w:shd w:fill="1F3864" w:val="clear"/>
            <w:tcMar>
              <w:top w:type="dxa" w:w="80"/>
              <w:left w:type="dxa" w:w="120"/>
              <w:bottom w:type="dxa" w:w="80"/>
              <w:right w:type="dxa" w:w="120"/>
            </w:tcMar>
            <w:vAlign w:val="center"/>
          </w:tcPr>
          <w:p>
            <w:pPr>
              <w:jc w:val="left"/>
            </w:pPr>
            <w:r>
              <w:rPr>
                <w:b/>
                <w:bCs/>
                <w:color w:val="FFFFFF"/>
                <w:sz w:val="20"/>
                <w:szCs w:val="20"/>
              </w:rPr>
              <w:t xml:space="preserve">Escenario de uso</w:t>
            </w:r>
          </w:p>
        </w:tc>
        <w:tc>
          <w:tcPr>
            <w:tcW w:type="dxa" w:w="2700"/>
            <w:shd w:fill="1F3864" w:val="clear"/>
            <w:tcMar>
              <w:top w:type="dxa" w:w="80"/>
              <w:left w:type="dxa" w:w="120"/>
              <w:bottom w:type="dxa" w:w="80"/>
              <w:right w:type="dxa" w:w="120"/>
            </w:tcMar>
            <w:vAlign w:val="center"/>
          </w:tcPr>
          <w:p>
            <w:pPr>
              <w:jc w:val="left"/>
            </w:pPr>
            <w:r>
              <w:rPr>
                <w:b/>
                <w:bCs/>
                <w:color w:val="FFFFFF"/>
                <w:sz w:val="20"/>
                <w:szCs w:val="20"/>
              </w:rPr>
              <w:t xml:space="preserve">Estimado mensual (USD, referencial)</w:t>
            </w:r>
          </w:p>
        </w:tc>
      </w:tr>
      <w:tr>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Azure IoT Hub (nivel B1)</w:t>
            </w:r>
          </w:p>
        </w:tc>
        <w:tc>
          <w:tcPr>
            <w:tcW w:type="dxa" w:w="3900"/>
            <w:tcMar>
              <w:top w:type="dxa" w:w="80"/>
              <w:left w:type="dxa" w:w="120"/>
              <w:bottom w:type="dxa" w:w="80"/>
              <w:right w:type="dxa" w:w="120"/>
            </w:tcMar>
            <w:vAlign w:val="center"/>
          </w:tcPr>
          <w:p>
            <w:pPr>
              <w:jc w:val="left"/>
            </w:pPr>
            <w:r>
              <w:rPr>
                <w:b w:val="false"/>
                <w:bCs w:val="false"/>
                <w:color w:val="262626"/>
                <w:sz w:val="20"/>
                <w:szCs w:val="20"/>
              </w:rPr>
              <w:t xml:space="preserve">Ingesta de datos de hasta 8 sensores de ocupación por edificio</w:t>
            </w:r>
          </w:p>
        </w:tc>
        <w:tc>
          <w:tcPr>
            <w:tcW w:type="dxa" w:w="2700"/>
            <w:tcMar>
              <w:top w:type="dxa" w:w="80"/>
              <w:left w:type="dxa" w:w="120"/>
              <w:bottom w:type="dxa" w:w="80"/>
              <w:right w:type="dxa" w:w="120"/>
            </w:tcMar>
            <w:vAlign w:val="center"/>
          </w:tcPr>
          <w:p>
            <w:pPr>
              <w:jc w:val="left"/>
            </w:pPr>
            <w:r>
              <w:rPr>
                <w:b w:val="false"/>
                <w:bCs w:val="false"/>
                <w:color w:val="262626"/>
                <w:sz w:val="20"/>
                <w:szCs w:val="20"/>
              </w:rPr>
              <w:t xml:space="preserve">$25 - $50</w:t>
            </w:r>
          </w:p>
        </w:tc>
      </w:tr>
      <w:tr>
        <w:tc>
          <w:tcPr>
            <w:tcW w:type="dxa" w:w="3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Azure Data Lake Storage Gen2</w:t>
            </w:r>
          </w:p>
        </w:tc>
        <w:tc>
          <w:tcPr>
            <w:tcW w:type="dxa" w:w="39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Almacenamiento histórico de datos de ocupación (Power BI)</w:t>
            </w:r>
          </w:p>
        </w:tc>
        <w:tc>
          <w:tcPr>
            <w:tcW w:type="dxa" w:w="27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$5 - $20</w:t>
            </w:r>
          </w:p>
        </w:tc>
      </w:tr>
      <w:tr>
        <w:tc>
          <w:tcPr>
            <w:tcW w:type="dxa" w:w="3300"/>
            <w:tcMar>
              <w:top w:type="dxa" w:w="80"/>
              <w:left w:type="dxa" w:w="120"/>
              <w:bottom w:type="dxa" w:w="80"/>
              <w:right w:type="dxa" w:w="120"/>
            </w:tcMar>
            <w:vAlign w:val="center"/>
          </w:tcPr>
          <w:p>
            <w:pPr>
              <w:jc w:val="left"/>
            </w:pPr>
            <w:r>
              <w:rPr>
                <w:b w:val="false"/>
                <w:bCs w:val="false"/>
                <w:color w:val="262626"/>
                <w:sz w:val="20"/>
                <w:szCs w:val="20"/>
              </w:rPr>
              <w:t xml:space="preserve">Azure Logic Apps (Consumo)</w:t>
            </w:r>
          </w:p>
        </w:tc>
        <w:tc>
          <w:tcPr>
            <w:tcW w:type="dxa" w:w="3900"/>
            <w:tcMar>
              <w:top w:type="dxa" w:w="80"/>
              <w:left w:type="dxa" w:w="120"/>
              <w:bottom w:type="dxa" w:w="80"/>
              <w:right w:type="dxa" w:w="120"/>
            </w:tcMar>
            <w:vAlign w:val="center"/>
          </w:tcPr>
          <w:p>
            <w:pPr>
              <w:jc w:val="left"/>
            </w:pPr>
            <w:r>
              <w:rPr>
                <w:b w:val="false"/>
                <w:bCs w:val="false"/>
                <w:color w:val="262626"/>
                <w:sz w:val="20"/>
                <w:szCs w:val="20"/>
              </w:rPr>
              <w:t xml:space="preserve">Automatización de notificaciones de reservación/liberación</w:t>
            </w:r>
          </w:p>
        </w:tc>
        <w:tc>
          <w:tcPr>
            <w:tcW w:type="dxa" w:w="2700"/>
            <w:tcMar>
              <w:top w:type="dxa" w:w="80"/>
              <w:left w:type="dxa" w:w="120"/>
              <w:bottom w:type="dxa" w:w="80"/>
              <w:right w:type="dxa" w:w="120"/>
            </w:tcMar>
            <w:vAlign w:val="center"/>
          </w:tcPr>
          <w:p>
            <w:pPr>
              <w:jc w:val="left"/>
            </w:pPr>
            <w:r>
              <w:rPr>
                <w:b w:val="false"/>
                <w:bCs w:val="false"/>
                <w:color w:val="262626"/>
                <w:sz w:val="20"/>
                <w:szCs w:val="20"/>
              </w:rPr>
              <w:t xml:space="preserve">$10 - $30</w:t>
            </w:r>
          </w:p>
        </w:tc>
      </w:tr>
    </w:tbl>
    <w:p>
      <w:pPr>
        <w:spacing w:before="200"/>
      </w:pPr>
    </w:p>
    <w:p>
      <w:pPr>
        <w:spacing w:after="160" w:line="276"/>
        <w:jc w:val="both"/>
      </w:pPr>
      <w:r>
        <w:rPr>
          <w:color w:val="262626"/>
          <w:sz w:val="22"/>
          <w:szCs w:val="22"/>
        </w:rPr>
        <w:t xml:space="preserve">Nota: estos montos son referenciales y no sustituyen una cotización formal. No aplican si el cliente no requiere integraciones IoT/analítica extendida, en cuyo caso el costo de infraestructura Azure para este proyecto es de $0 USD, dado que Places opera de forma nativa sobre el tenant de Microsoft 365.</w:t>
      </w:r>
    </w:p>
    <w:p>
      <w:pPr>
        <w:pStyle w:val="Heading1"/>
        <w:pBdr>
          <w:bottom w:val="single" w:color="2E5395" w:sz="8" w:space="4"/>
        </w:pBdr>
        <w:spacing w:after="200" w:before="360"/>
      </w:pPr>
      <w:r>
        <w:rPr>
          <w:b/>
          <w:bCs/>
          <w:color w:val="1F3864"/>
          <w:sz w:val="30"/>
          <w:szCs w:val="30"/>
        </w:rPr>
        <w:t xml:space="preserve">11. Cronograma Propuesto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19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Fase</w:t>
            </w:r>
          </w:p>
        </w:tc>
        <w:tc>
          <w:tcPr>
            <w:tcW w:type="dxa" w:w="4300"/>
            <w:shd w:fill="1F3864" w:val="clear"/>
            <w:tcMar>
              <w:top w:type="dxa" w:w="80"/>
              <w:left w:type="dxa" w:w="120"/>
              <w:bottom w:type="dxa" w:w="80"/>
              <w:right w:type="dxa" w:w="120"/>
            </w:tcMar>
            <w:vAlign w:val="center"/>
          </w:tcPr>
          <w:p>
            <w:pPr>
              <w:jc w:val="left"/>
            </w:pPr>
            <w:r>
              <w:rPr>
                <w:b/>
                <w:bCs/>
                <w:color w:val="FFFFFF"/>
                <w:sz w:val="20"/>
                <w:szCs w:val="20"/>
              </w:rPr>
              <w:t xml:space="preserve">Actividades principales</w:t>
            </w:r>
          </w:p>
        </w:tc>
        <w:tc>
          <w:tcPr>
            <w:tcW w:type="dxa" w:w="1900"/>
            <w:shd w:fill="1F3864" w:val="clear"/>
            <w:tcMar>
              <w:top w:type="dxa" w:w="80"/>
              <w:left w:type="dxa" w:w="120"/>
              <w:bottom w:type="dxa" w:w="80"/>
              <w:right w:type="dxa" w:w="120"/>
            </w:tcMar>
            <w:vAlign w:val="center"/>
          </w:tcPr>
          <w:p>
            <w:pPr>
              <w:jc w:val="left"/>
            </w:pPr>
            <w:r>
              <w:rPr>
                <w:b/>
                <w:bCs/>
                <w:color w:val="FFFFFF"/>
                <w:sz w:val="20"/>
                <w:szCs w:val="20"/>
              </w:rPr>
              <w:t xml:space="preserve">Duración estimada</w:t>
            </w:r>
          </w:p>
        </w:tc>
      </w:tr>
      <w:tr>
        <w:tc>
          <w:tcPr>
            <w:tcW w:type="dxa" w:w="3200"/>
            <w:tcMar>
              <w:top w:type="dxa" w:w="80"/>
              <w:left w:type="dxa" w:w="120"/>
              <w:bottom w:type="dxa" w:w="80"/>
              <w:right w:type="dxa" w:w="120"/>
            </w:tcMar>
            <w:vAlign w:val="center"/>
          </w:tcPr>
          <w:p>
            <w:pPr>
              <w:jc w:val="left"/>
            </w:pPr>
            <w:r>
              <w:rPr>
                <w:b w:val="false"/>
                <w:bCs w:val="false"/>
                <w:color w:val="262626"/>
                <w:sz w:val="20"/>
                <w:szCs w:val="20"/>
              </w:rPr>
              <w:t xml:space="preserve">1. Descubrimiento y diseño</w:t>
            </w:r>
          </w:p>
        </w:tc>
        <w:tc>
          <w:tcPr>
            <w:tcW w:type="dxa" w:w="4300"/>
            <w:tcMar>
              <w:top w:type="dxa" w:w="80"/>
              <w:left w:type="dxa" w:w="120"/>
              <w:bottom w:type="dxa" w:w="80"/>
              <w:right w:type="dxa" w:w="120"/>
            </w:tcMar>
            <w:vAlign w:val="center"/>
          </w:tcPr>
          <w:p>
            <w:pPr>
              <w:jc w:val="left"/>
            </w:pPr>
            <w:r>
              <w:rPr>
                <w:b w:val="false"/>
                <w:bCs w:val="false"/>
                <w:color w:val="262626"/>
                <w:sz w:val="20"/>
                <w:szCs w:val="20"/>
              </w:rPr>
              <w:t xml:space="preserve">Levantamiento de requerimientos, inventario de espacios, diseño de jerarquía</w:t>
            </w:r>
          </w:p>
        </w:tc>
        <w:tc>
          <w:tcPr>
            <w:tcW w:type="dxa" w:w="1900"/>
            <w:tcMar>
              <w:top w:type="dxa" w:w="80"/>
              <w:left w:type="dxa" w:w="120"/>
              <w:bottom w:type="dxa" w:w="80"/>
              <w:right w:type="dxa" w:w="120"/>
            </w:tcMar>
            <w:vAlign w:val="center"/>
          </w:tcPr>
          <w:p>
            <w:pPr>
              <w:jc w:val="left"/>
            </w:pPr>
            <w:r>
              <w:rPr>
                <w:b w:val="false"/>
                <w:bCs w:val="false"/>
                <w:color w:val="262626"/>
                <w:sz w:val="20"/>
                <w:szCs w:val="20"/>
              </w:rPr>
              <w:t xml:space="preserve">1 - 2 semanas</w:t>
            </w:r>
          </w:p>
        </w:tc>
      </w:tr>
      <w:tr>
        <w:tc>
          <w:tcPr>
            <w:tcW w:type="dxa" w:w="32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2. Configuración</w:t>
            </w:r>
          </w:p>
        </w:tc>
        <w:tc>
          <w:tcPr>
            <w:tcW w:type="dxa" w:w="4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Configuración de Exchange Online, jerarquía en Places, planos, políticas</w:t>
            </w:r>
          </w:p>
        </w:tc>
        <w:tc>
          <w:tcPr>
            <w:tcW w:type="dxa" w:w="19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2 - 3 semanas</w:t>
            </w:r>
          </w:p>
        </w:tc>
      </w:tr>
      <w:tr>
        <w:tc>
          <w:tcPr>
            <w:tcW w:type="dxa" w:w="3200"/>
            <w:tcMar>
              <w:top w:type="dxa" w:w="80"/>
              <w:left w:type="dxa" w:w="120"/>
              <w:bottom w:type="dxa" w:w="80"/>
              <w:right w:type="dxa" w:w="120"/>
            </w:tcMar>
            <w:vAlign w:val="center"/>
          </w:tcPr>
          <w:p>
            <w:pPr>
              <w:jc w:val="left"/>
            </w:pPr>
            <w:r>
              <w:rPr>
                <w:b w:val="false"/>
                <w:bCs w:val="false"/>
                <w:color w:val="262626"/>
                <w:sz w:val="20"/>
                <w:szCs w:val="20"/>
              </w:rPr>
              <w:t xml:space="preserve">3. Licenciamiento</w:t>
            </w:r>
          </w:p>
        </w:tc>
        <w:tc>
          <w:tcPr>
            <w:tcW w:type="dxa" w:w="4300"/>
            <w:tcMar>
              <w:top w:type="dxa" w:w="80"/>
              <w:left w:type="dxa" w:w="120"/>
              <w:bottom w:type="dxa" w:w="80"/>
              <w:right w:type="dxa" w:w="120"/>
            </w:tcMar>
            <w:vAlign w:val="center"/>
          </w:tcPr>
          <w:p>
            <w:pPr>
              <w:jc w:val="left"/>
            </w:pPr>
            <w:r>
              <w:rPr>
                <w:b w:val="false"/>
                <w:bCs w:val="false"/>
                <w:color w:val="262626"/>
                <w:sz w:val="20"/>
                <w:szCs w:val="20"/>
              </w:rPr>
              <w:t xml:space="preserve">Análisis y asignación de licencias core / Shared Space</w:t>
            </w:r>
          </w:p>
        </w:tc>
        <w:tc>
          <w:tcPr>
            <w:tcW w:type="dxa" w:w="1900"/>
            <w:tcMar>
              <w:top w:type="dxa" w:w="80"/>
              <w:left w:type="dxa" w:w="120"/>
              <w:bottom w:type="dxa" w:w="80"/>
              <w:right w:type="dxa" w:w="120"/>
            </w:tcMar>
            <w:vAlign w:val="center"/>
          </w:tcPr>
          <w:p>
            <w:pPr>
              <w:jc w:val="left"/>
            </w:pPr>
            <w:r>
              <w:rPr>
                <w:b w:val="false"/>
                <w:bCs w:val="false"/>
                <w:color w:val="262626"/>
                <w:sz w:val="20"/>
                <w:szCs w:val="20"/>
              </w:rPr>
              <w:t xml:space="preserve">1 semana (en paralelo)</w:t>
            </w:r>
          </w:p>
        </w:tc>
      </w:tr>
      <w:tr>
        <w:tc>
          <w:tcPr>
            <w:tcW w:type="dxa" w:w="32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4. Pruebas y validación</w:t>
            </w:r>
          </w:p>
        </w:tc>
        <w:tc>
          <w:tcPr>
            <w:tcW w:type="dxa" w:w="4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Pruebas funcionales con usuarios piloto</w:t>
            </w:r>
          </w:p>
        </w:tc>
        <w:tc>
          <w:tcPr>
            <w:tcW w:type="dxa" w:w="19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1 semana</w:t>
            </w:r>
          </w:p>
        </w:tc>
      </w:tr>
      <w:tr>
        <w:tc>
          <w:tcPr>
            <w:tcW w:type="dxa" w:w="3200"/>
            <w:tcMar>
              <w:top w:type="dxa" w:w="80"/>
              <w:left w:type="dxa" w:w="120"/>
              <w:bottom w:type="dxa" w:w="80"/>
              <w:right w:type="dxa" w:w="120"/>
            </w:tcMar>
            <w:vAlign w:val="center"/>
          </w:tcPr>
          <w:p>
            <w:pPr>
              <w:jc w:val="left"/>
            </w:pPr>
            <w:r>
              <w:rPr>
                <w:b w:val="false"/>
                <w:bCs w:val="false"/>
                <w:color w:val="262626"/>
                <w:sz w:val="20"/>
                <w:szCs w:val="20"/>
              </w:rPr>
              <w:t xml:space="preserve">5. Capacitación y Go-Live</w:t>
            </w:r>
          </w:p>
        </w:tc>
        <w:tc>
          <w:tcPr>
            <w:tcW w:type="dxa" w:w="4300"/>
            <w:tcMar>
              <w:top w:type="dxa" w:w="80"/>
              <w:left w:type="dxa" w:w="120"/>
              <w:bottom w:type="dxa" w:w="80"/>
              <w:right w:type="dxa" w:w="120"/>
            </w:tcMar>
            <w:vAlign w:val="center"/>
          </w:tcPr>
          <w:p>
            <w:pPr>
              <w:jc w:val="left"/>
            </w:pPr>
            <w:r>
              <w:rPr>
                <w:b w:val="false"/>
                <w:bCs w:val="false"/>
                <w:color w:val="262626"/>
                <w:sz w:val="20"/>
                <w:szCs w:val="20"/>
              </w:rPr>
              <w:t xml:space="preserve">Sesiones de capacitación, habilitación general</w:t>
            </w:r>
          </w:p>
        </w:tc>
        <w:tc>
          <w:tcPr>
            <w:tcW w:type="dxa" w:w="1900"/>
            <w:tcMar>
              <w:top w:type="dxa" w:w="80"/>
              <w:left w:type="dxa" w:w="120"/>
              <w:bottom w:type="dxa" w:w="80"/>
              <w:right w:type="dxa" w:w="120"/>
            </w:tcMar>
            <w:vAlign w:val="center"/>
          </w:tcPr>
          <w:p>
            <w:pPr>
              <w:jc w:val="left"/>
            </w:pPr>
            <w:r>
              <w:rPr>
                <w:b w:val="false"/>
                <w:bCs w:val="false"/>
                <w:color w:val="262626"/>
                <w:sz w:val="20"/>
                <w:szCs w:val="20"/>
              </w:rPr>
              <w:t xml:space="preserve">1 semana</w:t>
            </w:r>
          </w:p>
        </w:tc>
      </w:tr>
      <w:tr>
        <w:tc>
          <w:tcPr>
            <w:tcW w:type="dxa" w:w="32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6. Estabilización</w:t>
            </w:r>
          </w:p>
        </w:tc>
        <w:tc>
          <w:tcPr>
            <w:tcW w:type="dxa" w:w="43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Acompañamiento post Go-Live y cierre del proyecto</w:t>
            </w:r>
          </w:p>
        </w:tc>
        <w:tc>
          <w:tcPr>
            <w:tcW w:type="dxa" w:w="1900"/>
            <w:shd w:fill="F2F2F2" w:val="clear"/>
            <w:tcMar>
              <w:top w:type="dxa" w:w="80"/>
              <w:left w:type="dxa" w:w="120"/>
              <w:bottom w:type="dxa" w:w="80"/>
              <w:right w:type="dxa" w:w="120"/>
            </w:tcMar>
            <w:vAlign w:val="center"/>
          </w:tcPr>
          <w:p>
            <w:pPr>
              <w:jc w:val="left"/>
            </w:pPr>
            <w:r>
              <w:rPr>
                <w:b w:val="false"/>
                <w:bCs w:val="false"/>
                <w:color w:val="262626"/>
                <w:sz w:val="20"/>
                <w:szCs w:val="20"/>
              </w:rPr>
              <w:t xml:space="preserve">2 semanas</w:t>
            </w:r>
          </w:p>
        </w:tc>
      </w:tr>
    </w:tbl>
    <w:p>
      <w:pPr>
        <w:pStyle w:val="Heading1"/>
        <w:pBdr>
          <w:bottom w:val="single" w:color="2E5395" w:sz="8" w:space="4"/>
        </w:pBdr>
        <w:spacing w:after="200" w:before="360"/>
      </w:pPr>
      <w:r>
        <w:rPr>
          <w:b/>
          <w:bCs/>
          <w:color w:val="1F3864"/>
          <w:sz w:val="30"/>
          <w:szCs w:val="30"/>
        </w:rPr>
        <w:t xml:space="preserve">12. Entregables</w:t>
      </w:r>
    </w:p>
    <w:p>
      <w:pPr>
        <w:pStyle w:val="ListParagraph"/>
        <w:numPr>
          <w:ilvl w:val="0"/>
          <w:numId w:val="2"/>
        </w:numPr>
        <w:spacing w:after="90"/>
      </w:pPr>
      <w:r>
        <w:rPr>
          <w:color w:val="262626"/>
          <w:sz w:val="22"/>
          <w:szCs w:val="22"/>
        </w:rPr>
        <w:t xml:space="preserve">Documento de diseño de la solución (jerarquía de espacios y políticas configuradas).</w:t>
      </w:r>
    </w:p>
    <w:p>
      <w:pPr>
        <w:pStyle w:val="ListParagraph"/>
        <w:numPr>
          <w:ilvl w:val="0"/>
          <w:numId w:val="2"/>
        </w:numPr>
        <w:spacing w:after="90"/>
      </w:pPr>
      <w:r>
        <w:rPr>
          <w:color w:val="262626"/>
          <w:sz w:val="22"/>
          <w:szCs w:val="22"/>
        </w:rPr>
        <w:t xml:space="preserve">Tenant configurado con Microsoft Places operativo (Finder, Explorer, Analytics).</w:t>
      </w:r>
    </w:p>
    <w:p>
      <w:pPr>
        <w:pStyle w:val="ListParagraph"/>
        <w:numPr>
          <w:ilvl w:val="0"/>
          <w:numId w:val="2"/>
        </w:numPr>
        <w:spacing w:after="90"/>
      </w:pPr>
      <w:r>
        <w:rPr>
          <w:color w:val="262626"/>
          <w:sz w:val="22"/>
          <w:szCs w:val="22"/>
        </w:rPr>
        <w:t xml:space="preserve">Reporte de recomendación de licenciamiento (core vs. Shared Space) con dimensionamiento.</w:t>
      </w:r>
    </w:p>
    <w:p>
      <w:pPr>
        <w:pStyle w:val="ListParagraph"/>
        <w:numPr>
          <w:ilvl w:val="0"/>
          <w:numId w:val="2"/>
        </w:numPr>
        <w:spacing w:after="90"/>
      </w:pPr>
      <w:r>
        <w:rPr>
          <w:color w:val="262626"/>
          <w:sz w:val="22"/>
          <w:szCs w:val="22"/>
        </w:rPr>
        <w:t xml:space="preserve">Manual de administración de la solución.</w:t>
      </w:r>
    </w:p>
    <w:p>
      <w:pPr>
        <w:pStyle w:val="ListParagraph"/>
        <w:numPr>
          <w:ilvl w:val="0"/>
          <w:numId w:val="2"/>
        </w:numPr>
        <w:spacing w:after="90"/>
      </w:pPr>
      <w:r>
        <w:rPr>
          <w:color w:val="262626"/>
          <w:sz w:val="22"/>
          <w:szCs w:val="22"/>
        </w:rPr>
        <w:t xml:space="preserve">Material y evidencia de capacitación a usuarios finales y administradores.</w:t>
      </w:r>
    </w:p>
    <w:p>
      <w:pPr>
        <w:pStyle w:val="ListParagraph"/>
        <w:numPr>
          <w:ilvl w:val="0"/>
          <w:numId w:val="2"/>
        </w:numPr>
        <w:spacing w:after="90"/>
      </w:pPr>
      <w:r>
        <w:rPr>
          <w:color w:val="262626"/>
          <w:sz w:val="22"/>
          <w:szCs w:val="22"/>
        </w:rPr>
        <w:t xml:space="preserve">Acta de cierre / aceptación del servicio.</w:t>
      </w:r>
    </w:p>
    <w:p>
      <w:pPr>
        <w:pStyle w:val="Heading1"/>
        <w:pBdr>
          <w:bottom w:val="single" w:color="2E5395" w:sz="8" w:space="4"/>
        </w:pBdr>
        <w:spacing w:after="200" w:before="360"/>
      </w:pPr>
      <w:r>
        <w:rPr>
          <w:b/>
          <w:bCs/>
          <w:color w:val="1F3864"/>
          <w:sz w:val="30"/>
          <w:szCs w:val="30"/>
        </w:rPr>
        <w:t xml:space="preserve">13. Condiciones Comerciales y Vigencia</w:t>
      </w:r>
    </w:p>
    <w:p>
      <w:pPr>
        <w:pStyle w:val="ListParagraph"/>
        <w:numPr>
          <w:ilvl w:val="0"/>
          <w:numId w:val="2"/>
        </w:numPr>
        <w:spacing w:after="90"/>
      </w:pPr>
      <w:r>
        <w:rPr>
          <w:color w:val="262626"/>
          <w:sz w:val="22"/>
          <w:szCs w:val="22"/>
        </w:rPr>
        <w:t xml:space="preserve">Esta propuesta tiene una vigencia de 30 días naturales a partir de su fecha de emisión.</w:t>
      </w:r>
    </w:p>
    <w:p>
      <w:pPr>
        <w:pStyle w:val="ListParagraph"/>
        <w:numPr>
          <w:ilvl w:val="0"/>
          <w:numId w:val="2"/>
        </w:numPr>
        <w:spacing w:after="90"/>
      </w:pPr>
      <w:r>
        <w:rPr>
          <w:color w:val="262626"/>
          <w:sz w:val="22"/>
          <w:szCs w:val="22"/>
        </w:rPr>
        <w:t xml:space="preserve">Los precios y esfuerzo estimado están sujetos a validación final tras el levantamiento detallado de requerimientos (Fase 1).</w:t>
      </w:r>
    </w:p>
    <w:p>
      <w:pPr>
        <w:pStyle w:val="ListParagraph"/>
        <w:numPr>
          <w:ilvl w:val="0"/>
          <w:numId w:val="2"/>
        </w:numPr>
        <w:spacing w:after="90"/>
      </w:pPr>
      <w:r>
        <w:rPr>
          <w:color w:val="262626"/>
          <w:sz w:val="22"/>
          <w:szCs w:val="22"/>
        </w:rPr>
        <w:t xml:space="preserve">Cualquier alcance adicional no contemplado en la sección 4 será formalizado mediante una orden de cambio (change request).</w:t>
      </w:r>
    </w:p>
    <w:p>
      <w:pPr>
        <w:pStyle w:val="ListParagraph"/>
        <w:numPr>
          <w:ilvl w:val="0"/>
          <w:numId w:val="2"/>
        </w:numPr>
        <w:spacing w:after="90"/>
      </w:pPr>
      <w:r>
        <w:rPr>
          <w:color w:val="262626"/>
          <w:sz w:val="22"/>
          <w:szCs w:val="22"/>
        </w:rPr>
        <w:t xml:space="preserve">El presente documento es de carácter confidencial y para uso exclusivo de [Nombre del Cliente].</w:t>
      </w:r>
    </w:p>
    <w:p>
      <w:pPr>
        <w:spacing w:before="400"/>
      </w:pPr>
    </w:p>
    <w:p>
      <w:pPr>
        <w:pBdr>
          <w:bottom w:val="single" w:color="BFBFBF" w:sz="6" w:space="1"/>
        </w:pBdr>
        <w:spacing w:after="200" w:before="100"/>
      </w:pPr>
    </w:p>
    <w:p>
      <w:pPr>
        <w:spacing w:after="160" w:line="276"/>
        <w:jc w:val="both"/>
      </w:pPr>
      <w:r>
        <w:rPr>
          <w:i/>
          <w:iCs/>
          <w:color w:val="262626"/>
          <w:sz w:val="22"/>
          <w:szCs w:val="22"/>
        </w:rPr>
        <w:t xml:space="preserve">Quedamos atentos a sus comentarios para agendar una sesión de revisión de la presente propuesta.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Propuesta de Servicio · Microsoft Places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2026-08-07T04:02:28.810Z</dcterms:created>
  <dcterms:modified xsi:type="dcterms:W3CDTF">2026-08-07T04:02:28.844Z</dcterms:modified>
</cp:coreProperties>
</file>

<file path=docProps/custom.xml><?xml version="1.0" encoding="utf-8"?>
<Properties xmlns="http://schemas.openxmlformats.org/officeDocument/2006/custom-properties" xmlns:vt="http://schemas.openxmlformats.org/officeDocument/2006/docPropsVTypes"/>
</file>