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Voy a verificar un par de puntos técnicos específicos (SLA, comportamiento del cambio de tier, e inmutabilidad) antes de darte la validación final, para asegurarme de que la respuesta esté 100% alineada con el comportamiento actual de Azure.</w:t>
      </w:r>
    </w:p>
    <w:p w:rsidR="00000000" w:rsidDel="00000000" w:rsidP="00000000" w:rsidRDefault="00000000" w:rsidRPr="00000000" w14:paraId="00000002">
      <w:pPr>
        <w:rPr/>
      </w:pPr>
      <w:r w:rsidDel="00000000" w:rsidR="00000000" w:rsidRPr="00000000">
        <w:rPr>
          <w:rtl w:val="0"/>
        </w:rPr>
        <w:t xml:space="preserve">Compiló lista de validación exhaustiva para migración sin riesgos</w:t>
      </w:r>
    </w:p>
    <w:p w:rsidR="00000000" w:rsidDel="00000000" w:rsidP="00000000" w:rsidRDefault="00000000" w:rsidRPr="00000000" w14:paraId="00000003">
      <w:pPr>
        <w:rPr/>
      </w:pPr>
      <w:r w:rsidDel="00000000" w:rsidR="00000000" w:rsidRPr="00000000">
        <w:rPr>
          <w:rtl w:val="0"/>
        </w:rPr>
        <w:t xml:space="preserve">Compiló lista de validación exhaustiva para migración sin riesgos</w:t>
      </w:r>
    </w:p>
    <w:p w:rsidR="00000000" w:rsidDel="00000000" w:rsidP="00000000" w:rsidRDefault="00000000" w:rsidRPr="00000000" w14:paraId="00000004">
      <w:pPr>
        <w:spacing w:after="240" w:before="240" w:lineRule="auto"/>
        <w:rPr/>
      </w:pPr>
      <w:r w:rsidDel="00000000" w:rsidR="00000000" w:rsidRPr="00000000">
        <w:rPr>
          <w:rtl w:val="0"/>
        </w:rPr>
        <w:t xml:space="preserve">Con gusto, aquí tienes la validación específica a tus tres preguntas, más algunos puntos adicionales que vale la pena confirmar antes de mañana.</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4voy95hdhyt" w:id="0"/>
      <w:bookmarkEnd w:id="0"/>
      <w:r w:rsidDel="00000000" w:rsidR="00000000" w:rsidRPr="00000000">
        <w:rPr>
          <w:b w:val="1"/>
          <w:bCs w:val="1"/>
          <w:color w:val="000000"/>
          <w:sz w:val="26"/>
          <w:szCs w:val="26"/>
          <w:rtl w:val="0"/>
        </w:rPr>
        <w:t xml:space="preserve">Respuesta directa a tus 3 preguntas</w:t>
      </w:r>
    </w:p>
    <w:p w:rsidR="00000000" w:rsidDel="00000000" w:rsidP="00000000" w:rsidRDefault="00000000" w:rsidRPr="00000000" w14:paraId="00000006">
      <w:pPr>
        <w:spacing w:after="240" w:before="240" w:lineRule="auto"/>
        <w:rPr>
          <w:color w:val="1155cc"/>
          <w:u w:val="single"/>
        </w:rPr>
      </w:pPr>
      <w:r w:rsidDel="00000000" w:rsidR="00000000" w:rsidRPr="00000000">
        <w:rPr>
          <w:b w:val="1"/>
          <w:bCs w:val="1"/>
          <w:rtl w:val="0"/>
        </w:rPr>
        <w:t xml:space="preserve">¿Se pierde información?</w:t>
      </w:r>
      <w:r w:rsidDel="00000000" w:rsidR="00000000" w:rsidRPr="00000000">
        <w:rPr>
          <w:rtl w:val="0"/>
        </w:rPr>
        <w:t xml:space="preserve"> No. Cambiar el tier de un blob de un tier más caliente a uno más frío es instantáneo, igual que cambiar de cold o cool a hot. Es una operación de metadatos sobre el objeto existente — el contenido (los bytes) nunca se toca, se copia ni se reescribe. No hay ventana en la que el dato "no exista".</w:t>
      </w:r>
      <w:hyperlink r:id="rId6">
        <w:r w:rsidDel="00000000" w:rsidR="00000000" w:rsidRPr="00000000">
          <w:rPr>
            <w:rtl w:val="0"/>
          </w:rPr>
          <w:t xml:space="preserve"> </w:t>
        </w:r>
      </w:hyperlink>
      <w:hyperlink r:id="rId7">
        <w:r w:rsidDel="00000000" w:rsidR="00000000" w:rsidRPr="00000000">
          <w:rPr>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¿Se requiere ventana de mantenimiento?</w:t>
      </w:r>
      <w:r w:rsidDel="00000000" w:rsidR="00000000" w:rsidRPr="00000000">
        <w:rPr>
          <w:rtl w:val="0"/>
        </w:rPr>
        <w:t xml:space="preserve"> No es necesaria. La operación no reinicia el storage account, no cambia endpoints, URLs, claves de acceso ni configuración de red. No hay ningún componente que necesite "reiniciarse" para que el cambio surta efecto.</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¿Hay indisponibilidad o cortes del servicio?</w:t>
      </w:r>
      <w:r w:rsidDel="00000000" w:rsidR="00000000" w:rsidRPr="00000000">
        <w:rPr>
          <w:rFonts w:ascii="Arial Unicode MS" w:cs="Arial Unicode MS" w:eastAsia="Arial Unicode MS" w:hAnsi="Arial Unicode MS"/>
          <w:rtl w:val="0"/>
        </w:rPr>
        <w:t xml:space="preserve"> No. A diferencia de Archive (que sí requiere rehidratación de hasta 15 horas), el cambio Hot↔Cool es síncrono e inmediato — el blob sigue siendo legible y escribible durante y después del cambio, sin interrupciones ni latencia adicional perceptible para las aplicaciones que consumen esos datos.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g466bjtxnuxj" w:id="1"/>
      <w:bookmarkEnd w:id="1"/>
      <w:r w:rsidDel="00000000" w:rsidR="00000000" w:rsidRPr="00000000">
        <w:rPr>
          <w:b w:val="1"/>
          <w:bCs w:val="1"/>
          <w:color w:val="000000"/>
          <w:sz w:val="26"/>
          <w:szCs w:val="26"/>
          <w:rtl w:val="0"/>
        </w:rPr>
        <w:t xml:space="preserve">Puntos adicionales que sí vale la pena confirmar antes de ejecutar (no estaban explícitos en el documento original)</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Tipo de cuenta de storage</w:t>
      </w:r>
      <w:r w:rsidDel="00000000" w:rsidR="00000000" w:rsidRPr="00000000">
        <w:rPr>
          <w:rtl w:val="0"/>
        </w:rPr>
        <w:t xml:space="preserve"> — Este procedimiento (Set Blob Tier / Lifecycle Management) aplica a cuentas </w:t>
      </w:r>
      <w:r w:rsidDel="00000000" w:rsidR="00000000" w:rsidRPr="00000000">
        <w:rPr>
          <w:b w:val="1"/>
          <w:bCs w:val="1"/>
          <w:rtl w:val="0"/>
        </w:rPr>
        <w:t xml:space="preserve">Standard GPv2</w:t>
      </w:r>
      <w:r w:rsidDel="00000000" w:rsidR="00000000" w:rsidRPr="00000000">
        <w:rPr>
          <w:rtl w:val="0"/>
        </w:rPr>
        <w:t xml:space="preserve">. Si la cuenta fuera </w:t>
      </w:r>
      <w:r w:rsidDel="00000000" w:rsidR="00000000" w:rsidRPr="00000000">
        <w:rPr>
          <w:b w:val="1"/>
          <w:bCs w:val="1"/>
          <w:rtl w:val="0"/>
        </w:rPr>
        <w:t xml:space="preserve">Premium Block Blob</w:t>
      </w:r>
      <w:r w:rsidDel="00000000" w:rsidR="00000000" w:rsidRPr="00000000">
        <w:rPr>
          <w:rtl w:val="0"/>
        </w:rPr>
        <w:t xml:space="preserve">, no se puede re-tierizar con este método; se necesitaría copiar los blobs a otra cuenta. Confirma con el cliente qué tipo de cuenta es antes de mañana.</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Aplicaciones que suben/sobrescriben blobs durante la migración</w:t>
      </w:r>
      <w:r w:rsidDel="00000000" w:rsidR="00000000" w:rsidRPr="00000000">
        <w:rPr>
          <w:rtl w:val="0"/>
        </w:rPr>
        <w:t xml:space="preserve"> — Si algún proceso hace overwrite de un blob con tier explícito codificado en la app (ej. fuerza "Hot" en el request de subida), ese blob puede regresar a Hot después de que la regla de Lifecycle ya lo movió. No es pérdida de datos ni corte, pero puede generar inconsistencia de costos. Vale confirmar si hay procesos activos escribiendo sobre esos 30 TB durante la ventana de migración.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Event Grid / automatizaciones dependientes de eventos de blob</w:t>
      </w:r>
      <w:r w:rsidDel="00000000" w:rsidR="00000000" w:rsidRPr="00000000">
        <w:rPr>
          <w:rtl w:val="0"/>
        </w:rPr>
        <w:t xml:space="preserve"> — Si existen suscripciones a eventos tipo </w:t>
      </w:r>
      <w:r w:rsidDel="00000000" w:rsidR="00000000" w:rsidRPr="00000000">
        <w:rPr>
          <w:rFonts w:ascii="Roboto Mono" w:cs="Roboto Mono" w:eastAsia="Roboto Mono" w:hAnsi="Roboto Mono"/>
          <w:color w:val="188038"/>
          <w:rtl w:val="0"/>
        </w:rPr>
        <w:t xml:space="preserve">BlobTierChanged</w:t>
      </w:r>
      <w:r w:rsidDel="00000000" w:rsidR="00000000" w:rsidRPr="00000000">
        <w:rPr>
          <w:rtl w:val="0"/>
        </w:rPr>
        <w:t xml:space="preserve"> u otras automatizaciones (Logic Apps, Functions) que reaccionen a cambios de propiedades del blob, podrían dispararse en cascada durante la migración masiva. Vale la pena revisar si existen antes de lanzar la regla.</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Throttling / límites de transacciones</w:t>
      </w:r>
      <w:r w:rsidDel="00000000" w:rsidR="00000000" w:rsidRPr="00000000">
        <w:rPr>
          <w:rtl w:val="0"/>
        </w:rPr>
        <w:t xml:space="preserve"> — Aunque Lifecycle Management lo maneja Azure internamente de forma paginada (por eso se recomienda sobre un script manual masivo), en cuentas con mucha actividad concurrente es buena práctica monitorear el storage account durante el proceso (métricas de "Success E2E Latency" y "Throttling errors") solo para tener visibilidad, no porque se espere un problema.</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Immutabilidad / Legal hold (si aplica)</w:t>
      </w:r>
      <w:r w:rsidDel="00000000" w:rsidR="00000000" w:rsidRPr="00000000">
        <w:rPr>
          <w:rtl w:val="0"/>
        </w:rPr>
        <w:t xml:space="preserve"> — Si algún contenedor tiene políticas WORM o legal hold, no hay problema: todos los tiers de acceso soportan almacenamiento inmutable y se puede cambiar el tier de un blob con la operación Set Blob Tier sin que esto viole la política. Solo aplica como dato informativo, no como bloqueo.</w:t>
      </w:r>
      <w:hyperlink r:id="rId8">
        <w:r w:rsidDel="00000000" w:rsidR="00000000" w:rsidRPr="00000000">
          <w:rPr>
            <w:rtl w:val="0"/>
          </w:rPr>
          <w:t xml:space="preserve"> </w:t>
        </w:r>
      </w:hyperlink>
      <w:hyperlink r:id="rId9">
        <w:r w:rsidDel="00000000" w:rsidR="00000000" w:rsidRPr="00000000">
          <w:rPr>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SLA (nota informativa, no riesgo operativo)</w:t>
      </w:r>
      <w:r w:rsidDel="00000000" w:rsidR="00000000" w:rsidRPr="00000000">
        <w:rPr>
          <w:rtl w:val="0"/>
        </w:rPr>
        <w:t xml:space="preserve"> — El SLA de disponibilidad de lectura en Cool es ligeramente distinto al de Hot dependiendo de la redundancia configurada (LRS/GRS/RA-GRS). No implica downtime durante la migración, pero es bueno que el cliente lo tenga presente como parte del "nuevo esquema" a futuro, no como parte del evento de mañana.</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2wnm9t42c50u" w:id="2"/>
      <w:bookmarkEnd w:id="2"/>
      <w:r w:rsidDel="00000000" w:rsidR="00000000" w:rsidRPr="00000000">
        <w:rPr>
          <w:b w:val="1"/>
          <w:bCs w:val="1"/>
          <w:color w:val="000000"/>
          <w:sz w:val="26"/>
          <w:szCs w:val="26"/>
          <w:rtl w:val="0"/>
        </w:rPr>
        <w:t xml:space="preserve">Conclusión para mañana</w:t>
      </w:r>
    </w:p>
    <w:p w:rsidR="00000000" w:rsidDel="00000000" w:rsidP="00000000" w:rsidRDefault="00000000" w:rsidRPr="00000000" w14:paraId="00000011">
      <w:pPr>
        <w:spacing w:after="240" w:before="240" w:lineRule="auto"/>
        <w:rPr/>
      </w:pPr>
      <w:r w:rsidDel="00000000" w:rsidR="00000000" w:rsidRPr="00000000">
        <w:rPr>
          <w:rtl w:val="0"/>
        </w:rPr>
        <w:t xml:space="preserve">El proceso tal como está documentado es </w:t>
      </w:r>
      <w:r w:rsidDel="00000000" w:rsidR="00000000" w:rsidRPr="00000000">
        <w:rPr>
          <w:b w:val="1"/>
          <w:bCs w:val="1"/>
          <w:rtl w:val="0"/>
        </w:rPr>
        <w:t xml:space="preserve">seguro para ejecutarse en horario laboral, sin ventana de mantenimiento, sin downtime y sin riesgo de pérdida de datos</w:t>
      </w:r>
      <w:r w:rsidDel="00000000" w:rsidR="00000000" w:rsidRPr="00000000">
        <w:rPr>
          <w:rtl w:val="0"/>
        </w:rPr>
        <w:t xml:space="preserve">. Los únicos puntos que sugiero confirmar antes de arrancar son el tipo de cuenta (punto 1) y si hay procesos activos escribiendo sobre esos contenedores (punto 2) — ninguno de los dos bloquea el proceso, pero evitan sorpresas de "por qué este blob volvió a Hot" después.</w:t>
      </w:r>
    </w:p>
    <w:p w:rsidR="00000000" w:rsidDel="00000000" w:rsidP="00000000" w:rsidRDefault="00000000" w:rsidRPr="00000000" w14:paraId="00000012">
      <w:pPr>
        <w:spacing w:after="240" w:before="240" w:lineRule="auto"/>
        <w:rPr/>
      </w:pPr>
      <w:r w:rsidDel="00000000" w:rsidR="00000000" w:rsidRPr="00000000">
        <w:rPr>
          <w:rtl w:val="0"/>
        </w:rPr>
        <w:t xml:space="preserve">¿Quieres que agregue estos puntos como un </w:t>
      </w:r>
      <w:r w:rsidDel="00000000" w:rsidR="00000000" w:rsidRPr="00000000">
        <w:rPr>
          <w:b w:val="1"/>
          <w:bCs w:val="1"/>
          <w:rtl w:val="0"/>
        </w:rPr>
        <w:t xml:space="preserve">Anexo de Validación de Impacto</w:t>
      </w:r>
      <w:r w:rsidDel="00000000" w:rsidR="00000000" w:rsidRPr="00000000">
        <w:rPr>
          <w:rtl w:val="0"/>
        </w:rPr>
        <w:t xml:space="preserve"> al documento Word que ya tienes, para que quede como respaldo formal antes de ejecutar mañana?</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azure/storage/blobs/immutable-storage-overview" TargetMode="External"/><Relationship Id="rId5" Type="http://schemas.openxmlformats.org/officeDocument/2006/relationships/styles" Target="styles.xml"/><Relationship Id="rId6" Type="http://schemas.openxmlformats.org/officeDocument/2006/relationships/hyperlink" Target="https://learn.microsoft.com/en-us/answers/questions/5513301/azure-storage-account-tier-availability" TargetMode="External"/><Relationship Id="rId7" Type="http://schemas.openxmlformats.org/officeDocument/2006/relationships/hyperlink" Target="https://learn.microsoft.com/en-us/answers/questions/5513301/azure-storage-account-tier-availability" TargetMode="External"/><Relationship Id="rId8" Type="http://schemas.openxmlformats.org/officeDocument/2006/relationships/hyperlink" Target="https://learn.microsoft.com/en-us/azure/storage/blobs/immutable-storage-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