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 pregunta — es clave confirmarlo antes de mañana porque </w:t>
      </w:r>
      <w:r w:rsidDel="00000000" w:rsidR="00000000" w:rsidRPr="00000000">
        <w:rPr>
          <w:b w:val="1"/>
          <w:bCs w:val="1"/>
          <w:rtl w:val="0"/>
        </w:rPr>
        <w:t xml:space="preserve">si resulta ser una cuenta Premium, el plan cambia por completo</w:t>
      </w:r>
      <w:r w:rsidDel="00000000" w:rsidR="00000000" w:rsidRPr="00000000">
        <w:rPr>
          <w:rtl w:val="0"/>
        </w:rPr>
        <w:t xml:space="preserve"> (ya no es solo cambiar de tier, sino mover el dato a otra cuenta). Vamos por partes: primero cómo validarlo, y luego el paso a paso según lo que encuentres.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5roumy881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 — Validar el tipo de cuenta actual (5 minutos)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al </w:t>
      </w:r>
      <w:r w:rsidDel="00000000" w:rsidR="00000000" w:rsidRPr="00000000">
        <w:rPr>
          <w:b w:val="1"/>
          <w:bCs w:val="1"/>
          <w:rtl w:val="0"/>
        </w:rPr>
        <w:t xml:space="preserve">Azure Portal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ir a la </w:t>
      </w:r>
      <w:r w:rsidDel="00000000" w:rsidR="00000000" w:rsidRPr="00000000">
        <w:rPr>
          <w:b w:val="1"/>
          <w:bCs w:val="1"/>
          <w:rtl w:val="0"/>
        </w:rPr>
        <w:t xml:space="preserve">Storage Account</w:t>
      </w:r>
      <w:r w:rsidDel="00000000" w:rsidR="00000000" w:rsidRPr="00000000">
        <w:rPr>
          <w:rtl w:val="0"/>
        </w:rPr>
        <w:t xml:space="preserve"> en cuestión.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menú lateral, click en </w:t>
      </w:r>
      <w:r w:rsidDel="00000000" w:rsidR="00000000" w:rsidRPr="00000000">
        <w:rPr>
          <w:b w:val="1"/>
          <w:bCs w:val="1"/>
          <w:rtl w:val="0"/>
        </w:rPr>
        <w:t xml:space="preserve">"Overview"</w:t>
      </w:r>
      <w:r w:rsidDel="00000000" w:rsidR="00000000" w:rsidRPr="00000000">
        <w:rPr>
          <w:rtl w:val="0"/>
        </w:rPr>
        <w:t xml:space="preserve"> (o el mismo blade principal).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dos campos clave que aparecen ahí: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Account kind</w:t>
      </w:r>
      <w:r w:rsidDel="00000000" w:rsidR="00000000" w:rsidRPr="00000000">
        <w:rPr>
          <w:rtl w:val="0"/>
        </w:rPr>
        <w:t xml:space="preserve"> (o "Primary service" en algunas vistas):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StorageV2 (general purpose v2)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BlockBlobStorage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 (general purpose v1)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lo ves en Overview, ir a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 en el menú lateral — ahí también se muestra el "Account kind" y si tiene disponible o no la opción de tiers de acceso.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esos dos datos ya sabemos en cuál de los 3 escenarios cae tu cliente: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.1880923500753"/>
        <w:gridCol w:w="2578.044365864189"/>
        <w:gridCol w:w="1828.6676671943424"/>
        <w:gridCol w:w="3143.6116856150165"/>
        <w:tblGridChange w:id="0">
          <w:tblGrid>
            <w:gridCol w:w="1475.1880923500753"/>
            <w:gridCol w:w="2578.044365864189"/>
            <w:gridCol w:w="1828.6676671943424"/>
            <w:gridCol w:w="3143.61168561501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kind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¿Soporta Hot/Cool?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StorageV2 (GPv2)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Ninguna — seguir el plan original tal cual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BlobStorage (legacy)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Ninguna — seguir el plan original tal cual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Storage (v1, general purpose)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 (hasta actualizar)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Upgrade in-place a GPv2 (Escenario B)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BlockBlobStorage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No, nunca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Migración a cuenta nueva (Escenario 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xhnqvdzjf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B — Si es General Purpose v1 (Standard)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 noticia: la actualización a GPv2 es </w:t>
      </w:r>
      <w:r w:rsidDel="00000000" w:rsidR="00000000" w:rsidRPr="00000000">
        <w:rPr>
          <w:b w:val="1"/>
          <w:bCs w:val="1"/>
          <w:rtl w:val="0"/>
        </w:rPr>
        <w:t xml:space="preserve">gratuita, instantánea, sin downtime y sin mover datos</w:t>
      </w:r>
      <w:r w:rsidDel="00000000" w:rsidR="00000000" w:rsidRPr="00000000">
        <w:rPr>
          <w:rtl w:val="0"/>
        </w:rPr>
        <w:t xml:space="preserve"> — es un cambio de metadatos de la cuenta.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a la Storage Account → </w:t>
      </w: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el botón </w:t>
      </w:r>
      <w:r w:rsidDel="00000000" w:rsidR="00000000" w:rsidRPr="00000000">
        <w:rPr>
          <w:b w:val="1"/>
          <w:bCs w:val="1"/>
          <w:rtl w:val="0"/>
        </w:rPr>
        <w:t xml:space="preserve">"Upgrade"</w:t>
      </w:r>
      <w:r w:rsidDel="00000000" w:rsidR="00000000" w:rsidRPr="00000000">
        <w:rPr>
          <w:rtl w:val="0"/>
        </w:rPr>
        <w:t xml:space="preserve"> (aparece cuando la cuenta es v1).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en </w:t>
      </w:r>
      <w:r w:rsidDel="00000000" w:rsidR="00000000" w:rsidRPr="00000000">
        <w:rPr>
          <w:b w:val="1"/>
          <w:bCs w:val="1"/>
          <w:rtl w:val="0"/>
        </w:rPr>
        <w:t xml:space="preserve">Upgrade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confirmar.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actualizada a </w:t>
      </w:r>
      <w:r w:rsidDel="00000000" w:rsidR="00000000" w:rsidRPr="00000000">
        <w:rPr>
          <w:b w:val="1"/>
          <w:bCs w:val="1"/>
          <w:rtl w:val="0"/>
        </w:rPr>
        <w:t xml:space="preserve">StorageV2</w:t>
      </w:r>
      <w:r w:rsidDel="00000000" w:rsidR="00000000" w:rsidRPr="00000000">
        <w:rPr>
          <w:rtl w:val="0"/>
        </w:rPr>
        <w:t xml:space="preserve">, ya tienes disponible </w:t>
      </w:r>
      <w:r w:rsidDel="00000000" w:rsidR="00000000" w:rsidRPr="00000000">
        <w:rPr>
          <w:b w:val="1"/>
          <w:bCs w:val="1"/>
          <w:rtl w:val="0"/>
        </w:rPr>
        <w:t xml:space="preserve">Default access tier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Lifecycle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etc. → </w:t>
      </w:r>
      <w:r w:rsidDel="00000000" w:rsidR="00000000" w:rsidRPr="00000000">
        <w:rPr>
          <w:b w:val="1"/>
          <w:bCs w:val="1"/>
          <w:rtl w:val="0"/>
        </w:rPr>
        <w:t xml:space="preserve">continúas con el plan original que ya te compartí (Partes 1-4) sin cambios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a4qon9yy2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C — Si es Premium Block Blob Storage (el que probablemente aplica)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sí cambia el enfoque, porque las cuentas Premium </w:t>
      </w:r>
      <w:r w:rsidDel="00000000" w:rsidR="00000000" w:rsidRPr="00000000">
        <w:rPr>
          <w:b w:val="1"/>
          <w:bCs w:val="1"/>
          <w:rtl w:val="0"/>
        </w:rPr>
        <w:t xml:space="preserve">no tienen tiers de acceso</w:t>
      </w:r>
      <w:r w:rsidDel="00000000" w:rsidR="00000000" w:rsidRPr="00000000">
        <w:rPr>
          <w:rtl w:val="0"/>
        </w:rPr>
        <w:t xml:space="preserve"> (Hot/Cool no existen ahí, todo es una sola capa de alto rendimiento) y </w:t>
      </w:r>
      <w:r w:rsidDel="00000000" w:rsidR="00000000" w:rsidRPr="00000000">
        <w:rPr>
          <w:b w:val="1"/>
          <w:bCs w:val="1"/>
          <w:rtl w:val="0"/>
        </w:rPr>
        <w:t xml:space="preserve">no se pueden "convertir" a Standard en el mismo account</w:t>
      </w:r>
      <w:r w:rsidDel="00000000" w:rsidR="00000000" w:rsidRPr="00000000">
        <w:rPr>
          <w:rtl w:val="0"/>
        </w:rPr>
        <w:t xml:space="preserve">. La única ruta es crear una cuenta Standard GPv2 nueva y </w:t>
      </w:r>
      <w:r w:rsidDel="00000000" w:rsidR="00000000" w:rsidRPr="00000000">
        <w:rPr>
          <w:b w:val="1"/>
          <w:bCs w:val="1"/>
          <w:rtl w:val="0"/>
        </w:rPr>
        <w:t xml:space="preserve">copiar</w:t>
      </w:r>
      <w:r w:rsidDel="00000000" w:rsidR="00000000" w:rsidRPr="00000000">
        <w:rPr>
          <w:rtl w:val="0"/>
        </w:rPr>
        <w:t xml:space="preserve"> los 35 TB hacia allá.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ekkknijf3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C.1 — Crear la cuenta Standard GPv2 destino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el portal, </w:t>
      </w:r>
      <w:r w:rsidDel="00000000" w:rsidR="00000000" w:rsidRPr="00000000">
        <w:rPr>
          <w:b w:val="1"/>
          <w:bCs w:val="1"/>
          <w:rtl w:val="0"/>
        </w:rPr>
        <w:t xml:space="preserve">Storage accounts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+ 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group: el mismo (o uno definido con el cliente).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account name: nuevo nombre (no puede reutilizar el mismo, ya existe).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b w:val="1"/>
          <w:bCs w:val="1"/>
          <w:rtl w:val="0"/>
        </w:rPr>
        <w:t xml:space="preserve">misma región</w:t>
      </w:r>
      <w:r w:rsidDel="00000000" w:rsidR="00000000" w:rsidRPr="00000000">
        <w:rPr>
          <w:rtl w:val="0"/>
        </w:rPr>
        <w:t xml:space="preserve"> que la cuenta origen (para minimizar costo/latencia de la copia, y para que la reserva calce).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Performance: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Redundancy: la que el cliente requiera (LRS/ZRS/GRS/RA-GRS) — debe coincidir con la que usarás en la reserva.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 la sección "Blob storage", </w:t>
      </w:r>
      <w:r w:rsidDel="00000000" w:rsidR="00000000" w:rsidRPr="00000000">
        <w:rPr>
          <w:b w:val="1"/>
          <w:bCs w:val="1"/>
          <w:rtl w:val="0"/>
        </w:rPr>
        <w:t xml:space="preserve">Access tier: Cool</w:t>
      </w:r>
      <w:r w:rsidDel="00000000" w:rsidR="00000000" w:rsidRPr="00000000">
        <w:rPr>
          <w:rtl w:val="0"/>
        </w:rPr>
        <w:t xml:space="preserve"> (así ya nace configurada en Cool por default).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+ 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zas2cpm3v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C.2 — Comprar la reserva de 100 TB / 3 años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Igual que en el plan original (Parte 1), pero ahora apuntando a la región/redundancia de esta </w:t>
      </w:r>
      <w:r w:rsidDel="00000000" w:rsidR="00000000" w:rsidRPr="00000000">
        <w:rPr>
          <w:b w:val="1"/>
          <w:bCs w:val="1"/>
          <w:rtl w:val="0"/>
        </w:rPr>
        <w:t xml:space="preserve">cuenta nueva</w:t>
      </w:r>
      <w:r w:rsidDel="00000000" w:rsidR="00000000" w:rsidRPr="00000000">
        <w:rPr>
          <w:rtl w:val="0"/>
        </w:rPr>
        <w:t xml:space="preserve">. Este paso no cambia en mecánica, solo en el account de referencia.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8thlevui45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C.3 — Copiar los 35 TB de la cuenta Premium a la cuenta nueva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</w:t>
      </w:r>
      <w:r w:rsidDel="00000000" w:rsidR="00000000" w:rsidRPr="00000000">
        <w:rPr>
          <w:b w:val="1"/>
          <w:bCs w:val="1"/>
          <w:rtl w:val="0"/>
        </w:rPr>
        <w:t xml:space="preserve">sí implica movimiento real de datos</w:t>
      </w:r>
      <w:r w:rsidDel="00000000" w:rsidR="00000000" w:rsidRPr="00000000">
        <w:rPr>
          <w:rtl w:val="0"/>
        </w:rPr>
        <w:t xml:space="preserve"> (a diferencia del cambio de tier), así que aquí es donde debes ajustar expectativas de tiempo con el cliente: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recomendada:</w:t>
      </w:r>
      <w:r w:rsidDel="00000000" w:rsidR="00000000" w:rsidRPr="00000000">
        <w:rPr>
          <w:rtl w:val="0"/>
        </w:rPr>
        <w:t xml:space="preserve"> AzCopy (server-to-server copy, no baja el dato a un equipo intermedio):</w:t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azcopy copy "https://&lt;cuentaorigen&gt;.blob.core.windows.net/&lt;contenedor&gt;?&lt;SAS&gt;" "https://&lt;cuentanueva&gt;.blob.core.windows.net/&lt;contenedor&gt;?&lt;SAS&gt;" --recursive --block-blob-tier=Cool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--block-blob-tier=Cool</w:t>
      </w:r>
      <w:r w:rsidDel="00000000" w:rsidR="00000000" w:rsidRPr="00000000">
        <w:rPr>
          <w:rtl w:val="0"/>
        </w:rPr>
        <w:t xml:space="preserve"> hace que el blob se escriba </w:t>
      </w:r>
      <w:r w:rsidDel="00000000" w:rsidR="00000000" w:rsidRPr="00000000">
        <w:rPr>
          <w:b w:val="1"/>
          <w:bCs w:val="1"/>
          <w:rtl w:val="0"/>
        </w:rPr>
        <w:t xml:space="preserve">directamente en Cool</w:t>
      </w:r>
      <w:r w:rsidDel="00000000" w:rsidR="00000000" w:rsidRPr="00000000">
        <w:rPr>
          <w:rtl w:val="0"/>
        </w:rPr>
        <w:t xml:space="preserve"> en el destino, sin necesidad de una regla de Lifecycle después.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 para volúmenes grandes con ancho de banda limitado:</w:t>
      </w:r>
      <w:r w:rsidDel="00000000" w:rsidR="00000000" w:rsidRPr="00000000">
        <w:rPr>
          <w:rtl w:val="0"/>
        </w:rPr>
        <w:t xml:space="preserve"> Azure Storage Mover (servicio administrado para migraciones de este tipo) o </w:t>
      </w:r>
      <w:r w:rsidDel="00000000" w:rsidR="00000000" w:rsidRPr="00000000">
        <w:rPr>
          <w:b w:val="1"/>
          <w:bCs w:val="1"/>
          <w:rtl w:val="0"/>
        </w:rPr>
        <w:t xml:space="preserve">Azure Data Box</w:t>
      </w:r>
      <w:r w:rsidDel="00000000" w:rsidR="00000000" w:rsidRPr="00000000">
        <w:rPr>
          <w:rtl w:val="0"/>
        </w:rPr>
        <w:t xml:space="preserve"> (dispositivo físico) si la copia por red tomaría demasiados días.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para 35 TB, depende 100% del ancho de banda disponible entre el origen y destino (ambos están en la nube, así que suele ser rápido, pero con throttling de la cuenta origen). Como referencia gruesa: con buen throughput puede tomar de </w:t>
      </w:r>
      <w:r w:rsidDel="00000000" w:rsidR="00000000" w:rsidRPr="00000000">
        <w:rPr>
          <w:b w:val="1"/>
          <w:bCs w:val="1"/>
          <w:rtl w:val="0"/>
        </w:rPr>
        <w:t xml:space="preserve">1 a 3 días</w:t>
      </w:r>
      <w:r w:rsidDel="00000000" w:rsidR="00000000" w:rsidRPr="00000000">
        <w:rPr>
          <w:rtl w:val="0"/>
        </w:rPr>
        <w:t xml:space="preserve">; sugiero correr una prueba con un subconjunto pequeño primero para medir velocidad real y proyectar el total.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7vjpm4z6g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C.4 — Cutover (aquí sí hay un punto de coordinación, a diferencia del plan original)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cambio más importante respecto a tu pregunta anterior de "sin downtime": mover de una cuenta a otra </w:t>
      </w:r>
      <w:r w:rsidDel="00000000" w:rsidR="00000000" w:rsidRPr="00000000">
        <w:rPr>
          <w:b w:val="1"/>
          <w:bCs w:val="1"/>
          <w:rtl w:val="0"/>
        </w:rPr>
        <w:t xml:space="preserve">sí requiere un corte de tráfico controlado</w:t>
      </w:r>
      <w:r w:rsidDel="00000000" w:rsidR="00000000" w:rsidRPr="00000000">
        <w:rPr>
          <w:rtl w:val="0"/>
        </w:rPr>
        <w:t xml:space="preserve">, aunque se puede minimizar: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Antes de la copia final, congelar escrituras nuevas hacia la cuenta Premium (o dejarlas seguir y hacer una segunda pasada delta con AzCopy para sincronizar solo lo que cambió).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el conteo/tamaño de objetos en la cuenta nueva coincide con el origen.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Repuntar la aplicación/cliente hacia la nueva cadena de conexión / endpoint (esto normalmente sí requiere una ventana breve, coordinada con el equipo de aplicaciones — minutos, no horas, si ya está todo pre-copiado y solo falta el delta final).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la cuenta Premium en modo solo lectura unos días como respaldo antes de eliminarla definitivamente.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4aw5xdz53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qué cambia según el escenario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es GPv2 o BlobStorage (Standard):</w:t>
      </w:r>
      <w:r w:rsidDel="00000000" w:rsidR="00000000" w:rsidRPr="00000000">
        <w:rPr>
          <w:rtl w:val="0"/>
        </w:rPr>
        <w:t xml:space="preserve"> todo lo que ya documentamos aplica sin cambios — cero downtime, cero riesgo de pérdida, sin ventana de mantenimiento.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es GPv1:</w:t>
      </w:r>
      <w:r w:rsidDel="00000000" w:rsidR="00000000" w:rsidRPr="00000000">
        <w:rPr>
          <w:rtl w:val="0"/>
        </w:rPr>
        <w:t xml:space="preserve"> un upgrade de un click, sin downtime, y luego sigue el plan original.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es Premium Block Blob Storage:</w:t>
      </w:r>
      <w:r w:rsidDel="00000000" w:rsidR="00000000" w:rsidRPr="00000000">
        <w:rPr>
          <w:rtl w:val="0"/>
        </w:rPr>
        <w:t xml:space="preserve"> ya no es "cambio de tier", es una migración entre cuentas — sí hay copia real de datos (1-3 días estimado) y </w:t>
      </w:r>
      <w:r w:rsidDel="00000000" w:rsidR="00000000" w:rsidRPr="00000000">
        <w:rPr>
          <w:b w:val="1"/>
          <w:bCs w:val="1"/>
          <w:rtl w:val="0"/>
        </w:rPr>
        <w:t xml:space="preserve">sí se necesita coordinar un breve cutover</w:t>
      </w:r>
      <w:r w:rsidDel="00000000" w:rsidR="00000000" w:rsidRPr="00000000">
        <w:rPr>
          <w:rtl w:val="0"/>
        </w:rPr>
        <w:t xml:space="preserve"> con el equipo de aplicaciones, aunque sin pérdida de datos si se hace con la validación delta antes de apagar la cuenta origen.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valide primero contigo el resultado del Paso 1 (qué performance/kind tiene la cuenta real) antes de armar la versión final del documento, o prefieres que ya te arme el Word con los 3 escenarios documentados como anexo condicional?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